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郑建华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毕业设计课题零件图来源自世界技能大赛的练习题，其课题难度非常适合学生操作。该毕业设计组成部分分别为外形轮廓、凸台、凹槽、孔等内容组成，图纸做精度要求，绘制零件的三维模型及工程图，进行零件的工艺分析及加工工序卡，通过自动编程出刀路再进行后处理，Vericut的程序验证，最后在机床上实体加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630" w:firstLineChars="3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此次毕业设计复习了在校所学知识，对知识巩固起到很大作用。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此次毕业设计过程中在钻孔那个步骤我一直以为是在A面完成外形轮廓之后进行钻孔，结果在自动编程后该过程途径的刀路会出现错误，于是我改变了钻孔方向，留在了B面外形轮廓之后 在B面进行钻孔，这个钻孔的问题就得到了解决。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589915" cy="356235"/>
                  <wp:effectExtent l="0" t="0" r="0" b="0"/>
                  <wp:docPr id="1" name="图片 1" descr="微信图片_2020052813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5281336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A6A6A4">
                                  <a:alpha val="100000"/>
                                </a:srgbClr>
                              </a:clrFrom>
                              <a:clrTo>
                                <a:srgbClr val="A6A6A4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drawing>
                <wp:inline distT="0" distB="0" distL="114300" distR="114300">
                  <wp:extent cx="1214120" cy="384810"/>
                  <wp:effectExtent l="9525" t="9525" r="10795" b="17145"/>
                  <wp:docPr id="12" name="图片 12" descr="微信图片_2020052813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微信图片_202005281342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A8A8A6">
                                  <a:alpha val="100000"/>
                                </a:srgbClr>
                              </a:clrFrom>
                              <a:clrTo>
                                <a:srgbClr val="A8A8A6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384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5D5B16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040290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69BB375F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0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2020-07-06T14:44:39Z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