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Combined Table 3 and Table 4 for India and South Africa</w:t>
      </w:r>
    </w:p>
    <w:p>
      <w:pPr>
        <w:pStyle w:val="Author"/>
      </w:pPr>
      <w:r>
        <w:t xml:space="preserve">OpenAI</w:t>
      </w:r>
    </w:p>
    <w:p>
      <w:pPr>
        <w:pStyle w:val="Date"/>
      </w:pPr>
      <w:r>
        <w:t xml:space="preserve">2026-03-12</w:t>
      </w:r>
    </w:p>
    <w:bookmarkStart w:id="20" w:name="overview"/>
    <w:p>
      <w:pPr>
        <w:pStyle w:val="Heading1"/>
      </w:pPr>
      <w:r>
        <w:t xml:space="preserve">Overview</w:t>
      </w:r>
    </w:p>
    <w:p>
      <w:pPr>
        <w:pStyle w:val="FirstParagraph"/>
      </w:pPr>
      <w:r>
        <w:t xml:space="preserve">This document combines the following manuscript-style tables for</w:t>
      </w:r>
      <w:r>
        <w:t xml:space="preserve"> </w:t>
      </w:r>
      <w:r>
        <w:rPr>
          <w:b/>
          <w:bCs/>
        </w:rPr>
        <w:t xml:space="preserve">India</w:t>
      </w:r>
      <w:r>
        <w:t xml:space="preserve"> </w:t>
      </w:r>
      <w:r>
        <w:t xml:space="preserve">and</w:t>
      </w:r>
      <w:r>
        <w:t xml:space="preserve"> </w:t>
      </w:r>
      <w:r>
        <w:rPr>
          <w:b/>
          <w:bCs/>
        </w:rPr>
        <w:t xml:space="preserve">South Africa</w:t>
      </w:r>
      <w:r>
        <w:t xml:space="preserve">:</w:t>
      </w:r>
    </w:p>
    <w:p>
      <w:pPr>
        <w:pStyle w:val="Compact"/>
        <w:numPr>
          <w:ilvl w:val="0"/>
          <w:numId w:val="1001"/>
        </w:numPr>
      </w:pPr>
      <w:r>
        <w:rPr>
          <w:b/>
          <w:bCs/>
        </w:rPr>
        <w:t xml:space="preserve">Table 3. Longitudinal disclosure trend summary</w:t>
      </w:r>
    </w:p>
    <w:p>
      <w:pPr>
        <w:pStyle w:val="Compact"/>
        <w:numPr>
          <w:ilvl w:val="0"/>
          <w:numId w:val="1001"/>
        </w:numPr>
      </w:pPr>
      <w:r>
        <w:rPr>
          <w:b/>
          <w:bCs/>
        </w:rPr>
        <w:t xml:space="preserve">Table 4. Cross-model robustness summary</w:t>
      </w:r>
    </w:p>
    <w:p>
      <w:pPr>
        <w:pStyle w:val="FirstParagraph"/>
      </w:pPr>
      <w:r>
        <w:t xml:space="preserve">The tables use:</w:t>
      </w:r>
    </w:p>
    <w:p>
      <w:pPr>
        <w:pStyle w:val="SourceCode"/>
      </w:pPr>
      <w:r>
        <w:rPr>
          <w:rStyle w:val="FunctionTok"/>
        </w:rPr>
        <w:t xml:space="preserve">library</w:t>
      </w:r>
      <w:r>
        <w:rPr>
          <w:rStyle w:val="NormalTok"/>
        </w:rPr>
        <w:t xml:space="preserve">(rempsyc)</w:t>
      </w:r>
      <w:r>
        <w:br/>
      </w:r>
      <w:r>
        <w:rPr>
          <w:rStyle w:val="FunctionTok"/>
        </w:rPr>
        <w:t xml:space="preserve">library</w:t>
      </w:r>
      <w:r>
        <w:rPr>
          <w:rStyle w:val="NormalTok"/>
        </w:rPr>
        <w:t xml:space="preserve">(flextable)</w:t>
      </w:r>
    </w:p>
    <w:p>
      <w:pPr>
        <w:pStyle w:val="FirstParagraph"/>
      </w:pPr>
      <w:r>
        <w:t xml:space="preserve">and are formatted for a publication-style workflow with</w:t>
      </w:r>
      <w:r>
        <w:t xml:space="preserve"> </w:t>
      </w:r>
      <w:r>
        <w:rPr>
          <w:b/>
          <w:bCs/>
        </w:rPr>
        <w:t xml:space="preserve">Palatino Linotype</w:t>
      </w:r>
      <w:r>
        <w:t xml:space="preserve"> </w:t>
      </w:r>
      <w:r>
        <w:t xml:space="preserve">at</w:t>
      </w:r>
      <w:r>
        <w:t xml:space="preserve"> </w:t>
      </w:r>
      <w:r>
        <w:rPr>
          <w:b/>
          <w:bCs/>
        </w:rPr>
        <w:t xml:space="preserve">9 pt</w:t>
      </w:r>
      <w:r>
        <w:t xml:space="preserve">.</w:t>
      </w:r>
    </w:p>
    <w:bookmarkEnd w:id="20"/>
    <w:bookmarkStart w:id="21" w:name="X21abb5788eb7c635d9a592c2aae2015c8231b2c"/>
    <w:p>
      <w:pPr>
        <w:pStyle w:val="Heading1"/>
      </w:pPr>
      <w:r>
        <w:t xml:space="preserve">Combined longitudinal and robustness tables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86" w:hRule="auto"/>
          <w:tblHeader/>
        </w:trPr>
        <w:tc>
          <w:tcPr>
            <w:gridSpan w:val="7"/>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true"/>
                <w:u w:val="none"/>
                <w:strike w:val="false"/>
                <w:sz w:val="18"/>
                <w:szCs w:val="18"/>
                <w:color w:val="000000"/>
              </w:rPr>
              <w:t xml:space="preserve">Combined Table 3 and Table 4</w:t>
            </w:r>
          </w:p>
        </w:tc>
      </w:tr>
      <w:tr>
        <w:trPr>
          <w:trHeight w:val="531" w:hRule="auto"/>
          <w:tblHeader/>
        </w:trPr>
        <w:tc>
          <w:tcPr>
            <w:gridSpan w:val="7"/>
            <w:tcBorders>
              <w:bottom w:val="single" w:sz="4" w:space="0" w:color="000000"/>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true"/>
                <w:b w:val="false"/>
                <w:u w:val="none"/>
                <w:strike w:val="false"/>
                <w:sz w:val="18"/>
                <w:szCs w:val="18"/>
                <w:color w:val="000000"/>
              </w:rPr>
              <w:t xml:space="preserve">Longitudinal disclosure trend summary and cross-model robustness summary for India and South Africa</w:t>
            </w:r>
          </w:p>
        </w:tc>
      </w:tr>
      <w:tr>
        <w:trPr>
          <w:trHeight w:val="530" w:hRule="auto"/>
          <w:tblHeader/>
        </w:trPr>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Country</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Company</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Years Covered / SDG Agreement</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Implementation Slope / Stage Agreement</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Rhetoric Slope / Over-claim Difference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Most Persistent SDGs / Interpretation</w:t>
            </w:r>
          </w:p>
        </w:tc>
      </w:tr>
      <w:tr>
        <w:trPr>
          <w:trHeight w:val="530" w:hRule="auto"/>
        </w:trPr>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India</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3. Longitudinal disclosure trend summary</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Coromandel</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2019–2025</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+0.05/year</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-0.04/year</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SDG 2, SDG 12, SDG 13 | Progressive shift from commitment language to implementation evidence</w:t>
            </w:r>
          </w:p>
        </w:tc>
      </w:tr>
      <w:tr>
        <w:trPr>
          <w:trHeight w:val="53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3. Longitudinal disclosure trend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JSW Steel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2019–2025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+0.06/year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-0.03/year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SDG 8, SDG 9, SDG 12, SDG 13 | Strongest improvement in operational and measurable disclosure</w:t>
            </w:r>
          </w:p>
        </w:tc>
      </w:tr>
      <w:tr>
        <w:trPr>
          <w:trHeight w:val="5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3. Longitudinal disclosure trend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BASF 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2019–2025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+0.03/year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-0.02/year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SDG 6, SDG 12, SDG 13 | Gradual improvement, but more moderate than heavy industry peers</w:t>
            </w:r>
          </w:p>
        </w:tc>
      </w:tr>
      <w:tr>
        <w:trPr>
          <w:trHeight w:val="53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3. Longitudinal disclosure trend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Ambuja 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2019–2025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+0.05/year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-0.03/year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SDG 9, SDG 11, SDG 12, SDG 13 | Increasing emphasis on implementation and quantitative evidence</w:t>
            </w:r>
          </w:p>
        </w:tc>
      </w:tr>
      <w:tr>
        <w:trPr>
          <w:trHeight w:val="53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3. Longitudinal disclosure trend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Aarti Industries Limited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2019–2025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+0.03/year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-0.01/year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SDG 6, SDG 8, SDG 12 | Incremental improvement with persistent policy-heavy language</w:t>
            </w:r>
          </w:p>
        </w:tc>
      </w:tr>
      <w:tr>
        <w:trPr>
          <w:trHeight w:val="52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3. Longitudinal disclosure trend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GNFC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2019–2025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+0.04/year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-0.03/year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SDG 2, SDG 6, SDG 12, SDG 13 | Moderate transition toward more measurable implementation disclosure</w:t>
            </w:r>
          </w:p>
        </w:tc>
      </w:tr>
      <w:tr>
        <w:trPr>
          <w:trHeight w:val="5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3. Longitudinal disclosure trend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Kumba Iron 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2019–2025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+0.06/year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-0.03/year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SDG 8, SDG 9, SDG 12, SDG 13 | Steady rise in operational and climate-related disclosure</w:t>
            </w:r>
          </w:p>
        </w:tc>
      </w:tr>
      <w:tr>
        <w:trPr>
          <w:trHeight w:val="5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3. Longitudinal disclosure trend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Wesizwe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2019–2025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+0.02/year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-0.01/year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SDG 8, SDG 9, SDG 13 | Limited but positive improvement from lower disclosure maturity baseline</w:t>
            </w:r>
          </w:p>
        </w:tc>
      </w:tr>
      <w:tr>
        <w:trPr>
          <w:trHeight w:val="5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3. Longitudinal disclosure trend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Gemfields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2019–2025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+0.04/year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-0.02/year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SDG 5, SDG 8, SDG 12, SDG 15 | Moderate shift toward more implementation and community evidence</w:t>
            </w:r>
          </w:p>
        </w:tc>
      </w:tr>
      <w:tr>
        <w:trPr>
          <w:trHeight w:val="53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3. Longitudinal disclosure trend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BHP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2019–2025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+0.06/year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-0.03/year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SDG 8, SDG 12, SDG 13, SDG 15 | Strong and sustained measurable implementation pattern</w:t>
            </w:r>
          </w:p>
        </w:tc>
      </w:tr>
      <w:tr>
        <w:trPr>
          <w:trHeight w:val="53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3. Longitudinal disclosure trend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AECI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2019–2025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+0.04/year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-0.02/year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SDG 6, SDG 8, SDG 12, SDG 13 | Progressive strengthening of production, safety, and climate disclosure</w:t>
            </w:r>
          </w:p>
        </w:tc>
      </w:tr>
      <w:tr>
        <w:trPr>
          <w:trHeight w:val="53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3. Longitudinal disclosure trend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Anglo American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2019–2025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+0.07/year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-0.04/year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SDG 8, SDG 12, SDG 13, SDG 15 | Strongest disclosure maturity and broadest SDG persistence in the group</w:t>
            </w:r>
          </w:p>
        </w:tc>
      </w:tr>
      <w:tr>
        <w:trPr>
          <w:trHeight w:val="53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4. Cross-model robustness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Coromandel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Good agreement, moderate stage sensitivity</w:t>
            </w:r>
          </w:p>
        </w:tc>
      </w:tr>
      <w:tr>
        <w:trPr>
          <w:trHeight w:val="53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4. Cross-model robustness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JSW Steel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Strong content signal, slightly higher model variance</w:t>
            </w:r>
          </w:p>
        </w:tc>
      </w:tr>
      <w:tr>
        <w:trPr>
          <w:trHeight w:val="5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4. Cross-model robustness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BASF 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Most stable across models</w:t>
            </w:r>
          </w:p>
        </w:tc>
      </w:tr>
      <w:tr>
        <w:trPr>
          <w:trHeight w:val="5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4. Cross-model robustness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Ambuja 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Good cross-model consistency</w:t>
            </w:r>
          </w:p>
        </w:tc>
      </w:tr>
      <w:tr>
        <w:trPr>
          <w:trHeight w:val="5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4. Cross-model robustness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Aarti Industries Limited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Moderate model sensitivity</w:t>
            </w:r>
          </w:p>
        </w:tc>
      </w:tr>
      <w:tr>
        <w:trPr>
          <w:trHeight w:val="5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India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4. Cross-model robustness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GNFC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Reasonably stable across model choices</w:t>
            </w:r>
          </w:p>
        </w:tc>
      </w:tr>
      <w:tr>
        <w:trPr>
          <w:trHeight w:val="53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4. Cross-model robustness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Kumba Iron 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Strong agreement and low model sensitivity</w:t>
            </w:r>
          </w:p>
        </w:tc>
      </w:tr>
      <w:tr>
        <w:trPr>
          <w:trHeight w:val="5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4. Cross-model robustness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Wesizwe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Highest model sensitivity and lower stability</w:t>
            </w:r>
          </w:p>
        </w:tc>
      </w:tr>
      <w:tr>
        <w:trPr>
          <w:trHeight w:val="5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4. Cross-model robustness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Gemfields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Moderate robustness with some stage variance</w:t>
            </w:r>
          </w:p>
        </w:tc>
      </w:tr>
      <w:tr>
        <w:trPr>
          <w:trHeight w:val="5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4. Cross-model robustness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BHP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Highly stable across models</w:t>
            </w:r>
          </w:p>
        </w:tc>
      </w:tr>
      <w:tr>
        <w:trPr>
          <w:trHeight w:val="53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4. Cross-model robustness summary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AECI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Good robustness with moderate stage sensitivity</w:t>
            </w:r>
          </w:p>
        </w:tc>
      </w:tr>
      <w:tr>
        <w:trPr>
          <w:trHeight w:val="530" w:hRule="auto"/>
        </w:trPr>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South Africa</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Table 4. Cross-model robustness summary</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Anglo American</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0.87</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0.82</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0.02</w:t>
            </w:r>
          </w:p>
        </w:tc>
        <w:tc>
          <w:tcPr>
            <w:tcBorders>
              <w:bottom w:val="single" w:sz="4"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Strongest cross-model consistency in the sample</w:t>
            </w:r>
          </w:p>
        </w:tc>
      </w:tr>
      <w:tr>
        <w:trPr>
          <w:trHeight w:val="360" w:hRule="auto"/>
        </w:trPr>
        <w:tc>
          <w:tcPr>
            <w:gridSpan w:val="7"/>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true"/>
                <w:b w:val="false"/>
                <w:u w:val="none"/>
                <w:strike w:val="false"/>
                <w:sz w:val="18"/>
                <w:szCs w:val="18"/>
                <w:color w:val="000000"/>
              </w:rPr>
              <w:t xml:space="preserve">Note. </w:t>
            </w: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Illustrative values only.</w:t>
            </w:r>
          </w:p>
        </w:tc>
      </w:tr>
      <w:tr>
        <w:trPr>
          <w:trHeight w:val="360" w:hRule="auto"/>
        </w:trPr>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Not empirical results.</w:t>
            </w:r>
          </w:p>
        </w:tc>
      </w:tr>
    </w:tbl>
    <w:bookmarkEnd w:id="21"/>
    <w:bookmarkStart w:id="22" w:name="save-to-word"/>
    <w:p>
      <w:pPr>
        <w:pStyle w:val="Heading1"/>
      </w:pPr>
      <w:r>
        <w:t xml:space="preserve">Save to Word</w:t>
      </w:r>
    </w:p>
    <w:bookmarkEnd w:id="22"/>
    <w:bookmarkStart w:id="23" w:name="note"/>
    <w:p>
      <w:pPr>
        <w:pStyle w:val="Heading1"/>
      </w:pPr>
      <w:r>
        <w:t xml:space="preserve">Note</w:t>
      </w:r>
    </w:p>
    <w:p>
      <w:pPr>
        <w:pStyle w:val="FirstParagraph"/>
      </w:pPr>
      <w:r>
        <w:t xml:space="preserve">Some earlier uploaded files in this chat have expired. This file uses sample values and layout only. Upload the source reports again if you want the same table structure filled with real computed results.</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 Table 3 and Table 4 for India and South Africa</dc:title>
  <dc:creator>OpenAI</dc:creator>
  <cp:keywords/>
  <dcterms:created xsi:type="dcterms:W3CDTF">2026-03-12T13:12:28Z</dcterms:created>
  <dcterms:modified xsi:type="dcterms:W3CDTF">2026-03-12T13:12:28Z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2026-03-12</vt:lpwstr>
  </property>
  <property fmtid="{D5CDD505-2E9C-101B-9397-08002B2CF9AE}" pid="3" name="output">
    <vt:lpwstr/>
  </property>
</Properties>
</file>