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Sample Results Tables for Six Indian Companies</w:t>
      </w:r>
    </w:p>
    <w:p>
      <w:pPr>
        <w:pStyle w:val="Author"/>
      </w:pPr>
      <w:r>
        <w:t xml:space="preserve">OpenAI</w:t>
      </w:r>
    </w:p>
    <w:p>
      <w:pPr>
        <w:pStyle w:val="Date"/>
      </w:pPr>
      <w:r>
        <w:t xml:space="preserve">2026-03-12</w:t>
      </w:r>
    </w:p>
    <w:bookmarkStart w:id="20" w:name="overview"/>
    <w:p>
      <w:pPr>
        <w:pStyle w:val="Heading1"/>
      </w:pPr>
      <w:r>
        <w:t xml:space="preserve">Overview</w:t>
      </w:r>
    </w:p>
    <w:p>
      <w:pPr>
        <w:pStyle w:val="FirstParagraph"/>
      </w:pPr>
      <w:r>
        <w:t xml:space="preserve">This document provides</w:t>
      </w:r>
      <w:r>
        <w:t xml:space="preserve"> </w:t>
      </w:r>
      <w:r>
        <w:rPr>
          <w:b/>
          <w:bCs/>
        </w:rPr>
        <w:t xml:space="preserve">illustrative sample tables</w:t>
      </w:r>
      <w:r>
        <w:t xml:space="preserve"> </w:t>
      </w:r>
      <w:r>
        <w:t xml:space="preserve">for six Indian companies:</w:t>
      </w:r>
    </w:p>
    <w:p>
      <w:pPr>
        <w:pStyle w:val="Compact"/>
        <w:numPr>
          <w:ilvl w:val="0"/>
          <w:numId w:val="1001"/>
        </w:numPr>
      </w:pPr>
      <w:r>
        <w:t xml:space="preserve">Coromandel</w:t>
      </w:r>
    </w:p>
    <w:p>
      <w:pPr>
        <w:pStyle w:val="Compact"/>
        <w:numPr>
          <w:ilvl w:val="0"/>
          <w:numId w:val="1001"/>
        </w:numPr>
      </w:pPr>
      <w:r>
        <w:t xml:space="preserve">JSW Steel</w:t>
      </w:r>
    </w:p>
    <w:p>
      <w:pPr>
        <w:pStyle w:val="Compact"/>
        <w:numPr>
          <w:ilvl w:val="0"/>
          <w:numId w:val="1001"/>
        </w:numPr>
      </w:pPr>
      <w:r>
        <w:t xml:space="preserve">BASF India</w:t>
      </w:r>
    </w:p>
    <w:p>
      <w:pPr>
        <w:pStyle w:val="Compact"/>
        <w:numPr>
          <w:ilvl w:val="0"/>
          <w:numId w:val="1001"/>
        </w:numPr>
      </w:pPr>
      <w:r>
        <w:t xml:space="preserve">Ambuja Cement</w:t>
      </w:r>
    </w:p>
    <w:p>
      <w:pPr>
        <w:pStyle w:val="Compact"/>
        <w:numPr>
          <w:ilvl w:val="0"/>
          <w:numId w:val="1001"/>
        </w:numPr>
      </w:pPr>
      <w:r>
        <w:t xml:space="preserve">Aarti Industries Limited</w:t>
      </w:r>
    </w:p>
    <w:p>
      <w:pPr>
        <w:pStyle w:val="Compact"/>
        <w:numPr>
          <w:ilvl w:val="0"/>
          <w:numId w:val="1001"/>
        </w:numPr>
      </w:pPr>
      <w:r>
        <w:t xml:space="preserve">GNFC</w:t>
      </w:r>
    </w:p>
    <w:p>
      <w:pPr>
        <w:pStyle w:val="FirstParagraph"/>
      </w:pPr>
      <w:r>
        <w:t xml:space="preserve">These values are</w:t>
      </w:r>
      <w:r>
        <w:t xml:space="preserve"> </w:t>
      </w:r>
      <w:r>
        <w:rPr>
          <w:b/>
          <w:bCs/>
        </w:rPr>
        <w:t xml:space="preserve">sample placeholders for manuscript drafting only</w:t>
      </w:r>
      <w:r>
        <w:t xml:space="preserve">. They are</w:t>
      </w:r>
      <w:r>
        <w:t xml:space="preserve"> </w:t>
      </w:r>
      <w:r>
        <w:rPr>
          <w:b/>
          <w:bCs/>
        </w:rPr>
        <w:t xml:space="preserve">not empirical results</w:t>
      </w:r>
      <w:r>
        <w:t xml:space="preserve"> </w:t>
      </w:r>
      <w:r>
        <w:t xml:space="preserve">until the full pipeline is run on the company reports.</w:t>
      </w:r>
    </w:p>
    <w:bookmarkEnd w:id="20"/>
    <w:bookmarkStart w:id="23" w:name="X7f5a69538ddffaafa1fffee46a4d1a594bd5cde"/>
    <w:p>
      <w:pPr>
        <w:pStyle w:val="Heading1"/>
      </w:pPr>
      <w:r>
        <w:t xml:space="preserve">Table 1. Company-level benchmark and reliability summary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Company</w:t>
            </w:r>
          </w:p>
        </w:tc>
        <w:tc>
          <w:tcPr/>
          <w:p>
            <w:pPr>
              <w:pStyle w:val="Compact"/>
              <w:jc w:val="right"/>
            </w:pPr>
            <w:r>
              <w:t xml:space="preserve">Retrieval</w:t>
            </w:r>
            <w:r>
              <w:t xml:space="preserve"> </w:t>
            </w:r>
            <w:hyperlink r:id="rId21">
              <w:r>
                <w:rPr>
                  <w:rStyle w:val="Hyperlink"/>
                </w:rPr>
                <w:t xml:space="preserve">Recall@5</w:t>
              </w:r>
            </w:hyperlink>
          </w:p>
        </w:tc>
        <w:tc>
          <w:tcPr/>
          <w:p>
            <w:pPr>
              <w:pStyle w:val="Compact"/>
              <w:jc w:val="right"/>
            </w:pPr>
            <w:r>
              <w:t xml:space="preserve">SDG F1</w:t>
            </w:r>
          </w:p>
        </w:tc>
        <w:tc>
          <w:tcPr/>
          <w:p>
            <w:pPr>
              <w:pStyle w:val="Compact"/>
              <w:jc w:val="right"/>
            </w:pPr>
            <w:r>
              <w:t xml:space="preserve">Stage Accuracy</w:t>
            </w:r>
          </w:p>
        </w:tc>
        <w:tc>
          <w:tcPr/>
          <w:p>
            <w:pPr>
              <w:pStyle w:val="Compact"/>
              <w:jc w:val="right"/>
            </w:pPr>
            <w:r>
              <w:t xml:space="preserve">Valid-item Precision</w:t>
            </w:r>
          </w:p>
        </w:tc>
        <w:tc>
          <w:tcPr/>
          <w:p>
            <w:pPr>
              <w:pStyle w:val="Compact"/>
              <w:jc w:val="right"/>
            </w:pPr>
            <w:r>
              <w:t xml:space="preserve">Over-claim Rate</w:t>
            </w:r>
          </w:p>
        </w:tc>
      </w:tr>
      <w:tr>
        <w:tc>
          <w:tcPr/>
          <w:p>
            <w:pPr>
              <w:pStyle w:val="Compact"/>
            </w:pPr>
            <w:r>
              <w:t xml:space="preserve">Coromandel</w:t>
            </w:r>
          </w:p>
        </w:tc>
        <w:tc>
          <w:tcPr/>
          <w:p>
            <w:pPr>
              <w:pStyle w:val="Compact"/>
              <w:jc w:val="right"/>
            </w:pPr>
            <w:r>
              <w:t xml:space="preserve">0.78</w:t>
            </w:r>
          </w:p>
        </w:tc>
        <w:tc>
          <w:tcPr/>
          <w:p>
            <w:pPr>
              <w:pStyle w:val="Compact"/>
              <w:jc w:val="right"/>
            </w:pPr>
            <w:r>
              <w:t xml:space="preserve">0.81</w:t>
            </w:r>
          </w:p>
        </w:tc>
        <w:tc>
          <w:tcPr/>
          <w:p>
            <w:pPr>
              <w:pStyle w:val="Compact"/>
              <w:jc w:val="right"/>
            </w:pPr>
            <w:r>
              <w:t xml:space="preserve">0.72</w:t>
            </w:r>
          </w:p>
        </w:tc>
        <w:tc>
          <w:tcPr/>
          <w:p>
            <w:pPr>
              <w:pStyle w:val="Compact"/>
              <w:jc w:val="right"/>
            </w:pPr>
            <w:r>
              <w:t xml:space="preserve">0.88</w:t>
            </w:r>
          </w:p>
        </w:tc>
        <w:tc>
          <w:tcPr/>
          <w:p>
            <w:pPr>
              <w:pStyle w:val="Compact"/>
              <w:jc w:val="right"/>
            </w:pPr>
            <w:r>
              <w:t xml:space="preserve">0.12</w:t>
            </w:r>
          </w:p>
        </w:tc>
      </w:tr>
      <w:tr>
        <w:tc>
          <w:tcPr/>
          <w:p>
            <w:pPr>
              <w:pStyle w:val="Compact"/>
            </w:pPr>
            <w:r>
              <w:t xml:space="preserve">JSW Steel</w:t>
            </w:r>
          </w:p>
        </w:tc>
        <w:tc>
          <w:tcPr/>
          <w:p>
            <w:pPr>
              <w:pStyle w:val="Compact"/>
              <w:jc w:val="right"/>
            </w:pPr>
            <w:r>
              <w:t xml:space="preserve">0.76</w:t>
            </w:r>
          </w:p>
        </w:tc>
        <w:tc>
          <w:tcPr/>
          <w:p>
            <w:pPr>
              <w:pStyle w:val="Compact"/>
              <w:jc w:val="right"/>
            </w:pPr>
            <w:r>
              <w:t xml:space="preserve">0.79</w:t>
            </w:r>
          </w:p>
        </w:tc>
        <w:tc>
          <w:tcPr/>
          <w:p>
            <w:pPr>
              <w:pStyle w:val="Compact"/>
              <w:jc w:val="right"/>
            </w:pPr>
            <w:r>
              <w:t xml:space="preserve">0.74</w:t>
            </w:r>
          </w:p>
        </w:tc>
        <w:tc>
          <w:tcPr/>
          <w:p>
            <w:pPr>
              <w:pStyle w:val="Compact"/>
              <w:jc w:val="right"/>
            </w:pPr>
            <w:r>
              <w:t xml:space="preserve">0.86</w:t>
            </w:r>
          </w:p>
        </w:tc>
        <w:tc>
          <w:tcPr/>
          <w:p>
            <w:pPr>
              <w:pStyle w:val="Compact"/>
              <w:jc w:val="right"/>
            </w:pPr>
            <w:r>
              <w:t xml:space="preserve">0.14</w:t>
            </w:r>
          </w:p>
        </w:tc>
      </w:tr>
      <w:tr>
        <w:tc>
          <w:tcPr/>
          <w:p>
            <w:pPr>
              <w:pStyle w:val="Compact"/>
            </w:pPr>
            <w:r>
              <w:t xml:space="preserve">BASF India</w:t>
            </w:r>
          </w:p>
        </w:tc>
        <w:tc>
          <w:tcPr/>
          <w:p>
            <w:pPr>
              <w:pStyle w:val="Compact"/>
              <w:jc w:val="right"/>
            </w:pPr>
            <w:r>
              <w:t xml:space="preserve">0.74</w:t>
            </w:r>
          </w:p>
        </w:tc>
        <w:tc>
          <w:tcPr/>
          <w:p>
            <w:pPr>
              <w:pStyle w:val="Compact"/>
              <w:jc w:val="right"/>
            </w:pPr>
            <w:r>
              <w:t xml:space="preserve">0.77</w:t>
            </w:r>
          </w:p>
        </w:tc>
        <w:tc>
          <w:tcPr/>
          <w:p>
            <w:pPr>
              <w:pStyle w:val="Compact"/>
              <w:jc w:val="right"/>
            </w:pPr>
            <w:r>
              <w:t xml:space="preserve">0.71</w:t>
            </w:r>
          </w:p>
        </w:tc>
        <w:tc>
          <w:tcPr/>
          <w:p>
            <w:pPr>
              <w:pStyle w:val="Compact"/>
              <w:jc w:val="right"/>
            </w:pPr>
            <w:r>
              <w:t xml:space="preserve">0.89</w:t>
            </w:r>
          </w:p>
        </w:tc>
        <w:tc>
          <w:tcPr/>
          <w:p>
            <w:pPr>
              <w:pStyle w:val="Compact"/>
              <w:jc w:val="right"/>
            </w:pPr>
            <w:r>
              <w:t xml:space="preserve">0.10</w:t>
            </w:r>
          </w:p>
        </w:tc>
      </w:tr>
      <w:tr>
        <w:tc>
          <w:tcPr/>
          <w:p>
            <w:pPr>
              <w:pStyle w:val="Compact"/>
            </w:pPr>
            <w:r>
              <w:t xml:space="preserve">Ambuja Cement</w:t>
            </w:r>
          </w:p>
        </w:tc>
        <w:tc>
          <w:tcPr/>
          <w:p>
            <w:pPr>
              <w:pStyle w:val="Compact"/>
              <w:jc w:val="right"/>
            </w:pPr>
            <w:r>
              <w:t xml:space="preserve">0.77</w:t>
            </w:r>
          </w:p>
        </w:tc>
        <w:tc>
          <w:tcPr/>
          <w:p>
            <w:pPr>
              <w:pStyle w:val="Compact"/>
              <w:jc w:val="right"/>
            </w:pPr>
            <w:r>
              <w:t xml:space="preserve">0.80</w:t>
            </w:r>
          </w:p>
        </w:tc>
        <w:tc>
          <w:tcPr/>
          <w:p>
            <w:pPr>
              <w:pStyle w:val="Compact"/>
              <w:jc w:val="right"/>
            </w:pPr>
            <w:r>
              <w:t xml:space="preserve">0.75</w:t>
            </w:r>
          </w:p>
        </w:tc>
        <w:tc>
          <w:tcPr/>
          <w:p>
            <w:pPr>
              <w:pStyle w:val="Compact"/>
              <w:jc w:val="right"/>
            </w:pPr>
            <w:r>
              <w:t xml:space="preserve">0.87</w:t>
            </w:r>
          </w:p>
        </w:tc>
        <w:tc>
          <w:tcPr/>
          <w:p>
            <w:pPr>
              <w:pStyle w:val="Compact"/>
              <w:jc w:val="right"/>
            </w:pPr>
            <w:r>
              <w:t xml:space="preserve">0.11</w:t>
            </w:r>
          </w:p>
        </w:tc>
      </w:tr>
      <w:tr>
        <w:tc>
          <w:tcPr/>
          <w:p>
            <w:pPr>
              <w:pStyle w:val="Compact"/>
            </w:pPr>
            <w:r>
              <w:t xml:space="preserve">Aarti Industries Limited</w:t>
            </w:r>
          </w:p>
        </w:tc>
        <w:tc>
          <w:tcPr/>
          <w:p>
            <w:pPr>
              <w:pStyle w:val="Compact"/>
              <w:jc w:val="right"/>
            </w:pPr>
            <w:r>
              <w:t xml:space="preserve">0.73</w:t>
            </w:r>
          </w:p>
        </w:tc>
        <w:tc>
          <w:tcPr/>
          <w:p>
            <w:pPr>
              <w:pStyle w:val="Compact"/>
              <w:jc w:val="right"/>
            </w:pPr>
            <w:r>
              <w:t xml:space="preserve">0.76</w:t>
            </w:r>
          </w:p>
        </w:tc>
        <w:tc>
          <w:tcPr/>
          <w:p>
            <w:pPr>
              <w:pStyle w:val="Compact"/>
              <w:jc w:val="right"/>
            </w:pPr>
            <w:r>
              <w:t xml:space="preserve">0.70</w:t>
            </w:r>
          </w:p>
        </w:tc>
        <w:tc>
          <w:tcPr/>
          <w:p>
            <w:pPr>
              <w:pStyle w:val="Compact"/>
              <w:jc w:val="right"/>
            </w:pPr>
            <w:r>
              <w:t xml:space="preserve">0.85</w:t>
            </w:r>
          </w:p>
        </w:tc>
        <w:tc>
          <w:tcPr/>
          <w:p>
            <w:pPr>
              <w:pStyle w:val="Compact"/>
              <w:jc w:val="right"/>
            </w:pPr>
            <w:r>
              <w:t xml:space="preserve">0.13</w:t>
            </w:r>
          </w:p>
        </w:tc>
      </w:tr>
      <w:tr>
        <w:tc>
          <w:tcPr/>
          <w:p>
            <w:pPr>
              <w:pStyle w:val="Compact"/>
            </w:pPr>
            <w:r>
              <w:t xml:space="preserve">GNFC</w:t>
            </w:r>
          </w:p>
        </w:tc>
        <w:tc>
          <w:tcPr/>
          <w:p>
            <w:pPr>
              <w:pStyle w:val="Compact"/>
              <w:jc w:val="right"/>
            </w:pPr>
            <w:r>
              <w:t xml:space="preserve">0.75</w:t>
            </w:r>
          </w:p>
        </w:tc>
        <w:tc>
          <w:tcPr/>
          <w:p>
            <w:pPr>
              <w:pStyle w:val="Compact"/>
              <w:jc w:val="right"/>
            </w:pPr>
            <w:r>
              <w:t xml:space="preserve">0.78</w:t>
            </w:r>
          </w:p>
        </w:tc>
        <w:tc>
          <w:tcPr/>
          <w:p>
            <w:pPr>
              <w:pStyle w:val="Compact"/>
              <w:jc w:val="right"/>
            </w:pPr>
            <w:r>
              <w:t xml:space="preserve">0.73</w:t>
            </w:r>
          </w:p>
        </w:tc>
        <w:tc>
          <w:tcPr/>
          <w:p>
            <w:pPr>
              <w:pStyle w:val="Compact"/>
              <w:jc w:val="right"/>
            </w:pPr>
            <w:r>
              <w:t xml:space="preserve">0.86</w:t>
            </w:r>
          </w:p>
        </w:tc>
        <w:tc>
          <w:tcPr/>
          <w:p>
            <w:pPr>
              <w:pStyle w:val="Compact"/>
              <w:jc w:val="right"/>
            </w:pPr>
            <w:r>
              <w:t xml:space="preserve">0.12</w:t>
            </w:r>
          </w:p>
        </w:tc>
      </w:tr>
    </w:tbl>
    <w:p>
      <w:pPr>
        <w:pStyle w:val="BodyText"/>
      </w:pPr>
      <w:r>
        <w:rPr>
          <w:b/>
          <w:bCs/>
        </w:rPr>
        <w:t xml:space="preserve">Sample interpretation:</w:t>
      </w:r>
      <w:r>
        <w:br/>
      </w:r>
      <w:r>
        <w:t xml:space="preserve">Across the six Indian companies, retrieval</w:t>
      </w:r>
      <w:r>
        <w:t xml:space="preserve"> </w:t>
      </w:r>
      <w:hyperlink r:id="rId22">
        <w:r>
          <w:rPr>
            <w:rStyle w:val="Hyperlink"/>
          </w:rPr>
          <w:t xml:space="preserve">recall@5</w:t>
        </w:r>
      </w:hyperlink>
      <w:r>
        <w:t xml:space="preserve"> </w:t>
      </w:r>
      <w:r>
        <w:t xml:space="preserve">ranged from 0.73 to 0.78, while SDG-label F1 ranged from 0.76 to 0.81. Valid-item precision remained consistently high, between 0.85 and 0.89, suggesting that the validation layer removed a substantial share of unsupported claims. Over-claim rates remained below 0.15 for all firms, with the lowest rate observed for BASF India and the highest for JSW Steel.</w:t>
      </w:r>
    </w:p>
    <w:bookmarkEnd w:id="23"/>
    <w:bookmarkStart w:id="24" w:name="X3a3bd243bf3a655c8359e17359ae2fc6bda684c"/>
    <w:p>
      <w:pPr>
        <w:pStyle w:val="Heading1"/>
      </w:pPr>
      <w:r>
        <w:t xml:space="preserve">Table 2. Company-level substantive disclosure profile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Company</w:t>
            </w:r>
          </w:p>
        </w:tc>
        <w:tc>
          <w:tcPr/>
          <w:p>
            <w:pPr>
              <w:pStyle w:val="Compact"/>
              <w:jc w:val="right"/>
            </w:pPr>
            <w:r>
              <w:t xml:space="preserve">Valid Evidence Units</w:t>
            </w:r>
          </w:p>
        </w:tc>
        <w:tc>
          <w:tcPr/>
          <w:p>
            <w:pPr>
              <w:pStyle w:val="Compact"/>
              <w:jc w:val="right"/>
            </w:pPr>
            <w:r>
              <w:t xml:space="preserve">Rhetoric Share</w:t>
            </w:r>
          </w:p>
        </w:tc>
        <w:tc>
          <w:tcPr/>
          <w:p>
            <w:pPr>
              <w:pStyle w:val="Compact"/>
              <w:jc w:val="right"/>
            </w:pPr>
            <w:r>
              <w:t xml:space="preserve">Commitment Share</w:t>
            </w:r>
          </w:p>
        </w:tc>
        <w:tc>
          <w:tcPr/>
          <w:p>
            <w:pPr>
              <w:pStyle w:val="Compact"/>
              <w:jc w:val="right"/>
            </w:pPr>
            <w:r>
              <w:t xml:space="preserve">Implementation Share</w:t>
            </w:r>
          </w:p>
        </w:tc>
        <w:tc>
          <w:tcPr/>
          <w:p>
            <w:pPr>
              <w:pStyle w:val="Compact"/>
              <w:jc w:val="right"/>
            </w:pPr>
            <w:r>
              <w:t xml:space="preserve">Measured Implementation Share</w:t>
            </w:r>
          </w:p>
        </w:tc>
        <w:tc>
          <w:tcPr/>
          <w:p>
            <w:pPr>
              <w:pStyle w:val="Compact"/>
              <w:jc w:val="right"/>
            </w:pPr>
            <w:r>
              <w:t xml:space="preserve">Mean Evidence Score</w:t>
            </w:r>
          </w:p>
        </w:tc>
        <w:tc>
          <w:tcPr/>
          <w:p>
            <w:pPr>
              <w:pStyle w:val="Compact"/>
            </w:pPr>
            <w:r>
              <w:t xml:space="preserve">Dominant SDGs</w:t>
            </w:r>
          </w:p>
        </w:tc>
      </w:tr>
      <w:tr>
        <w:tc>
          <w:tcPr/>
          <w:p>
            <w:pPr>
              <w:pStyle w:val="Compact"/>
            </w:pPr>
            <w:r>
              <w:t xml:space="preserve">Coromandel</w:t>
            </w:r>
          </w:p>
        </w:tc>
        <w:tc>
          <w:tcPr/>
          <w:p>
            <w:pPr>
              <w:pStyle w:val="Compact"/>
              <w:jc w:val="right"/>
            </w:pPr>
            <w:r>
              <w:t xml:space="preserve">35</w:t>
            </w:r>
          </w:p>
        </w:tc>
        <w:tc>
          <w:tcPr/>
          <w:p>
            <w:pPr>
              <w:pStyle w:val="Compact"/>
              <w:jc w:val="right"/>
            </w:pPr>
            <w:r>
              <w:t xml:space="preserve">0.26</w:t>
            </w:r>
          </w:p>
        </w:tc>
        <w:tc>
          <w:tcPr/>
          <w:p>
            <w:pPr>
              <w:pStyle w:val="Compact"/>
              <w:jc w:val="right"/>
            </w:pPr>
            <w:r>
              <w:t xml:space="preserve">0.28</w:t>
            </w:r>
          </w:p>
        </w:tc>
        <w:tc>
          <w:tcPr/>
          <w:p>
            <w:pPr>
              <w:pStyle w:val="Compact"/>
              <w:jc w:val="right"/>
            </w:pPr>
            <w:r>
              <w:t xml:space="preserve">0.46</w:t>
            </w:r>
          </w:p>
        </w:tc>
        <w:tc>
          <w:tcPr/>
          <w:p>
            <w:pPr>
              <w:pStyle w:val="Compact"/>
              <w:jc w:val="right"/>
            </w:pPr>
            <w:r>
              <w:t xml:space="preserve">0.26</w:t>
            </w:r>
          </w:p>
        </w:tc>
        <w:tc>
          <w:tcPr/>
          <w:p>
            <w:pPr>
              <w:pStyle w:val="Compact"/>
              <w:jc w:val="right"/>
            </w:pPr>
            <w:r>
              <w:t xml:space="preserve">3.9</w:t>
            </w:r>
          </w:p>
        </w:tc>
        <w:tc>
          <w:tcPr/>
          <w:p>
            <w:pPr>
              <w:pStyle w:val="Compact"/>
            </w:pPr>
            <w:r>
              <w:t xml:space="preserve">SDG 2, SDG 12, SDG 13</w:t>
            </w:r>
          </w:p>
        </w:tc>
      </w:tr>
      <w:tr>
        <w:tc>
          <w:tcPr/>
          <w:p>
            <w:pPr>
              <w:pStyle w:val="Compact"/>
            </w:pPr>
            <w:r>
              <w:t xml:space="preserve">JSW Steel</w:t>
            </w:r>
          </w:p>
        </w:tc>
        <w:tc>
          <w:tcPr/>
          <w:p>
            <w:pPr>
              <w:pStyle w:val="Compact"/>
              <w:jc w:val="right"/>
            </w:pPr>
            <w:r>
              <w:t xml:space="preserve">41</w:t>
            </w:r>
          </w:p>
        </w:tc>
        <w:tc>
          <w:tcPr/>
          <w:p>
            <w:pPr>
              <w:pStyle w:val="Compact"/>
              <w:jc w:val="right"/>
            </w:pPr>
            <w:r>
              <w:t xml:space="preserve">0.22</w:t>
            </w:r>
          </w:p>
        </w:tc>
        <w:tc>
          <w:tcPr/>
          <w:p>
            <w:pPr>
              <w:pStyle w:val="Compact"/>
              <w:jc w:val="right"/>
            </w:pPr>
            <w:r>
              <w:t xml:space="preserve">0.25</w:t>
            </w:r>
          </w:p>
        </w:tc>
        <w:tc>
          <w:tcPr/>
          <w:p>
            <w:pPr>
              <w:pStyle w:val="Compact"/>
              <w:jc w:val="right"/>
            </w:pPr>
            <w:r>
              <w:t xml:space="preserve">0.53</w:t>
            </w:r>
          </w:p>
        </w:tc>
        <w:tc>
          <w:tcPr/>
          <w:p>
            <w:pPr>
              <w:pStyle w:val="Compact"/>
              <w:jc w:val="right"/>
            </w:pPr>
            <w:r>
              <w:t xml:space="preserve">0.31</w:t>
            </w:r>
          </w:p>
        </w:tc>
        <w:tc>
          <w:tcPr/>
          <w:p>
            <w:pPr>
              <w:pStyle w:val="Compact"/>
              <w:jc w:val="right"/>
            </w:pPr>
            <w:r>
              <w:t xml:space="preserve">4.2</w:t>
            </w:r>
          </w:p>
        </w:tc>
        <w:tc>
          <w:tcPr/>
          <w:p>
            <w:pPr>
              <w:pStyle w:val="Compact"/>
            </w:pPr>
            <w:r>
              <w:t xml:space="preserve">SDG 8, SDG 9, SDG 12, SDG 13</w:t>
            </w:r>
          </w:p>
        </w:tc>
      </w:tr>
      <w:tr>
        <w:tc>
          <w:tcPr/>
          <w:p>
            <w:pPr>
              <w:pStyle w:val="Compact"/>
            </w:pPr>
            <w:r>
              <w:t xml:space="preserve">BASF India</w:t>
            </w:r>
          </w:p>
        </w:tc>
        <w:tc>
          <w:tcPr/>
          <w:p>
            <w:pPr>
              <w:pStyle w:val="Compact"/>
              <w:jc w:val="right"/>
            </w:pPr>
            <w:r>
              <w:t xml:space="preserve">33</w:t>
            </w:r>
          </w:p>
        </w:tc>
        <w:tc>
          <w:tcPr/>
          <w:p>
            <w:pPr>
              <w:pStyle w:val="Compact"/>
              <w:jc w:val="right"/>
            </w:pPr>
            <w:r>
              <w:t xml:space="preserve">0.29</w:t>
            </w:r>
          </w:p>
        </w:tc>
        <w:tc>
          <w:tcPr/>
          <w:p>
            <w:pPr>
              <w:pStyle w:val="Compact"/>
              <w:jc w:val="right"/>
            </w:pPr>
            <w:r>
              <w:t xml:space="preserve">0.30</w:t>
            </w:r>
          </w:p>
        </w:tc>
        <w:tc>
          <w:tcPr/>
          <w:p>
            <w:pPr>
              <w:pStyle w:val="Compact"/>
              <w:jc w:val="right"/>
            </w:pPr>
            <w:r>
              <w:t xml:space="preserve">0.41</w:t>
            </w:r>
          </w:p>
        </w:tc>
        <w:tc>
          <w:tcPr/>
          <w:p>
            <w:pPr>
              <w:pStyle w:val="Compact"/>
              <w:jc w:val="right"/>
            </w:pPr>
            <w:r>
              <w:t xml:space="preserve">0.21</w:t>
            </w:r>
          </w:p>
        </w:tc>
        <w:tc>
          <w:tcPr/>
          <w:p>
            <w:pPr>
              <w:pStyle w:val="Compact"/>
              <w:jc w:val="right"/>
            </w:pPr>
            <w:r>
              <w:t xml:space="preserve">3.7</w:t>
            </w:r>
          </w:p>
        </w:tc>
        <w:tc>
          <w:tcPr/>
          <w:p>
            <w:pPr>
              <w:pStyle w:val="Compact"/>
            </w:pPr>
            <w:r>
              <w:t xml:space="preserve">SDG 6, SDG 12, SDG 13</w:t>
            </w:r>
          </w:p>
        </w:tc>
      </w:tr>
      <w:tr>
        <w:tc>
          <w:tcPr/>
          <w:p>
            <w:pPr>
              <w:pStyle w:val="Compact"/>
            </w:pPr>
            <w:r>
              <w:t xml:space="preserve">Ambuja Cement</w:t>
            </w:r>
          </w:p>
        </w:tc>
        <w:tc>
          <w:tcPr/>
          <w:p>
            <w:pPr>
              <w:pStyle w:val="Compact"/>
              <w:jc w:val="right"/>
            </w:pPr>
            <w:r>
              <w:t xml:space="preserve">38</w:t>
            </w:r>
          </w:p>
        </w:tc>
        <w:tc>
          <w:tcPr/>
          <w:p>
            <w:pPr>
              <w:pStyle w:val="Compact"/>
              <w:jc w:val="right"/>
            </w:pPr>
            <w:r>
              <w:t xml:space="preserve">0.24</w:t>
            </w:r>
          </w:p>
        </w:tc>
        <w:tc>
          <w:tcPr/>
          <w:p>
            <w:pPr>
              <w:pStyle w:val="Compact"/>
              <w:jc w:val="right"/>
            </w:pPr>
            <w:r>
              <w:t xml:space="preserve">0.27</w:t>
            </w:r>
          </w:p>
        </w:tc>
        <w:tc>
          <w:tcPr/>
          <w:p>
            <w:pPr>
              <w:pStyle w:val="Compact"/>
              <w:jc w:val="right"/>
            </w:pPr>
            <w:r>
              <w:t xml:space="preserve">0.49</w:t>
            </w:r>
          </w:p>
        </w:tc>
        <w:tc>
          <w:tcPr/>
          <w:p>
            <w:pPr>
              <w:pStyle w:val="Compact"/>
              <w:jc w:val="right"/>
            </w:pPr>
            <w:r>
              <w:t xml:space="preserve">0.29</w:t>
            </w:r>
          </w:p>
        </w:tc>
        <w:tc>
          <w:tcPr/>
          <w:p>
            <w:pPr>
              <w:pStyle w:val="Compact"/>
              <w:jc w:val="right"/>
            </w:pPr>
            <w:r>
              <w:t xml:space="preserve">4.0</w:t>
            </w:r>
          </w:p>
        </w:tc>
        <w:tc>
          <w:tcPr/>
          <w:p>
            <w:pPr>
              <w:pStyle w:val="Compact"/>
            </w:pPr>
            <w:r>
              <w:t xml:space="preserve">SDG 9, SDG 11, SDG 12, SDG 13</w:t>
            </w:r>
          </w:p>
        </w:tc>
      </w:tr>
      <w:tr>
        <w:tc>
          <w:tcPr/>
          <w:p>
            <w:pPr>
              <w:pStyle w:val="Compact"/>
            </w:pPr>
            <w:r>
              <w:t xml:space="preserve">Aarti Industries Limited</w:t>
            </w:r>
          </w:p>
        </w:tc>
        <w:tc>
          <w:tcPr/>
          <w:p>
            <w:pPr>
              <w:pStyle w:val="Compact"/>
              <w:jc w:val="right"/>
            </w:pPr>
            <w:r>
              <w:t xml:space="preserve">31</w:t>
            </w:r>
          </w:p>
        </w:tc>
        <w:tc>
          <w:tcPr/>
          <w:p>
            <w:pPr>
              <w:pStyle w:val="Compact"/>
              <w:jc w:val="right"/>
            </w:pPr>
            <w:r>
              <w:t xml:space="preserve">0.31</w:t>
            </w:r>
          </w:p>
        </w:tc>
        <w:tc>
          <w:tcPr/>
          <w:p>
            <w:pPr>
              <w:pStyle w:val="Compact"/>
              <w:jc w:val="right"/>
            </w:pPr>
            <w:r>
              <w:t xml:space="preserve">0.29</w:t>
            </w:r>
          </w:p>
        </w:tc>
        <w:tc>
          <w:tcPr/>
          <w:p>
            <w:pPr>
              <w:pStyle w:val="Compact"/>
              <w:jc w:val="right"/>
            </w:pPr>
            <w:r>
              <w:t xml:space="preserve">0.40</w:t>
            </w:r>
          </w:p>
        </w:tc>
        <w:tc>
          <w:tcPr/>
          <w:p>
            <w:pPr>
              <w:pStyle w:val="Compact"/>
              <w:jc w:val="right"/>
            </w:pPr>
            <w:r>
              <w:t xml:space="preserve">0.19</w:t>
            </w:r>
          </w:p>
        </w:tc>
        <w:tc>
          <w:tcPr/>
          <w:p>
            <w:pPr>
              <w:pStyle w:val="Compact"/>
              <w:jc w:val="right"/>
            </w:pPr>
            <w:r>
              <w:t xml:space="preserve">3.6</w:t>
            </w:r>
          </w:p>
        </w:tc>
        <w:tc>
          <w:tcPr/>
          <w:p>
            <w:pPr>
              <w:pStyle w:val="Compact"/>
            </w:pPr>
            <w:r>
              <w:t xml:space="preserve">SDG 6, SDG 8, SDG 12</w:t>
            </w:r>
          </w:p>
        </w:tc>
      </w:tr>
      <w:tr>
        <w:tc>
          <w:tcPr/>
          <w:p>
            <w:pPr>
              <w:pStyle w:val="Compact"/>
            </w:pPr>
            <w:r>
              <w:t xml:space="preserve">GNFC</w:t>
            </w:r>
          </w:p>
        </w:tc>
        <w:tc>
          <w:tcPr/>
          <w:p>
            <w:pPr>
              <w:pStyle w:val="Compact"/>
              <w:jc w:val="right"/>
            </w:pPr>
            <w:r>
              <w:t xml:space="preserve">34</w:t>
            </w:r>
          </w:p>
        </w:tc>
        <w:tc>
          <w:tcPr/>
          <w:p>
            <w:pPr>
              <w:pStyle w:val="Compact"/>
              <w:jc w:val="right"/>
            </w:pPr>
            <w:r>
              <w:t xml:space="preserve">0.27</w:t>
            </w:r>
          </w:p>
        </w:tc>
        <w:tc>
          <w:tcPr/>
          <w:p>
            <w:pPr>
              <w:pStyle w:val="Compact"/>
              <w:jc w:val="right"/>
            </w:pPr>
            <w:r>
              <w:t xml:space="preserve">0.29</w:t>
            </w:r>
          </w:p>
        </w:tc>
        <w:tc>
          <w:tcPr/>
          <w:p>
            <w:pPr>
              <w:pStyle w:val="Compact"/>
              <w:jc w:val="right"/>
            </w:pPr>
            <w:r>
              <w:t xml:space="preserve">0.44</w:t>
            </w:r>
          </w:p>
        </w:tc>
        <w:tc>
          <w:tcPr/>
          <w:p>
            <w:pPr>
              <w:pStyle w:val="Compact"/>
              <w:jc w:val="right"/>
            </w:pPr>
            <w:r>
              <w:t xml:space="preserve">0.24</w:t>
            </w:r>
          </w:p>
        </w:tc>
        <w:tc>
          <w:tcPr/>
          <w:p>
            <w:pPr>
              <w:pStyle w:val="Compact"/>
              <w:jc w:val="right"/>
            </w:pPr>
            <w:r>
              <w:t xml:space="preserve">3.8</w:t>
            </w:r>
          </w:p>
        </w:tc>
        <w:tc>
          <w:tcPr/>
          <w:p>
            <w:pPr>
              <w:pStyle w:val="Compact"/>
            </w:pPr>
            <w:r>
              <w:t xml:space="preserve">SDG 2, SDG 6, SDG 12, SDG 13</w:t>
            </w:r>
          </w:p>
        </w:tc>
      </w:tr>
    </w:tbl>
    <w:p>
      <w:pPr>
        <w:pStyle w:val="BodyText"/>
      </w:pPr>
      <w:r>
        <w:rPr>
          <w:b/>
          <w:bCs/>
        </w:rPr>
        <w:t xml:space="preserve">Sample interpretation:</w:t>
      </w:r>
      <w:r>
        <w:br/>
      </w:r>
      <w:r>
        <w:t xml:space="preserve">JSW Steel and Ambuja Cement showed the highest implementation shares, suggesting more operationally embedded disclosure patterns. Coromandel and GNFC showed strong representation of SDG 2 alongside SDGs 12 and 13, consistent with their agribusiness and fertilizer-linked reporting context. BASF India and Aarti Industries Limited showed somewhat lower measured implementation shares, with disclosure more concentrated in responsible production, water, and process-related sustainability themes.</w:t>
      </w:r>
    </w:p>
    <w:bookmarkEnd w:id="24"/>
    <w:bookmarkStart w:id="25" w:name="X8e8eef82e0f53adc50d341e48bb89471f86c418"/>
    <w:p>
      <w:pPr>
        <w:pStyle w:val="Heading1"/>
      </w:pPr>
      <w:r>
        <w:t xml:space="preserve">Table 3. Longitudinal disclosure trend summary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Company</w:t>
            </w:r>
          </w:p>
        </w:tc>
        <w:tc>
          <w:tcPr/>
          <w:p>
            <w:pPr>
              <w:pStyle w:val="Compact"/>
              <w:jc w:val="right"/>
            </w:pPr>
            <w:r>
              <w:t xml:space="preserve">Years Covered</w:t>
            </w:r>
          </w:p>
        </w:tc>
        <w:tc>
          <w:tcPr/>
          <w:p>
            <w:pPr>
              <w:pStyle w:val="Compact"/>
              <w:jc w:val="right"/>
            </w:pPr>
            <w:r>
              <w:t xml:space="preserve">Implementation Trend Slope</w:t>
            </w:r>
          </w:p>
        </w:tc>
        <w:tc>
          <w:tcPr/>
          <w:p>
            <w:pPr>
              <w:pStyle w:val="Compact"/>
              <w:jc w:val="right"/>
            </w:pPr>
            <w:r>
              <w:t xml:space="preserve">Rhetoric Trend Slope</w:t>
            </w:r>
          </w:p>
        </w:tc>
        <w:tc>
          <w:tcPr/>
          <w:p>
            <w:pPr>
              <w:pStyle w:val="Compact"/>
            </w:pPr>
            <w:r>
              <w:t xml:space="preserve">Most Persistent SDGs</w:t>
            </w:r>
          </w:p>
        </w:tc>
        <w:tc>
          <w:tcPr/>
          <w:p>
            <w:pPr>
              <w:pStyle w:val="Compact"/>
            </w:pPr>
            <w:r>
              <w:t xml:space="preserve">Interpretation</w:t>
            </w:r>
          </w:p>
        </w:tc>
      </w:tr>
      <w:tr>
        <w:tc>
          <w:tcPr/>
          <w:p>
            <w:pPr>
              <w:pStyle w:val="Compact"/>
            </w:pPr>
            <w:r>
              <w:t xml:space="preserve">Coromandel</w:t>
            </w:r>
          </w:p>
        </w:tc>
        <w:tc>
          <w:tcPr/>
          <w:p>
            <w:pPr>
              <w:pStyle w:val="Compact"/>
              <w:jc w:val="right"/>
            </w:pPr>
            <w:r>
              <w:t xml:space="preserve">2019–2025</w:t>
            </w:r>
          </w:p>
        </w:tc>
        <w:tc>
          <w:tcPr/>
          <w:p>
            <w:pPr>
              <w:pStyle w:val="Compact"/>
              <w:jc w:val="right"/>
            </w:pPr>
            <w:r>
              <w:t xml:space="preserve">+0.05/year</w:t>
            </w:r>
          </w:p>
        </w:tc>
        <w:tc>
          <w:tcPr/>
          <w:p>
            <w:pPr>
              <w:pStyle w:val="Compact"/>
              <w:jc w:val="right"/>
            </w:pPr>
            <w:r>
              <w:t xml:space="preserve">-0.04/year</w:t>
            </w:r>
          </w:p>
        </w:tc>
        <w:tc>
          <w:tcPr/>
          <w:p>
            <w:pPr>
              <w:pStyle w:val="Compact"/>
            </w:pPr>
            <w:r>
              <w:t xml:space="preserve">SDG 2, SDG 12, SDG 13</w:t>
            </w:r>
          </w:p>
        </w:tc>
        <w:tc>
          <w:tcPr/>
          <w:p>
            <w:pPr>
              <w:pStyle w:val="Compact"/>
            </w:pPr>
            <w:r>
              <w:t xml:space="preserve">Progressive shift from commitment language to implementation evidence</w:t>
            </w:r>
          </w:p>
        </w:tc>
      </w:tr>
      <w:tr>
        <w:tc>
          <w:tcPr/>
          <w:p>
            <w:pPr>
              <w:pStyle w:val="Compact"/>
            </w:pPr>
            <w:r>
              <w:t xml:space="preserve">JSW Steel</w:t>
            </w:r>
          </w:p>
        </w:tc>
        <w:tc>
          <w:tcPr/>
          <w:p>
            <w:pPr>
              <w:pStyle w:val="Compact"/>
              <w:jc w:val="right"/>
            </w:pPr>
            <w:r>
              <w:t xml:space="preserve">2019–2025</w:t>
            </w:r>
          </w:p>
        </w:tc>
        <w:tc>
          <w:tcPr/>
          <w:p>
            <w:pPr>
              <w:pStyle w:val="Compact"/>
              <w:jc w:val="right"/>
            </w:pPr>
            <w:r>
              <w:t xml:space="preserve">+0.06/year</w:t>
            </w:r>
          </w:p>
        </w:tc>
        <w:tc>
          <w:tcPr/>
          <w:p>
            <w:pPr>
              <w:pStyle w:val="Compact"/>
              <w:jc w:val="right"/>
            </w:pPr>
            <w:r>
              <w:t xml:space="preserve">-0.03/year</w:t>
            </w:r>
          </w:p>
        </w:tc>
        <w:tc>
          <w:tcPr/>
          <w:p>
            <w:pPr>
              <w:pStyle w:val="Compact"/>
            </w:pPr>
            <w:r>
              <w:t xml:space="preserve">SDG 8, SDG 9, SDG 12, SDG 13</w:t>
            </w:r>
          </w:p>
        </w:tc>
        <w:tc>
          <w:tcPr/>
          <w:p>
            <w:pPr>
              <w:pStyle w:val="Compact"/>
            </w:pPr>
            <w:r>
              <w:t xml:space="preserve">Strongest improvement in operational and measurable disclosure</w:t>
            </w:r>
          </w:p>
        </w:tc>
      </w:tr>
      <w:tr>
        <w:tc>
          <w:tcPr/>
          <w:p>
            <w:pPr>
              <w:pStyle w:val="Compact"/>
            </w:pPr>
            <w:r>
              <w:t xml:space="preserve">BASF India</w:t>
            </w:r>
          </w:p>
        </w:tc>
        <w:tc>
          <w:tcPr/>
          <w:p>
            <w:pPr>
              <w:pStyle w:val="Compact"/>
              <w:jc w:val="right"/>
            </w:pPr>
            <w:r>
              <w:t xml:space="preserve">2019–2025</w:t>
            </w:r>
          </w:p>
        </w:tc>
        <w:tc>
          <w:tcPr/>
          <w:p>
            <w:pPr>
              <w:pStyle w:val="Compact"/>
              <w:jc w:val="right"/>
            </w:pPr>
            <w:r>
              <w:t xml:space="preserve">+0.03/year</w:t>
            </w:r>
          </w:p>
        </w:tc>
        <w:tc>
          <w:tcPr/>
          <w:p>
            <w:pPr>
              <w:pStyle w:val="Compact"/>
              <w:jc w:val="right"/>
            </w:pPr>
            <w:r>
              <w:t xml:space="preserve">-0.02/year</w:t>
            </w:r>
          </w:p>
        </w:tc>
        <w:tc>
          <w:tcPr/>
          <w:p>
            <w:pPr>
              <w:pStyle w:val="Compact"/>
            </w:pPr>
            <w:r>
              <w:t xml:space="preserve">SDG 6, SDG 12, SDG 13</w:t>
            </w:r>
          </w:p>
        </w:tc>
        <w:tc>
          <w:tcPr/>
          <w:p>
            <w:pPr>
              <w:pStyle w:val="Compact"/>
            </w:pPr>
            <w:r>
              <w:t xml:space="preserve">Gradual improvement, but more moderate than heavy industry peers</w:t>
            </w:r>
          </w:p>
        </w:tc>
      </w:tr>
      <w:tr>
        <w:tc>
          <w:tcPr/>
          <w:p>
            <w:pPr>
              <w:pStyle w:val="Compact"/>
            </w:pPr>
            <w:r>
              <w:t xml:space="preserve">Ambuja Cement</w:t>
            </w:r>
          </w:p>
        </w:tc>
        <w:tc>
          <w:tcPr/>
          <w:p>
            <w:pPr>
              <w:pStyle w:val="Compact"/>
              <w:jc w:val="right"/>
            </w:pPr>
            <w:r>
              <w:t xml:space="preserve">2019–2025</w:t>
            </w:r>
          </w:p>
        </w:tc>
        <w:tc>
          <w:tcPr/>
          <w:p>
            <w:pPr>
              <w:pStyle w:val="Compact"/>
              <w:jc w:val="right"/>
            </w:pPr>
            <w:r>
              <w:t xml:space="preserve">+0.05/year</w:t>
            </w:r>
          </w:p>
        </w:tc>
        <w:tc>
          <w:tcPr/>
          <w:p>
            <w:pPr>
              <w:pStyle w:val="Compact"/>
              <w:jc w:val="right"/>
            </w:pPr>
            <w:r>
              <w:t xml:space="preserve">-0.03/year</w:t>
            </w:r>
          </w:p>
        </w:tc>
        <w:tc>
          <w:tcPr/>
          <w:p>
            <w:pPr>
              <w:pStyle w:val="Compact"/>
            </w:pPr>
            <w:r>
              <w:t xml:space="preserve">SDG 9, SDG 11, SDG 12, SDG 13</w:t>
            </w:r>
          </w:p>
        </w:tc>
        <w:tc>
          <w:tcPr/>
          <w:p>
            <w:pPr>
              <w:pStyle w:val="Compact"/>
            </w:pPr>
            <w:r>
              <w:t xml:space="preserve">Increasing emphasis on implementation and quantitative evidence</w:t>
            </w:r>
          </w:p>
        </w:tc>
      </w:tr>
      <w:tr>
        <w:tc>
          <w:tcPr/>
          <w:p>
            <w:pPr>
              <w:pStyle w:val="Compact"/>
            </w:pPr>
            <w:r>
              <w:t xml:space="preserve">Aarti Industries Limited</w:t>
            </w:r>
          </w:p>
        </w:tc>
        <w:tc>
          <w:tcPr/>
          <w:p>
            <w:pPr>
              <w:pStyle w:val="Compact"/>
              <w:jc w:val="right"/>
            </w:pPr>
            <w:r>
              <w:t xml:space="preserve">2019–2025</w:t>
            </w:r>
          </w:p>
        </w:tc>
        <w:tc>
          <w:tcPr/>
          <w:p>
            <w:pPr>
              <w:pStyle w:val="Compact"/>
              <w:jc w:val="right"/>
            </w:pPr>
            <w:r>
              <w:t xml:space="preserve">+0.03/year</w:t>
            </w:r>
          </w:p>
        </w:tc>
        <w:tc>
          <w:tcPr/>
          <w:p>
            <w:pPr>
              <w:pStyle w:val="Compact"/>
              <w:jc w:val="right"/>
            </w:pPr>
            <w:r>
              <w:t xml:space="preserve">-0.01/year</w:t>
            </w:r>
          </w:p>
        </w:tc>
        <w:tc>
          <w:tcPr/>
          <w:p>
            <w:pPr>
              <w:pStyle w:val="Compact"/>
            </w:pPr>
            <w:r>
              <w:t xml:space="preserve">SDG 6, SDG 8, SDG 12</w:t>
            </w:r>
          </w:p>
        </w:tc>
        <w:tc>
          <w:tcPr/>
          <w:p>
            <w:pPr>
              <w:pStyle w:val="Compact"/>
            </w:pPr>
            <w:r>
              <w:t xml:space="preserve">Incremental improvement with persistent policy-heavy language</w:t>
            </w:r>
          </w:p>
        </w:tc>
      </w:tr>
      <w:tr>
        <w:tc>
          <w:tcPr/>
          <w:p>
            <w:pPr>
              <w:pStyle w:val="Compact"/>
            </w:pPr>
            <w:r>
              <w:t xml:space="preserve">GNFC</w:t>
            </w:r>
          </w:p>
        </w:tc>
        <w:tc>
          <w:tcPr/>
          <w:p>
            <w:pPr>
              <w:pStyle w:val="Compact"/>
              <w:jc w:val="right"/>
            </w:pPr>
            <w:r>
              <w:t xml:space="preserve">2019–2025</w:t>
            </w:r>
          </w:p>
        </w:tc>
        <w:tc>
          <w:tcPr/>
          <w:p>
            <w:pPr>
              <w:pStyle w:val="Compact"/>
              <w:jc w:val="right"/>
            </w:pPr>
            <w:r>
              <w:t xml:space="preserve">+0.04/year</w:t>
            </w:r>
          </w:p>
        </w:tc>
        <w:tc>
          <w:tcPr/>
          <w:p>
            <w:pPr>
              <w:pStyle w:val="Compact"/>
              <w:jc w:val="right"/>
            </w:pPr>
            <w:r>
              <w:t xml:space="preserve">-0.03/year</w:t>
            </w:r>
          </w:p>
        </w:tc>
        <w:tc>
          <w:tcPr/>
          <w:p>
            <w:pPr>
              <w:pStyle w:val="Compact"/>
            </w:pPr>
            <w:r>
              <w:t xml:space="preserve">SDG 2, SDG 6, SDG 12, SDG 13</w:t>
            </w:r>
          </w:p>
        </w:tc>
        <w:tc>
          <w:tcPr/>
          <w:p>
            <w:pPr>
              <w:pStyle w:val="Compact"/>
            </w:pPr>
            <w:r>
              <w:t xml:space="preserve">Moderate transition toward more measurable implementation disclosure</w:t>
            </w:r>
          </w:p>
        </w:tc>
      </w:tr>
    </w:tbl>
    <w:p>
      <w:pPr>
        <w:pStyle w:val="BodyText"/>
      </w:pPr>
      <w:r>
        <w:rPr>
          <w:b/>
          <w:bCs/>
        </w:rPr>
        <w:t xml:space="preserve">Sample interpretation:</w:t>
      </w:r>
      <w:r>
        <w:br/>
      </w:r>
      <w:r>
        <w:t xml:space="preserve">All six firms showed positive implementation-trend slopes and declining rhetoric-trend slopes, suggesting increasing disclosure maturity over time. The steepest implementation trend was observed for JSW Steel, while BASF India and Aarti Industries Limited showed more gradual movement.</w:t>
      </w:r>
    </w:p>
    <w:bookmarkEnd w:id="25"/>
    <w:bookmarkStart w:id="26" w:name="table-4.-cross-model-robustness-summary"/>
    <w:p>
      <w:pPr>
        <w:pStyle w:val="Heading1"/>
      </w:pPr>
      <w:r>
        <w:t xml:space="preserve">Table 4. Cross-model robustness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Company</w:t>
            </w:r>
          </w:p>
        </w:tc>
        <w:tc>
          <w:tcPr/>
          <w:p>
            <w:pPr>
              <w:pStyle w:val="Compact"/>
              <w:jc w:val="right"/>
            </w:pPr>
            <w:r>
              <w:t xml:space="preserve">SDG Agreement (Model A vs Model B)</w:t>
            </w:r>
          </w:p>
        </w:tc>
        <w:tc>
          <w:tcPr/>
          <w:p>
            <w:pPr>
              <w:pStyle w:val="Compact"/>
              <w:jc w:val="right"/>
            </w:pPr>
            <w:r>
              <w:t xml:space="preserve">Stage Agreement</w:t>
            </w:r>
          </w:p>
        </w:tc>
        <w:tc>
          <w:tcPr/>
          <w:p>
            <w:pPr>
              <w:pStyle w:val="Compact"/>
              <w:jc w:val="right"/>
            </w:pPr>
            <w:r>
              <w:t xml:space="preserve">Difference in Over-claim Rate</w:t>
            </w:r>
          </w:p>
        </w:tc>
        <w:tc>
          <w:tcPr/>
          <w:p>
            <w:pPr>
              <w:pStyle w:val="Compact"/>
            </w:pPr>
            <w:r>
              <w:t xml:space="preserve">Robustness Interpretation</w:t>
            </w:r>
          </w:p>
        </w:tc>
      </w:tr>
      <w:tr>
        <w:tc>
          <w:tcPr/>
          <w:p>
            <w:pPr>
              <w:pStyle w:val="Compact"/>
            </w:pPr>
            <w:r>
              <w:t xml:space="preserve">Coromandel</w:t>
            </w:r>
          </w:p>
        </w:tc>
        <w:tc>
          <w:tcPr/>
          <w:p>
            <w:pPr>
              <w:pStyle w:val="Compact"/>
              <w:jc w:val="right"/>
            </w:pPr>
            <w:r>
              <w:t xml:space="preserve">0.82</w:t>
            </w:r>
          </w:p>
        </w:tc>
        <w:tc>
          <w:tcPr/>
          <w:p>
            <w:pPr>
              <w:pStyle w:val="Compact"/>
              <w:jc w:val="right"/>
            </w:pPr>
            <w:r>
              <w:t xml:space="preserve">0.76</w:t>
            </w:r>
          </w:p>
        </w:tc>
        <w:tc>
          <w:tcPr/>
          <w:p>
            <w:pPr>
              <w:pStyle w:val="Compact"/>
              <w:jc w:val="right"/>
            </w:pPr>
            <w:r>
              <w:t xml:space="preserve">0.04</w:t>
            </w:r>
          </w:p>
        </w:tc>
        <w:tc>
          <w:tcPr/>
          <w:p>
            <w:pPr>
              <w:pStyle w:val="Compact"/>
            </w:pPr>
            <w:r>
              <w:t xml:space="preserve">Good agreement, moderate stage sensitivity</w:t>
            </w:r>
          </w:p>
        </w:tc>
      </w:tr>
      <w:tr>
        <w:tc>
          <w:tcPr/>
          <w:p>
            <w:pPr>
              <w:pStyle w:val="Compact"/>
            </w:pPr>
            <w:r>
              <w:t xml:space="preserve">JSW Steel</w:t>
            </w:r>
          </w:p>
        </w:tc>
        <w:tc>
          <w:tcPr/>
          <w:p>
            <w:pPr>
              <w:pStyle w:val="Compact"/>
              <w:jc w:val="right"/>
            </w:pPr>
            <w:r>
              <w:t xml:space="preserve">0.79</w:t>
            </w:r>
          </w:p>
        </w:tc>
        <w:tc>
          <w:tcPr/>
          <w:p>
            <w:pPr>
              <w:pStyle w:val="Compact"/>
              <w:jc w:val="right"/>
            </w:pPr>
            <w:r>
              <w:t xml:space="preserve">0.74</w:t>
            </w:r>
          </w:p>
        </w:tc>
        <w:tc>
          <w:tcPr/>
          <w:p>
            <w:pPr>
              <w:pStyle w:val="Compact"/>
              <w:jc w:val="right"/>
            </w:pPr>
            <w:r>
              <w:t xml:space="preserve">0.06</w:t>
            </w:r>
          </w:p>
        </w:tc>
        <w:tc>
          <w:tcPr/>
          <w:p>
            <w:pPr>
              <w:pStyle w:val="Compact"/>
            </w:pPr>
            <w:r>
              <w:t xml:space="preserve">Strong content signal, slightly higher model variance</w:t>
            </w:r>
          </w:p>
        </w:tc>
      </w:tr>
      <w:tr>
        <w:tc>
          <w:tcPr/>
          <w:p>
            <w:pPr>
              <w:pStyle w:val="Compact"/>
            </w:pPr>
            <w:r>
              <w:t xml:space="preserve">BASF India</w:t>
            </w:r>
          </w:p>
        </w:tc>
        <w:tc>
          <w:tcPr/>
          <w:p>
            <w:pPr>
              <w:pStyle w:val="Compact"/>
              <w:jc w:val="right"/>
            </w:pPr>
            <w:r>
              <w:t xml:space="preserve">0.84</w:t>
            </w:r>
          </w:p>
        </w:tc>
        <w:tc>
          <w:tcPr/>
          <w:p>
            <w:pPr>
              <w:pStyle w:val="Compact"/>
              <w:jc w:val="right"/>
            </w:pPr>
            <w:r>
              <w:t xml:space="preserve">0.78</w:t>
            </w:r>
          </w:p>
        </w:tc>
        <w:tc>
          <w:tcPr/>
          <w:p>
            <w:pPr>
              <w:pStyle w:val="Compact"/>
              <w:jc w:val="right"/>
            </w:pPr>
            <w:r>
              <w:t xml:space="preserve">0.03</w:t>
            </w:r>
          </w:p>
        </w:tc>
        <w:tc>
          <w:tcPr/>
          <w:p>
            <w:pPr>
              <w:pStyle w:val="Compact"/>
            </w:pPr>
            <w:r>
              <w:t xml:space="preserve">Most stable across models</w:t>
            </w:r>
          </w:p>
        </w:tc>
      </w:tr>
      <w:tr>
        <w:tc>
          <w:tcPr/>
          <w:p>
            <w:pPr>
              <w:pStyle w:val="Compact"/>
            </w:pPr>
            <w:r>
              <w:t xml:space="preserve">Ambuja Cement</w:t>
            </w:r>
          </w:p>
        </w:tc>
        <w:tc>
          <w:tcPr/>
          <w:p>
            <w:pPr>
              <w:pStyle w:val="Compact"/>
              <w:jc w:val="right"/>
            </w:pPr>
            <w:r>
              <w:t xml:space="preserve">0.81</w:t>
            </w:r>
          </w:p>
        </w:tc>
        <w:tc>
          <w:tcPr/>
          <w:p>
            <w:pPr>
              <w:pStyle w:val="Compact"/>
              <w:jc w:val="right"/>
            </w:pPr>
            <w:r>
              <w:t xml:space="preserve">0.77</w:t>
            </w:r>
          </w:p>
        </w:tc>
        <w:tc>
          <w:tcPr/>
          <w:p>
            <w:pPr>
              <w:pStyle w:val="Compact"/>
              <w:jc w:val="right"/>
            </w:pPr>
            <w:r>
              <w:t xml:space="preserve">0.04</w:t>
            </w:r>
          </w:p>
        </w:tc>
        <w:tc>
          <w:tcPr/>
          <w:p>
            <w:pPr>
              <w:pStyle w:val="Compact"/>
            </w:pPr>
            <w:r>
              <w:t xml:space="preserve">Good cross-model consistency</w:t>
            </w:r>
          </w:p>
        </w:tc>
      </w:tr>
      <w:tr>
        <w:tc>
          <w:tcPr/>
          <w:p>
            <w:pPr>
              <w:pStyle w:val="Compact"/>
            </w:pPr>
            <w:r>
              <w:t xml:space="preserve">Aarti Industries Limited</w:t>
            </w:r>
          </w:p>
        </w:tc>
        <w:tc>
          <w:tcPr/>
          <w:p>
            <w:pPr>
              <w:pStyle w:val="Compact"/>
              <w:jc w:val="right"/>
            </w:pPr>
            <w:r>
              <w:t xml:space="preserve">0.77</w:t>
            </w:r>
          </w:p>
        </w:tc>
        <w:tc>
          <w:tcPr/>
          <w:p>
            <w:pPr>
              <w:pStyle w:val="Compact"/>
              <w:jc w:val="right"/>
            </w:pPr>
            <w:r>
              <w:t xml:space="preserve">0.72</w:t>
            </w:r>
          </w:p>
        </w:tc>
        <w:tc>
          <w:tcPr/>
          <w:p>
            <w:pPr>
              <w:pStyle w:val="Compact"/>
              <w:jc w:val="right"/>
            </w:pPr>
            <w:r>
              <w:t xml:space="preserve">0.05</w:t>
            </w:r>
          </w:p>
        </w:tc>
        <w:tc>
          <w:tcPr/>
          <w:p>
            <w:pPr>
              <w:pStyle w:val="Compact"/>
            </w:pPr>
            <w:r>
              <w:t xml:space="preserve">Moderate model sensitivity</w:t>
            </w:r>
          </w:p>
        </w:tc>
      </w:tr>
      <w:tr>
        <w:tc>
          <w:tcPr/>
          <w:p>
            <w:pPr>
              <w:pStyle w:val="Compact"/>
            </w:pPr>
            <w:r>
              <w:t xml:space="preserve">GNFC</w:t>
            </w:r>
          </w:p>
        </w:tc>
        <w:tc>
          <w:tcPr/>
          <w:p>
            <w:pPr>
              <w:pStyle w:val="Compact"/>
              <w:jc w:val="right"/>
            </w:pPr>
            <w:r>
              <w:t xml:space="preserve">0.80</w:t>
            </w:r>
          </w:p>
        </w:tc>
        <w:tc>
          <w:tcPr/>
          <w:p>
            <w:pPr>
              <w:pStyle w:val="Compact"/>
              <w:jc w:val="right"/>
            </w:pPr>
            <w:r>
              <w:t xml:space="preserve">0.75</w:t>
            </w:r>
          </w:p>
        </w:tc>
        <w:tc>
          <w:tcPr/>
          <w:p>
            <w:pPr>
              <w:pStyle w:val="Compact"/>
              <w:jc w:val="right"/>
            </w:pPr>
            <w:r>
              <w:t xml:space="preserve">0.04</w:t>
            </w:r>
          </w:p>
        </w:tc>
        <w:tc>
          <w:tcPr/>
          <w:p>
            <w:pPr>
              <w:pStyle w:val="Compact"/>
            </w:pPr>
            <w:r>
              <w:t xml:space="preserve">Reasonably stable across model choices</w:t>
            </w:r>
          </w:p>
        </w:tc>
      </w:tr>
    </w:tbl>
    <w:p>
      <w:pPr>
        <w:pStyle w:val="BodyText"/>
      </w:pPr>
      <w:r>
        <w:rPr>
          <w:b/>
          <w:bCs/>
        </w:rPr>
        <w:t xml:space="preserve">Sample interpretation:</w:t>
      </w:r>
      <w:r>
        <w:br/>
      </w:r>
      <w:r>
        <w:t xml:space="preserve">Cross-model agreement remained acceptable across firms, with BASF India showing the strongest robustness and Aarti Industries Limited showing the greatest sensitivity to model choice. Stage agreement was consistently lower than SDG agreement, confirming that implementation-stage classification is the more difficult and unstable task.</w:t>
      </w:r>
    </w:p>
    <w:bookmarkEnd w:id="26"/>
    <w:bookmarkStart w:id="27" w:name="table-5.-india-portfolio-level-summary"/>
    <w:p>
      <w:pPr>
        <w:pStyle w:val="Heading1"/>
      </w:pPr>
      <w:r>
        <w:t xml:space="preserve">Table 5. India portfolio-level summary</w:t>
      </w:r>
    </w:p>
    <w:tbl>
      <w:tblPr>
        <w:tblStyle w:val="Table"/>
        <w:tblW w:type="pct" w:w="5000"/>
        <w:tblLayout w:type="fixed"/>
        <w:tblLook w:firstRow="1" w:lastRow="0" w:firstColumn="0" w:lastColumn="0" w:noHBand="0" w:noVBand="0" w:val="0020"/>
      </w:tblPr>
      <w:tblGrid>
        <w:gridCol w:w="6160"/>
        <w:gridCol w:w="17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Total companies</w:t>
            </w:r>
          </w:p>
        </w:tc>
        <w:tc>
          <w:tcPr/>
          <w:p>
            <w:pPr>
              <w:pStyle w:val="Compact"/>
              <w:jc w:val="right"/>
            </w:pPr>
            <w:r>
              <w:t xml:space="preserve">6</w:t>
            </w:r>
          </w:p>
        </w:tc>
      </w:tr>
      <w:tr>
        <w:tc>
          <w:tcPr/>
          <w:p>
            <w:pPr>
              <w:pStyle w:val="Compact"/>
            </w:pPr>
            <w:r>
              <w:t xml:space="preserve">Average retrieval</w:t>
            </w:r>
            <w:r>
              <w:t xml:space="preserve"> </w:t>
            </w:r>
            <w:hyperlink r:id="rId22">
              <w:r>
                <w:rPr>
                  <w:rStyle w:val="Hyperlink"/>
                </w:rPr>
                <w:t xml:space="preserve">recall@5</w:t>
              </w:r>
            </w:hyperlink>
          </w:p>
        </w:tc>
        <w:tc>
          <w:tcPr/>
          <w:p>
            <w:pPr>
              <w:pStyle w:val="Compact"/>
              <w:jc w:val="right"/>
            </w:pPr>
            <w:r>
              <w:t xml:space="preserve">0.76</w:t>
            </w:r>
          </w:p>
        </w:tc>
      </w:tr>
      <w:tr>
        <w:tc>
          <w:tcPr/>
          <w:p>
            <w:pPr>
              <w:pStyle w:val="Compact"/>
            </w:pPr>
            <w:r>
              <w:t xml:space="preserve">Average SDG F1</w:t>
            </w:r>
          </w:p>
        </w:tc>
        <w:tc>
          <w:tcPr/>
          <w:p>
            <w:pPr>
              <w:pStyle w:val="Compact"/>
              <w:jc w:val="right"/>
            </w:pPr>
            <w:r>
              <w:t xml:space="preserve">0.79</w:t>
            </w:r>
          </w:p>
        </w:tc>
      </w:tr>
      <w:tr>
        <w:tc>
          <w:tcPr/>
          <w:p>
            <w:pPr>
              <w:pStyle w:val="Compact"/>
            </w:pPr>
            <w:r>
              <w:t xml:space="preserve">Average stage accuracy</w:t>
            </w:r>
          </w:p>
        </w:tc>
        <w:tc>
          <w:tcPr/>
          <w:p>
            <w:pPr>
              <w:pStyle w:val="Compact"/>
              <w:jc w:val="right"/>
            </w:pPr>
            <w:r>
              <w:t xml:space="preserve">0.73</w:t>
            </w:r>
          </w:p>
        </w:tc>
      </w:tr>
      <w:tr>
        <w:tc>
          <w:tcPr/>
          <w:p>
            <w:pPr>
              <w:pStyle w:val="Compact"/>
            </w:pPr>
            <w:r>
              <w:t xml:space="preserve">Average valid-item precision</w:t>
            </w:r>
          </w:p>
        </w:tc>
        <w:tc>
          <w:tcPr/>
          <w:p>
            <w:pPr>
              <w:pStyle w:val="Compact"/>
              <w:jc w:val="right"/>
            </w:pPr>
            <w:r>
              <w:t xml:space="preserve">0.87</w:t>
            </w:r>
          </w:p>
        </w:tc>
      </w:tr>
      <w:tr>
        <w:tc>
          <w:tcPr/>
          <w:p>
            <w:pPr>
              <w:pStyle w:val="Compact"/>
            </w:pPr>
            <w:r>
              <w:t xml:space="preserve">Average over-claim rate</w:t>
            </w:r>
          </w:p>
        </w:tc>
        <w:tc>
          <w:tcPr/>
          <w:p>
            <w:pPr>
              <w:pStyle w:val="Compact"/>
              <w:jc w:val="right"/>
            </w:pPr>
            <w:r>
              <w:t xml:space="preserve">0.12</w:t>
            </w:r>
          </w:p>
        </w:tc>
      </w:tr>
      <w:tr>
        <w:tc>
          <w:tcPr/>
          <w:p>
            <w:pPr>
              <w:pStyle w:val="Compact"/>
            </w:pPr>
            <w:r>
              <w:t xml:space="preserve">Mean rhetoric share</w:t>
            </w:r>
          </w:p>
        </w:tc>
        <w:tc>
          <w:tcPr/>
          <w:p>
            <w:pPr>
              <w:pStyle w:val="Compact"/>
              <w:jc w:val="right"/>
            </w:pPr>
            <w:r>
              <w:t xml:space="preserve">0.27</w:t>
            </w:r>
          </w:p>
        </w:tc>
      </w:tr>
      <w:tr>
        <w:tc>
          <w:tcPr/>
          <w:p>
            <w:pPr>
              <w:pStyle w:val="Compact"/>
            </w:pPr>
            <w:r>
              <w:t xml:space="preserve">Mean commitment share</w:t>
            </w:r>
          </w:p>
        </w:tc>
        <w:tc>
          <w:tcPr/>
          <w:p>
            <w:pPr>
              <w:pStyle w:val="Compact"/>
              <w:jc w:val="right"/>
            </w:pPr>
            <w:r>
              <w:t xml:space="preserve">0.28</w:t>
            </w:r>
          </w:p>
        </w:tc>
      </w:tr>
      <w:tr>
        <w:tc>
          <w:tcPr/>
          <w:p>
            <w:pPr>
              <w:pStyle w:val="Compact"/>
            </w:pPr>
            <w:r>
              <w:t xml:space="preserve">Mean implementation share</w:t>
            </w:r>
          </w:p>
        </w:tc>
        <w:tc>
          <w:tcPr/>
          <w:p>
            <w:pPr>
              <w:pStyle w:val="Compact"/>
              <w:jc w:val="right"/>
            </w:pPr>
            <w:r>
              <w:t xml:space="preserve">0.46</w:t>
            </w:r>
          </w:p>
        </w:tc>
      </w:tr>
      <w:tr>
        <w:tc>
          <w:tcPr/>
          <w:p>
            <w:pPr>
              <w:pStyle w:val="Compact"/>
            </w:pPr>
            <w:r>
              <w:t xml:space="preserve">Mean measured implementation share</w:t>
            </w:r>
          </w:p>
        </w:tc>
        <w:tc>
          <w:tcPr/>
          <w:p>
            <w:pPr>
              <w:pStyle w:val="Compact"/>
              <w:jc w:val="right"/>
            </w:pPr>
            <w:r>
              <w:t xml:space="preserve">0.25</w:t>
            </w:r>
          </w:p>
        </w:tc>
      </w:tr>
      <w:tr>
        <w:tc>
          <w:tcPr/>
          <w:p>
            <w:pPr>
              <w:pStyle w:val="Compact"/>
            </w:pPr>
            <w:r>
              <w:t xml:space="preserve">Most frequently dominant SDGs</w:t>
            </w:r>
          </w:p>
        </w:tc>
        <w:tc>
          <w:tcPr/>
          <w:p>
            <w:pPr>
              <w:pStyle w:val="Compact"/>
              <w:jc w:val="right"/>
            </w:pPr>
            <w:r>
              <w:t xml:space="preserve">SDG 12, SDG 13</w:t>
            </w:r>
          </w:p>
        </w:tc>
      </w:tr>
      <w:tr>
        <w:tc>
          <w:tcPr/>
          <w:p>
            <w:pPr>
              <w:pStyle w:val="Compact"/>
            </w:pPr>
            <w:r>
              <w:t xml:space="preserve">Sector-linked SDG differentiation</w:t>
            </w:r>
          </w:p>
        </w:tc>
        <w:tc>
          <w:tcPr/>
          <w:p>
            <w:pPr>
              <w:pStyle w:val="Compact"/>
              <w:jc w:val="right"/>
            </w:pPr>
            <w:r>
              <w:t xml:space="preserve">Present</w:t>
            </w:r>
          </w:p>
        </w:tc>
      </w:tr>
    </w:tbl>
    <w:p>
      <w:pPr>
        <w:pStyle w:val="BodyText"/>
      </w:pPr>
      <w:r>
        <w:rPr>
          <w:b/>
          <w:bCs/>
        </w:rPr>
        <w:t xml:space="preserve">Sample interpretation:</w:t>
      </w:r>
      <w:r>
        <w:br/>
      </w:r>
      <w:r>
        <w:t xml:space="preserve">At the portfolio level, the six-company sample showed moderate-to-strong implementation-oriented SDG disclosure, with an average implementation share of 0.46 and a measured implementation share of 0.25. SDGs 12 and 13 appeared most consistently across sectors, while sector-linked specialization was visible in SDG 2 for agribusiness-linked firms and SDGs 9 and 11 for infrastructure- and materials-linked firms.</w:t>
      </w:r>
    </w:p>
    <w:bookmarkEnd w:id="27"/>
    <w:bookmarkStart w:id="28" w:name="sample-results-paragraph-for-a-paper"/>
    <w:p>
      <w:pPr>
        <w:pStyle w:val="Heading1"/>
      </w:pPr>
      <w:r>
        <w:t xml:space="preserve">Sample results paragraph for a paper</w:t>
      </w:r>
    </w:p>
    <w:p>
      <w:pPr>
        <w:pStyle w:val="FirstParagraph"/>
      </w:pPr>
      <w:r>
        <w:t xml:space="preserve">Across the six Indian companies, the proposed workflow demonstrated consistent benchmark performance, with retrieval</w:t>
      </w:r>
      <w:r>
        <w:t xml:space="preserve"> </w:t>
      </w:r>
      <w:hyperlink r:id="rId22">
        <w:r>
          <w:rPr>
            <w:rStyle w:val="Hyperlink"/>
          </w:rPr>
          <w:t xml:space="preserve">recall@5</w:t>
        </w:r>
      </w:hyperlink>
      <w:r>
        <w:t xml:space="preserve"> </w:t>
      </w:r>
      <w:r>
        <w:t xml:space="preserve">ranging from 0.73 to 0.78 and SDG-label F1 ranging from 0.76 to 0.81. Valid-item precision remained high across firms, indicating that deterministic validation substantially reduced unsupported extractions. Substantively, implementation-oriented disclosure exceeded rhetoric-oriented disclosure for all six companies, although the magnitude of this shift varied by sector. JSW Steel and Ambuja Cement exhibited the highest implementation shares and measured implementation shares, while Coromandel and GNFC showed stronger SDG 2 representation alongside SDGs 12 and 13. Longitudinally, all firms showed declining rhetoric shares and rising implementation shares, suggesting a broad transition toward more operational and measurable sustainability reporting over time.</w:t>
      </w:r>
    </w:p>
    <w:bookmarkEnd w:id="28"/>
    <w:bookmarkStart w:id="29" w:name="important-note"/>
    <w:p>
      <w:pPr>
        <w:pStyle w:val="Heading1"/>
      </w:pPr>
      <w:r>
        <w:t xml:space="preserve">Important note</w:t>
      </w:r>
    </w:p>
    <w:p>
      <w:pPr>
        <w:pStyle w:val="FirstParagraph"/>
      </w:pPr>
      <w:r>
        <w:t xml:space="preserve">These values are</w:t>
      </w:r>
      <w:r>
        <w:t xml:space="preserve"> </w:t>
      </w:r>
      <w:r>
        <w:rPr>
          <w:b/>
          <w:bCs/>
        </w:rPr>
        <w:t xml:space="preserve">illustrative sample numbers</w:t>
      </w:r>
      <w:r>
        <w:t xml:space="preserve">. They are suitable for: - structuring the paper - showing the format - drafting the results section</w:t>
      </w:r>
    </w:p>
    <w:p>
      <w:pPr>
        <w:pStyle w:val="BodyText"/>
      </w:pPr>
      <w:r>
        <w:t xml:space="preserve">They are</w:t>
      </w:r>
      <w:r>
        <w:t xml:space="preserve"> </w:t>
      </w:r>
      <w:r>
        <w:rPr>
          <w:b/>
          <w:bCs/>
        </w:rPr>
        <w:t xml:space="preserve">not real results</w:t>
      </w:r>
      <w:r>
        <w:t xml:space="preserve"> </w:t>
      </w:r>
      <w:r>
        <w:t xml:space="preserve">until you run the pipeline on each company’s reports.</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Recall@5" TargetMode="External" /><Relationship Type="http://schemas.openxmlformats.org/officeDocument/2006/relationships/hyperlink" Id="rId22" Target="mailto:recall@5" TargetMode="External" /></Relationships>
</file>

<file path=word/_rels/footnotes.xml.rels><?xml version="1.0" encoding="UTF-8"?><Relationships xmlns="http://schemas.openxmlformats.org/package/2006/relationships"><Relationship Type="http://schemas.openxmlformats.org/officeDocument/2006/relationships/hyperlink" Id="rId21" Target="mailto:Recall@5" TargetMode="External" /><Relationship Type="http://schemas.openxmlformats.org/officeDocument/2006/relationships/hyperlink" Id="rId22" Target="mailto:recall@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Results Tables for Six Indian Companies</dc:title>
  <dc:creator>OpenAI</dc:creator>
  <cp:keywords/>
  <dcterms:created xsi:type="dcterms:W3CDTF">2026-03-12T11:38:31Z</dcterms:created>
  <dcterms:modified xsi:type="dcterms:W3CDTF">2026-03-12T11:38:31Z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2026-03-12</vt:lpwstr>
  </property>
  <property fmtid="{D5CDD505-2E9C-101B-9397-08002B2CF9AE}" pid="3" name="output">
    <vt:lpwstr/>
  </property>
</Properties>
</file>