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Sample Results Tables for Indian and South African Companies</w:t>
      </w:r>
    </w:p>
    <w:p>
      <w:pPr>
        <w:pStyle w:val="Author"/>
      </w:pPr>
      <w:r>
        <w:t xml:space="preserve">OpenAI</w:t>
      </w:r>
    </w:p>
    <w:p>
      <w:pPr>
        <w:pStyle w:val="Date"/>
      </w:pPr>
      <w:r>
        <w:t xml:space="preserve">2026-03-12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1"/>
      </w:pPr>
      <w:r>
        <w:t xml:space="preserve">Overview</w:t>
      </w:r>
    </w:p>
    <w:p>
      <w:pPr>
        <w:pStyle w:val="FirstParagraph"/>
      </w:pPr>
      <w:r>
        <w:t xml:space="preserve">This document provides</w:t>
      </w:r>
      <w:r>
        <w:t xml:space="preserve"> </w:t>
      </w:r>
      <w:r>
        <w:rPr>
          <w:b/>
          <w:bCs/>
        </w:rPr>
        <w:t xml:space="preserve">illustrative sample tables</w:t>
      </w:r>
      <w:r>
        <w:t xml:space="preserve"> </w:t>
      </w:r>
      <w:r>
        <w:t xml:space="preserve">for two country groups:</w:t>
      </w:r>
    </w:p>
    <w:p>
      <w:pPr>
        <w:pStyle w:val="Compact"/>
        <w:numPr>
          <w:ilvl w:val="0"/>
          <w:numId w:val="1001"/>
        </w:numPr>
      </w:pPr>
      <w:r>
        <w:rPr>
          <w:b/>
          <w:bCs/>
        </w:rPr>
        <w:t xml:space="preserve">India</w:t>
      </w:r>
      <w:r>
        <w:t xml:space="preserve">: Coromandel, JSW Steel, BASF India, Ambuja Cement, Aarti Industries Limited, GNFC</w:t>
      </w:r>
    </w:p>
    <w:p>
      <w:pPr>
        <w:pStyle w:val="Compact"/>
        <w:numPr>
          <w:ilvl w:val="0"/>
          <w:numId w:val="1001"/>
        </w:numPr>
      </w:pPr>
      <w:r>
        <w:rPr>
          <w:b/>
          <w:bCs/>
        </w:rPr>
        <w:t xml:space="preserve">South Africa</w:t>
      </w:r>
      <w:r>
        <w:t xml:space="preserve">: Kumba Iron Ore, Wesizwe, Gemfields, BHP, AECI, Anglo American</w:t>
      </w:r>
    </w:p>
    <w:p>
      <w:pPr>
        <w:pStyle w:val="FirstParagraph"/>
      </w:pPr>
      <w:r>
        <w:t xml:space="preserve">These values are</w:t>
      </w:r>
      <w:r>
        <w:t xml:space="preserve"> </w:t>
      </w:r>
      <w:r>
        <w:rPr>
          <w:b/>
          <w:bCs/>
        </w:rPr>
        <w:t xml:space="preserve">sample placeholders for manuscript drafting only</w:t>
      </w:r>
      <w:r>
        <w:t xml:space="preserve">. They are</w:t>
      </w:r>
      <w:r>
        <w:t xml:space="preserve"> </w:t>
      </w:r>
      <w:r>
        <w:rPr>
          <w:b/>
          <w:bCs/>
        </w:rPr>
        <w:t xml:space="preserve">not empirical results</w:t>
      </w:r>
      <w:r>
        <w:t xml:space="preserve"> </w:t>
      </w:r>
      <w:r>
        <w:t xml:space="preserve">until the pipeline is run on the underlying company reports.</w:t>
      </w:r>
    </w:p>
    <w:bookmarkEnd w:id="20"/>
    <w:bookmarkStart w:id="25" w:name="india"/>
    <w:p>
      <w:pPr>
        <w:pStyle w:val="Heading1"/>
      </w:pPr>
      <w:r>
        <w:t xml:space="preserve">India</w:t>
      </w:r>
    </w:p>
    <w:bookmarkStart w:id="22" w:name="Xcf2eac53e14802c524f0cb3a9314bdb36094eb5"/>
    <w:p>
      <w:pPr>
        <w:pStyle w:val="Heading2"/>
      </w:pPr>
      <w:r>
        <w:t xml:space="preserve">Table 1. Company-level benchmark and reliability</w:t>
      </w:r>
    </w:p>
    <w:p>
      <w:pPr>
        <w:pStyle w:val="FirstParagraph"/>
      </w:pPr>
      <w:r>
        <w:t xml:space="preserve">Company-level benchmark and reliability</w:t>
      </w:r>
    </w:p>
    <w:p>
      <w:pPr>
        <w:pStyle w:val="BodyText"/>
      </w:pPr>
      <w:r>
        <w:t xml:space="preserve">Company</w:t>
      </w:r>
    </w:p>
    <w:p>
      <w:pPr>
        <w:pStyle w:val="BodyText"/>
      </w:pPr>
      <w:r>
        <w:t xml:space="preserve">Retrieval</w:t>
      </w:r>
      <w:r>
        <w:t xml:space="preserve"> </w:t>
      </w:r>
      <w:hyperlink r:id="rId21">
        <w:r>
          <w:rPr>
            <w:rStyle w:val="Hyperlink"/>
          </w:rPr>
          <w:t xml:space="preserve">Recall@5</w:t>
        </w:r>
      </w:hyperlink>
    </w:p>
    <w:p>
      <w:pPr>
        <w:pStyle w:val="BodyText"/>
      </w:pPr>
      <w:r>
        <w:t xml:space="preserve">SDG F1</w:t>
      </w:r>
    </w:p>
    <w:p>
      <w:pPr>
        <w:pStyle w:val="BodyText"/>
      </w:pPr>
      <w:r>
        <w:t xml:space="preserve">Stage Accuracy</w:t>
      </w:r>
    </w:p>
    <w:p>
      <w:pPr>
        <w:pStyle w:val="BodyText"/>
      </w:pPr>
      <w:r>
        <w:t xml:space="preserve">Valid-item Precision</w:t>
      </w:r>
    </w:p>
    <w:p>
      <w:pPr>
        <w:pStyle w:val="BodyText"/>
      </w:pPr>
      <w:r>
        <w:t xml:space="preserve">Over-claim Rate</w:t>
      </w:r>
    </w:p>
    <w:p>
      <w:pPr>
        <w:pStyle w:val="BodyText"/>
      </w:pPr>
      <w:r>
        <w:t xml:space="preserve">Coromandel</w:t>
      </w:r>
    </w:p>
    <w:p>
      <w:pPr>
        <w:pStyle w:val="BodyText"/>
      </w:pPr>
      <w:r>
        <w:t xml:space="preserve">0.78</w:t>
      </w:r>
    </w:p>
    <w:p>
      <w:pPr>
        <w:pStyle w:val="BodyText"/>
      </w:pPr>
      <w:r>
        <w:t xml:space="preserve">0.81</w:t>
      </w:r>
    </w:p>
    <w:p>
      <w:pPr>
        <w:pStyle w:val="BodyText"/>
      </w:pPr>
      <w:r>
        <w:t xml:space="preserve">0.72</w:t>
      </w:r>
    </w:p>
    <w:p>
      <w:pPr>
        <w:pStyle w:val="BodyText"/>
      </w:pPr>
      <w:r>
        <w:t xml:space="preserve">0.88</w:t>
      </w:r>
    </w:p>
    <w:p>
      <w:pPr>
        <w:pStyle w:val="BodyText"/>
      </w:pPr>
      <w:r>
        <w:t xml:space="preserve">0.12</w:t>
      </w:r>
    </w:p>
    <w:p>
      <w:pPr>
        <w:pStyle w:val="BodyText"/>
      </w:pPr>
      <w:r>
        <w:t xml:space="preserve">JSW Steel</w:t>
      </w:r>
    </w:p>
    <w:p>
      <w:pPr>
        <w:pStyle w:val="BodyText"/>
      </w:pPr>
      <w:r>
        <w:t xml:space="preserve">0.76</w:t>
      </w:r>
    </w:p>
    <w:p>
      <w:pPr>
        <w:pStyle w:val="BodyText"/>
      </w:pPr>
      <w:r>
        <w:t xml:space="preserve">0.79</w:t>
      </w:r>
    </w:p>
    <w:p>
      <w:pPr>
        <w:pStyle w:val="BodyText"/>
      </w:pPr>
      <w:r>
        <w:t xml:space="preserve">0.74</w:t>
      </w:r>
    </w:p>
    <w:p>
      <w:pPr>
        <w:pStyle w:val="BodyText"/>
      </w:pPr>
      <w:r>
        <w:t xml:space="preserve">0.86</w:t>
      </w:r>
    </w:p>
    <w:p>
      <w:pPr>
        <w:pStyle w:val="BodyText"/>
      </w:pPr>
      <w:r>
        <w:t xml:space="preserve">0.14</w:t>
      </w:r>
    </w:p>
    <w:p>
      <w:pPr>
        <w:pStyle w:val="BodyText"/>
      </w:pPr>
      <w:r>
        <w:t xml:space="preserve">BASF India</w:t>
      </w:r>
    </w:p>
    <w:p>
      <w:pPr>
        <w:pStyle w:val="BodyText"/>
      </w:pPr>
      <w:r>
        <w:t xml:space="preserve">0.74</w:t>
      </w:r>
    </w:p>
    <w:p>
      <w:pPr>
        <w:pStyle w:val="BodyText"/>
      </w:pPr>
      <w:r>
        <w:t xml:space="preserve">0.77</w:t>
      </w:r>
    </w:p>
    <w:p>
      <w:pPr>
        <w:pStyle w:val="BodyText"/>
      </w:pPr>
      <w:r>
        <w:t xml:space="preserve">0.71</w:t>
      </w:r>
    </w:p>
    <w:p>
      <w:pPr>
        <w:pStyle w:val="BodyText"/>
      </w:pPr>
      <w:r>
        <w:t xml:space="preserve">0.89</w:t>
      </w:r>
    </w:p>
    <w:p>
      <w:pPr>
        <w:pStyle w:val="BodyText"/>
      </w:pPr>
      <w:r>
        <w:t xml:space="preserve">0.10</w:t>
      </w:r>
    </w:p>
    <w:p>
      <w:pPr>
        <w:pStyle w:val="BodyText"/>
      </w:pPr>
      <w:r>
        <w:t xml:space="preserve">Ambuja Cement</w:t>
      </w:r>
    </w:p>
    <w:p>
      <w:pPr>
        <w:pStyle w:val="BodyText"/>
      </w:pPr>
      <w:r>
        <w:t xml:space="preserve">0.77</w:t>
      </w:r>
    </w:p>
    <w:p>
      <w:pPr>
        <w:pStyle w:val="BodyText"/>
      </w:pPr>
      <w:r>
        <w:t xml:space="preserve">0.80</w:t>
      </w:r>
    </w:p>
    <w:p>
      <w:pPr>
        <w:pStyle w:val="BodyText"/>
      </w:pPr>
      <w:r>
        <w:t xml:space="preserve">0.75</w:t>
      </w:r>
    </w:p>
    <w:p>
      <w:pPr>
        <w:pStyle w:val="BodyText"/>
      </w:pPr>
      <w:r>
        <w:t xml:space="preserve">0.87</w:t>
      </w:r>
    </w:p>
    <w:p>
      <w:pPr>
        <w:pStyle w:val="BodyText"/>
      </w:pPr>
      <w:r>
        <w:t xml:space="preserve">0.11</w:t>
      </w:r>
    </w:p>
    <w:p>
      <w:pPr>
        <w:pStyle w:val="BodyText"/>
      </w:pPr>
      <w:r>
        <w:t xml:space="preserve">Aarti Industries Limited</w:t>
      </w:r>
    </w:p>
    <w:p>
      <w:pPr>
        <w:pStyle w:val="BodyText"/>
      </w:pPr>
      <w:r>
        <w:t xml:space="preserve">0.73</w:t>
      </w:r>
    </w:p>
    <w:p>
      <w:pPr>
        <w:pStyle w:val="BodyText"/>
      </w:pPr>
      <w:r>
        <w:t xml:space="preserve">0.76</w:t>
      </w:r>
    </w:p>
    <w:p>
      <w:pPr>
        <w:pStyle w:val="BodyText"/>
      </w:pPr>
      <w:r>
        <w:t xml:space="preserve">0.70</w:t>
      </w:r>
    </w:p>
    <w:p>
      <w:pPr>
        <w:pStyle w:val="BodyText"/>
      </w:pPr>
      <w:r>
        <w:t xml:space="preserve">0.85</w:t>
      </w:r>
    </w:p>
    <w:p>
      <w:pPr>
        <w:pStyle w:val="BodyText"/>
      </w:pPr>
      <w:r>
        <w:t xml:space="preserve">0.13</w:t>
      </w:r>
    </w:p>
    <w:p>
      <w:pPr>
        <w:pStyle w:val="BodyText"/>
      </w:pPr>
      <w:r>
        <w:t xml:space="preserve">GNFC</w:t>
      </w:r>
    </w:p>
    <w:p>
      <w:pPr>
        <w:pStyle w:val="BodyText"/>
      </w:pPr>
      <w:r>
        <w:t xml:space="preserve">0.75</w:t>
      </w:r>
    </w:p>
    <w:p>
      <w:pPr>
        <w:pStyle w:val="BodyText"/>
      </w:pPr>
      <w:r>
        <w:t xml:space="preserve">0.78</w:t>
      </w:r>
    </w:p>
    <w:p>
      <w:pPr>
        <w:pStyle w:val="BodyText"/>
      </w:pPr>
      <w:r>
        <w:t xml:space="preserve">0.73</w:t>
      </w:r>
    </w:p>
    <w:p>
      <w:pPr>
        <w:pStyle w:val="BodyText"/>
      </w:pPr>
      <w:r>
        <w:t xml:space="preserve">0.86</w:t>
      </w:r>
    </w:p>
    <w:p>
      <w:pPr>
        <w:pStyle w:val="BodyText"/>
      </w:pPr>
      <w:r>
        <w:t xml:space="preserve">0.12</w:t>
      </w:r>
    </w:p>
    <w:bookmarkEnd w:id="22"/>
    <w:bookmarkStart w:id="23" w:name="X3a3bd243bf3a655c8359e17359ae2fc6bda684c"/>
    <w:p>
      <w:pPr>
        <w:pStyle w:val="Heading2"/>
      </w:pPr>
      <w:r>
        <w:t xml:space="preserve">Table 2. Company-level substantive disclosure profile</w:t>
      </w:r>
    </w:p>
    <w:p>
      <w:pPr>
        <w:pStyle w:val="FirstParagraph"/>
      </w:pPr>
      <w:r>
        <w:t xml:space="preserve">Company-level substantive disclosure profile</w:t>
      </w:r>
    </w:p>
    <w:p>
      <w:pPr>
        <w:pStyle w:val="BodyText"/>
      </w:pPr>
      <w:r>
        <w:t xml:space="preserve">Company</w:t>
      </w:r>
    </w:p>
    <w:p>
      <w:pPr>
        <w:pStyle w:val="BodyText"/>
      </w:pPr>
      <w:r>
        <w:t xml:space="preserve">Valid Evidence Units</w:t>
      </w:r>
    </w:p>
    <w:p>
      <w:pPr>
        <w:pStyle w:val="BodyText"/>
      </w:pPr>
      <w:r>
        <w:t xml:space="preserve">Rhetoric Share</w:t>
      </w:r>
    </w:p>
    <w:p>
      <w:pPr>
        <w:pStyle w:val="BodyText"/>
      </w:pPr>
      <w:r>
        <w:t xml:space="preserve">Commitment Share</w:t>
      </w:r>
    </w:p>
    <w:p>
      <w:pPr>
        <w:pStyle w:val="BodyText"/>
      </w:pPr>
      <w:r>
        <w:t xml:space="preserve">Implementation Share</w:t>
      </w:r>
    </w:p>
    <w:p>
      <w:pPr>
        <w:pStyle w:val="BodyText"/>
      </w:pPr>
      <w:r>
        <w:t xml:space="preserve">Measured Implementation Share</w:t>
      </w:r>
    </w:p>
    <w:p>
      <w:pPr>
        <w:pStyle w:val="BodyText"/>
      </w:pPr>
      <w:r>
        <w:t xml:space="preserve">Mean Evidence Score</w:t>
      </w:r>
    </w:p>
    <w:p>
      <w:pPr>
        <w:pStyle w:val="BodyText"/>
      </w:pPr>
      <w:r>
        <w:t xml:space="preserve">Dominant SDGs</w:t>
      </w:r>
    </w:p>
    <w:p>
      <w:pPr>
        <w:pStyle w:val="BodyText"/>
      </w:pPr>
      <w:r>
        <w:t xml:space="preserve">Coromandel</w:t>
      </w:r>
    </w:p>
    <w:p>
      <w:pPr>
        <w:pStyle w:val="BodyText"/>
      </w:pPr>
      <w:r>
        <w:t xml:space="preserve">35</w:t>
      </w:r>
    </w:p>
    <w:p>
      <w:pPr>
        <w:pStyle w:val="BodyText"/>
      </w:pPr>
      <w:r>
        <w:t xml:space="preserve">0.26</w:t>
      </w:r>
    </w:p>
    <w:p>
      <w:pPr>
        <w:pStyle w:val="BodyText"/>
      </w:pPr>
      <w:r>
        <w:t xml:space="preserve">0.28</w:t>
      </w:r>
    </w:p>
    <w:p>
      <w:pPr>
        <w:pStyle w:val="BodyText"/>
      </w:pPr>
      <w:r>
        <w:t xml:space="preserve">0.46</w:t>
      </w:r>
    </w:p>
    <w:p>
      <w:pPr>
        <w:pStyle w:val="BodyText"/>
      </w:pPr>
      <w:r>
        <w:t xml:space="preserve">0.26</w:t>
      </w:r>
    </w:p>
    <w:p>
      <w:pPr>
        <w:pStyle w:val="BodyText"/>
      </w:pPr>
      <w:r>
        <w:t xml:space="preserve">3.9</w:t>
      </w:r>
    </w:p>
    <w:p>
      <w:pPr>
        <w:pStyle w:val="BodyText"/>
      </w:pPr>
      <w:r>
        <w:t xml:space="preserve">SDG 2, SDG 12, SDG 13</w:t>
      </w:r>
    </w:p>
    <w:p>
      <w:pPr>
        <w:pStyle w:val="BodyText"/>
      </w:pPr>
      <w:r>
        <w:t xml:space="preserve">JSW Steel</w:t>
      </w:r>
    </w:p>
    <w:p>
      <w:pPr>
        <w:pStyle w:val="BodyText"/>
      </w:pPr>
      <w:r>
        <w:t xml:space="preserve">41</w:t>
      </w:r>
    </w:p>
    <w:p>
      <w:pPr>
        <w:pStyle w:val="BodyText"/>
      </w:pPr>
      <w:r>
        <w:t xml:space="preserve">0.22</w:t>
      </w:r>
    </w:p>
    <w:p>
      <w:pPr>
        <w:pStyle w:val="BodyText"/>
      </w:pPr>
      <w:r>
        <w:t xml:space="preserve">0.25</w:t>
      </w:r>
    </w:p>
    <w:p>
      <w:pPr>
        <w:pStyle w:val="BodyText"/>
      </w:pPr>
      <w:r>
        <w:t xml:space="preserve">0.53</w:t>
      </w:r>
    </w:p>
    <w:p>
      <w:pPr>
        <w:pStyle w:val="BodyText"/>
      </w:pPr>
      <w:r>
        <w:t xml:space="preserve">0.31</w:t>
      </w:r>
    </w:p>
    <w:p>
      <w:pPr>
        <w:pStyle w:val="BodyText"/>
      </w:pPr>
      <w:r>
        <w:t xml:space="preserve">4.2</w:t>
      </w:r>
    </w:p>
    <w:p>
      <w:pPr>
        <w:pStyle w:val="BodyText"/>
      </w:pPr>
      <w:r>
        <w:t xml:space="preserve">SDG 8, SDG 9, SDG 12, SDG 13</w:t>
      </w:r>
    </w:p>
    <w:p>
      <w:pPr>
        <w:pStyle w:val="BodyText"/>
      </w:pPr>
      <w:r>
        <w:t xml:space="preserve">BASF India</w:t>
      </w:r>
    </w:p>
    <w:p>
      <w:pPr>
        <w:pStyle w:val="BodyText"/>
      </w:pPr>
      <w:r>
        <w:t xml:space="preserve">33</w:t>
      </w:r>
    </w:p>
    <w:p>
      <w:pPr>
        <w:pStyle w:val="BodyText"/>
      </w:pPr>
      <w:r>
        <w:t xml:space="preserve">0.29</w:t>
      </w:r>
    </w:p>
    <w:p>
      <w:pPr>
        <w:pStyle w:val="BodyText"/>
      </w:pPr>
      <w:r>
        <w:t xml:space="preserve">0.30</w:t>
      </w:r>
    </w:p>
    <w:p>
      <w:pPr>
        <w:pStyle w:val="BodyText"/>
      </w:pPr>
      <w:r>
        <w:t xml:space="preserve">0.41</w:t>
      </w:r>
    </w:p>
    <w:p>
      <w:pPr>
        <w:pStyle w:val="BodyText"/>
      </w:pPr>
      <w:r>
        <w:t xml:space="preserve">0.21</w:t>
      </w:r>
    </w:p>
    <w:p>
      <w:pPr>
        <w:pStyle w:val="BodyText"/>
      </w:pPr>
      <w:r>
        <w:t xml:space="preserve">3.7</w:t>
      </w:r>
    </w:p>
    <w:p>
      <w:pPr>
        <w:pStyle w:val="BodyText"/>
      </w:pPr>
      <w:r>
        <w:t xml:space="preserve">SDG 6, SDG 12, SDG 13</w:t>
      </w:r>
    </w:p>
    <w:p>
      <w:pPr>
        <w:pStyle w:val="BodyText"/>
      </w:pPr>
      <w:r>
        <w:t xml:space="preserve">Ambuja Cement</w:t>
      </w:r>
    </w:p>
    <w:p>
      <w:pPr>
        <w:pStyle w:val="BodyText"/>
      </w:pPr>
      <w:r>
        <w:t xml:space="preserve">38</w:t>
      </w:r>
    </w:p>
    <w:p>
      <w:pPr>
        <w:pStyle w:val="BodyText"/>
      </w:pPr>
      <w:r>
        <w:t xml:space="preserve">0.24</w:t>
      </w:r>
    </w:p>
    <w:p>
      <w:pPr>
        <w:pStyle w:val="BodyText"/>
      </w:pPr>
      <w:r>
        <w:t xml:space="preserve">0.27</w:t>
      </w:r>
    </w:p>
    <w:p>
      <w:pPr>
        <w:pStyle w:val="BodyText"/>
      </w:pPr>
      <w:r>
        <w:t xml:space="preserve">0.49</w:t>
      </w:r>
    </w:p>
    <w:p>
      <w:pPr>
        <w:pStyle w:val="BodyText"/>
      </w:pPr>
      <w:r>
        <w:t xml:space="preserve">0.29</w:t>
      </w:r>
    </w:p>
    <w:p>
      <w:pPr>
        <w:pStyle w:val="BodyText"/>
      </w:pPr>
      <w:r>
        <w:t xml:space="preserve">4.0</w:t>
      </w:r>
    </w:p>
    <w:p>
      <w:pPr>
        <w:pStyle w:val="BodyText"/>
      </w:pPr>
      <w:r>
        <w:t xml:space="preserve">SDG 9, SDG 11, SDG 12, SDG 13</w:t>
      </w:r>
    </w:p>
    <w:p>
      <w:pPr>
        <w:pStyle w:val="BodyText"/>
      </w:pPr>
      <w:r>
        <w:t xml:space="preserve">Aarti Industries Limited</w:t>
      </w:r>
    </w:p>
    <w:p>
      <w:pPr>
        <w:pStyle w:val="BodyText"/>
      </w:pPr>
      <w:r>
        <w:t xml:space="preserve">31</w:t>
      </w:r>
    </w:p>
    <w:p>
      <w:pPr>
        <w:pStyle w:val="BodyText"/>
      </w:pPr>
      <w:r>
        <w:t xml:space="preserve">0.31</w:t>
      </w:r>
    </w:p>
    <w:p>
      <w:pPr>
        <w:pStyle w:val="BodyText"/>
      </w:pPr>
      <w:r>
        <w:t xml:space="preserve">0.29</w:t>
      </w:r>
    </w:p>
    <w:p>
      <w:pPr>
        <w:pStyle w:val="BodyText"/>
      </w:pPr>
      <w:r>
        <w:t xml:space="preserve">0.40</w:t>
      </w:r>
    </w:p>
    <w:p>
      <w:pPr>
        <w:pStyle w:val="BodyText"/>
      </w:pPr>
      <w:r>
        <w:t xml:space="preserve">0.19</w:t>
      </w:r>
    </w:p>
    <w:p>
      <w:pPr>
        <w:pStyle w:val="BodyText"/>
      </w:pPr>
      <w:r>
        <w:t xml:space="preserve">3.6</w:t>
      </w:r>
    </w:p>
    <w:p>
      <w:pPr>
        <w:pStyle w:val="BodyText"/>
      </w:pPr>
      <w:r>
        <w:t xml:space="preserve">SDG 6, SDG 8, SDG 12</w:t>
      </w:r>
    </w:p>
    <w:p>
      <w:pPr>
        <w:pStyle w:val="BodyText"/>
      </w:pPr>
      <w:r>
        <w:t xml:space="preserve">GNFC</w:t>
      </w:r>
    </w:p>
    <w:p>
      <w:pPr>
        <w:pStyle w:val="BodyText"/>
      </w:pPr>
      <w:r>
        <w:t xml:space="preserve">34</w:t>
      </w:r>
    </w:p>
    <w:p>
      <w:pPr>
        <w:pStyle w:val="BodyText"/>
      </w:pPr>
      <w:r>
        <w:t xml:space="preserve">0.27</w:t>
      </w:r>
    </w:p>
    <w:p>
      <w:pPr>
        <w:pStyle w:val="BodyText"/>
      </w:pPr>
      <w:r>
        <w:t xml:space="preserve">0.29</w:t>
      </w:r>
    </w:p>
    <w:p>
      <w:pPr>
        <w:pStyle w:val="BodyText"/>
      </w:pPr>
      <w:r>
        <w:t xml:space="preserve">0.44</w:t>
      </w:r>
    </w:p>
    <w:p>
      <w:pPr>
        <w:pStyle w:val="BodyText"/>
      </w:pPr>
      <w:r>
        <w:t xml:space="preserve">0.24</w:t>
      </w:r>
    </w:p>
    <w:p>
      <w:pPr>
        <w:pStyle w:val="BodyText"/>
      </w:pPr>
      <w:r>
        <w:t xml:space="preserve">3.8</w:t>
      </w:r>
    </w:p>
    <w:p>
      <w:pPr>
        <w:pStyle w:val="BodyText"/>
      </w:pPr>
      <w:r>
        <w:t xml:space="preserve">SDG 2, SDG 6, SDG 12, SDG 13</w:t>
      </w:r>
    </w:p>
    <w:bookmarkEnd w:id="23"/>
    <w:bookmarkStart w:id="24" w:name="X8e8eef82e0f53adc50d341e48bb89471f86c418"/>
    <w:p>
      <w:pPr>
        <w:pStyle w:val="Heading2"/>
      </w:pPr>
      <w:r>
        <w:t xml:space="preserve">Table 3. Longitudinal disclosure trend summary</w:t>
      </w:r>
    </w:p>
    <w:p>
      <w:pPr>
        <w:pStyle w:val="FirstParagraph"/>
      </w:pPr>
      <w:r>
        <w:t xml:space="preserve">Longitudinal disclosure trend summary</w:t>
      </w:r>
    </w:p>
    <w:p>
      <w:pPr>
        <w:pStyle w:val="BodyText"/>
      </w:pPr>
      <w:r>
        <w:t xml:space="preserve">Company</w:t>
      </w:r>
    </w:p>
    <w:p>
      <w:pPr>
        <w:pStyle w:val="BodyText"/>
      </w:pPr>
      <w:r>
        <w:t xml:space="preserve">Years Covered</w:t>
      </w:r>
    </w:p>
    <w:p>
      <w:pPr>
        <w:pStyle w:val="BodyText"/>
      </w:pPr>
      <w:r>
        <w:t xml:space="preserve">Implementation Trend Slope</w:t>
      </w:r>
    </w:p>
    <w:p>
      <w:pPr>
        <w:pStyle w:val="BodyText"/>
      </w:pPr>
      <w:r>
        <w:t xml:space="preserve">Rhetoric Trend Slope</w:t>
      </w:r>
    </w:p>
    <w:p>
      <w:pPr>
        <w:pStyle w:val="BodyText"/>
      </w:pPr>
      <w:r>
        <w:t xml:space="preserve">Most Persistent SDGs</w:t>
      </w:r>
    </w:p>
    <w:p>
      <w:pPr>
        <w:pStyle w:val="BodyText"/>
      </w:pPr>
      <w:r>
        <w:t xml:space="preserve">Interpretation</w:t>
      </w:r>
    </w:p>
    <w:p>
      <w:pPr>
        <w:pStyle w:val="BodyText"/>
      </w:pPr>
      <w:r>
        <w:t xml:space="preserve">Coromandel</w:t>
      </w:r>
    </w:p>
    <w:p>
      <w:pPr>
        <w:pStyle w:val="BodyText"/>
      </w:pPr>
      <w:r>
        <w:t xml:space="preserve">2019–2025</w:t>
      </w:r>
    </w:p>
    <w:p>
      <w:pPr>
        <w:pStyle w:val="BodyText"/>
      </w:pPr>
      <w:r>
        <w:t xml:space="preserve">+0.05/year</w:t>
      </w:r>
    </w:p>
    <w:p>
      <w:pPr>
        <w:pStyle w:val="BodyText"/>
      </w:pPr>
      <w:r>
        <w:t xml:space="preserve">-0.04/year</w:t>
      </w:r>
    </w:p>
    <w:p>
      <w:pPr>
        <w:pStyle w:val="BodyText"/>
      </w:pPr>
      <w:r>
        <w:t xml:space="preserve">SDG 2, SDG 12, SDG 13</w:t>
      </w:r>
    </w:p>
    <w:p>
      <w:pPr>
        <w:pStyle w:val="BodyText"/>
      </w:pPr>
      <w:r>
        <w:t xml:space="preserve">Progressive shift from commitment language to implementation evidence</w:t>
      </w:r>
    </w:p>
    <w:p>
      <w:pPr>
        <w:pStyle w:val="BodyText"/>
      </w:pPr>
      <w:r>
        <w:t xml:space="preserve">JSW Steel</w:t>
      </w:r>
    </w:p>
    <w:p>
      <w:pPr>
        <w:pStyle w:val="BodyText"/>
      </w:pPr>
      <w:r>
        <w:t xml:space="preserve">2019–2025</w:t>
      </w:r>
    </w:p>
    <w:p>
      <w:pPr>
        <w:pStyle w:val="BodyText"/>
      </w:pPr>
      <w:r>
        <w:t xml:space="preserve">+0.06/year</w:t>
      </w:r>
    </w:p>
    <w:p>
      <w:pPr>
        <w:pStyle w:val="BodyText"/>
      </w:pPr>
      <w:r>
        <w:t xml:space="preserve">-0.03/year</w:t>
      </w:r>
    </w:p>
    <w:p>
      <w:pPr>
        <w:pStyle w:val="BodyText"/>
      </w:pPr>
      <w:r>
        <w:t xml:space="preserve">SDG 8, SDG 9, SDG 12, SDG 13</w:t>
      </w:r>
    </w:p>
    <w:p>
      <w:pPr>
        <w:pStyle w:val="BodyText"/>
      </w:pPr>
      <w:r>
        <w:t xml:space="preserve">Strongest improvement in operational and measurable disclosure</w:t>
      </w:r>
    </w:p>
    <w:p>
      <w:pPr>
        <w:pStyle w:val="BodyText"/>
      </w:pPr>
      <w:r>
        <w:t xml:space="preserve">BASF India</w:t>
      </w:r>
    </w:p>
    <w:p>
      <w:pPr>
        <w:pStyle w:val="BodyText"/>
      </w:pPr>
      <w:r>
        <w:t xml:space="preserve">2019–2025</w:t>
      </w:r>
    </w:p>
    <w:p>
      <w:pPr>
        <w:pStyle w:val="BodyText"/>
      </w:pPr>
      <w:r>
        <w:t xml:space="preserve">+0.03/year</w:t>
      </w:r>
    </w:p>
    <w:p>
      <w:pPr>
        <w:pStyle w:val="BodyText"/>
      </w:pPr>
      <w:r>
        <w:t xml:space="preserve">-0.02/year</w:t>
      </w:r>
    </w:p>
    <w:p>
      <w:pPr>
        <w:pStyle w:val="BodyText"/>
      </w:pPr>
      <w:r>
        <w:t xml:space="preserve">SDG 6, SDG 12, SDG 13</w:t>
      </w:r>
    </w:p>
    <w:p>
      <w:pPr>
        <w:pStyle w:val="BodyText"/>
      </w:pPr>
      <w:r>
        <w:t xml:space="preserve">Gradual improvement, but more moderate than heavy industry peers</w:t>
      </w:r>
    </w:p>
    <w:p>
      <w:pPr>
        <w:pStyle w:val="BodyText"/>
      </w:pPr>
      <w:r>
        <w:t xml:space="preserve">Ambuja Cement</w:t>
      </w:r>
    </w:p>
    <w:p>
      <w:pPr>
        <w:pStyle w:val="BodyText"/>
      </w:pPr>
      <w:r>
        <w:t xml:space="preserve">2019–2025</w:t>
      </w:r>
    </w:p>
    <w:p>
      <w:pPr>
        <w:pStyle w:val="BodyText"/>
      </w:pPr>
      <w:r>
        <w:t xml:space="preserve">+0.05/year</w:t>
      </w:r>
    </w:p>
    <w:p>
      <w:pPr>
        <w:pStyle w:val="BodyText"/>
      </w:pPr>
      <w:r>
        <w:t xml:space="preserve">-0.03/year</w:t>
      </w:r>
    </w:p>
    <w:p>
      <w:pPr>
        <w:pStyle w:val="BodyText"/>
      </w:pPr>
      <w:r>
        <w:t xml:space="preserve">SDG 9, SDG 11, SDG 12, SDG 13</w:t>
      </w:r>
    </w:p>
    <w:p>
      <w:pPr>
        <w:pStyle w:val="BodyText"/>
      </w:pPr>
      <w:r>
        <w:t xml:space="preserve">Increasing emphasis on implementation and quantitative evidence</w:t>
      </w:r>
    </w:p>
    <w:p>
      <w:pPr>
        <w:pStyle w:val="BodyText"/>
      </w:pPr>
      <w:r>
        <w:t xml:space="preserve">Aarti Industries Limited</w:t>
      </w:r>
    </w:p>
    <w:p>
      <w:pPr>
        <w:pStyle w:val="BodyText"/>
      </w:pPr>
      <w:r>
        <w:t xml:space="preserve">2019–2025</w:t>
      </w:r>
    </w:p>
    <w:p>
      <w:pPr>
        <w:pStyle w:val="BodyText"/>
      </w:pPr>
      <w:r>
        <w:t xml:space="preserve">+0.03/year</w:t>
      </w:r>
    </w:p>
    <w:p>
      <w:pPr>
        <w:pStyle w:val="BodyText"/>
      </w:pPr>
      <w:r>
        <w:t xml:space="preserve">-0.01/year</w:t>
      </w:r>
    </w:p>
    <w:p>
      <w:pPr>
        <w:pStyle w:val="BodyText"/>
      </w:pPr>
      <w:r>
        <w:t xml:space="preserve">SDG 6, SDG 8, SDG 12</w:t>
      </w:r>
    </w:p>
    <w:p>
      <w:pPr>
        <w:pStyle w:val="BodyText"/>
      </w:pPr>
      <w:r>
        <w:t xml:space="preserve">Incremental improvement with persistent policy-heavy language</w:t>
      </w:r>
    </w:p>
    <w:p>
      <w:pPr>
        <w:pStyle w:val="BodyText"/>
      </w:pPr>
      <w:r>
        <w:t xml:space="preserve">GNFC</w:t>
      </w:r>
    </w:p>
    <w:p>
      <w:pPr>
        <w:pStyle w:val="BodyText"/>
      </w:pPr>
      <w:r>
        <w:t xml:space="preserve">2019–2025</w:t>
      </w:r>
    </w:p>
    <w:p>
      <w:pPr>
        <w:pStyle w:val="BodyText"/>
      </w:pPr>
      <w:r>
        <w:t xml:space="preserve">+0.04/year</w:t>
      </w:r>
    </w:p>
    <w:p>
      <w:pPr>
        <w:pStyle w:val="BodyText"/>
      </w:pPr>
      <w:r>
        <w:t xml:space="preserve">-0.03/year</w:t>
      </w:r>
    </w:p>
    <w:p>
      <w:pPr>
        <w:pStyle w:val="BodyText"/>
      </w:pPr>
      <w:r>
        <w:t xml:space="preserve">SDG 2, SDG 6, SDG 12, SDG 13</w:t>
      </w:r>
    </w:p>
    <w:p>
      <w:pPr>
        <w:pStyle w:val="BodyText"/>
      </w:pPr>
      <w:r>
        <w:t xml:space="preserve">Moderate transition toward more measurable implementation disclosure</w:t>
      </w:r>
    </w:p>
    <w:bookmarkEnd w:id="24"/>
    <w:bookmarkEnd w:id="25"/>
    <w:bookmarkStart w:id="29" w:name="south-africa"/>
    <w:p>
      <w:pPr>
        <w:pStyle w:val="Heading1"/>
      </w:pPr>
      <w:r>
        <w:t xml:space="preserve">South Africa</w:t>
      </w:r>
    </w:p>
    <w:bookmarkStart w:id="26" w:name="X7326dd0f16e7974294843911b5a571f45ef0d27"/>
    <w:p>
      <w:pPr>
        <w:pStyle w:val="Heading2"/>
      </w:pPr>
      <w:r>
        <w:t xml:space="preserve">Table 4. Company-level benchmark and reliability</w:t>
      </w:r>
    </w:p>
    <w:p>
      <w:pPr>
        <w:pStyle w:val="FirstParagraph"/>
      </w:pPr>
      <w:r>
        <w:t xml:space="preserve">Company-level benchmark and reliability</w:t>
      </w:r>
    </w:p>
    <w:p>
      <w:pPr>
        <w:pStyle w:val="BodyText"/>
      </w:pPr>
      <w:r>
        <w:t xml:space="preserve">Company</w:t>
      </w:r>
    </w:p>
    <w:p>
      <w:pPr>
        <w:pStyle w:val="BodyText"/>
      </w:pPr>
      <w:r>
        <w:t xml:space="preserve">Retrieval</w:t>
      </w:r>
      <w:r>
        <w:t xml:space="preserve"> </w:t>
      </w:r>
      <w:hyperlink r:id="rId21">
        <w:r>
          <w:rPr>
            <w:rStyle w:val="Hyperlink"/>
          </w:rPr>
          <w:t xml:space="preserve">Recall@5</w:t>
        </w:r>
      </w:hyperlink>
    </w:p>
    <w:p>
      <w:pPr>
        <w:pStyle w:val="BodyText"/>
      </w:pPr>
      <w:r>
        <w:t xml:space="preserve">SDG F1</w:t>
      </w:r>
    </w:p>
    <w:p>
      <w:pPr>
        <w:pStyle w:val="BodyText"/>
      </w:pPr>
      <w:r>
        <w:t xml:space="preserve">Stage Accuracy</w:t>
      </w:r>
    </w:p>
    <w:p>
      <w:pPr>
        <w:pStyle w:val="BodyText"/>
      </w:pPr>
      <w:r>
        <w:t xml:space="preserve">Valid-item Precision</w:t>
      </w:r>
    </w:p>
    <w:p>
      <w:pPr>
        <w:pStyle w:val="BodyText"/>
      </w:pPr>
      <w:r>
        <w:t xml:space="preserve">Over-claim Rate</w:t>
      </w:r>
    </w:p>
    <w:p>
      <w:pPr>
        <w:pStyle w:val="BodyText"/>
      </w:pPr>
      <w:r>
        <w:t xml:space="preserve">Kumba Iron Ore</w:t>
      </w:r>
    </w:p>
    <w:p>
      <w:pPr>
        <w:pStyle w:val="BodyText"/>
      </w:pPr>
      <w:r>
        <w:t xml:space="preserve">0.79</w:t>
      </w:r>
    </w:p>
    <w:p>
      <w:pPr>
        <w:pStyle w:val="BodyText"/>
      </w:pPr>
      <w:r>
        <w:t xml:space="preserve">0.82</w:t>
      </w:r>
    </w:p>
    <w:p>
      <w:pPr>
        <w:pStyle w:val="BodyText"/>
      </w:pPr>
      <w:r>
        <w:t xml:space="preserve">0.76</w:t>
      </w:r>
    </w:p>
    <w:p>
      <w:pPr>
        <w:pStyle w:val="BodyText"/>
      </w:pPr>
      <w:r>
        <w:t xml:space="preserve">0.89</w:t>
      </w:r>
    </w:p>
    <w:p>
      <w:pPr>
        <w:pStyle w:val="BodyText"/>
      </w:pPr>
      <w:r>
        <w:t xml:space="preserve">0.10</w:t>
      </w:r>
    </w:p>
    <w:p>
      <w:pPr>
        <w:pStyle w:val="BodyText"/>
      </w:pPr>
      <w:r>
        <w:t xml:space="preserve">Wesizwe</w:t>
      </w:r>
    </w:p>
    <w:p>
      <w:pPr>
        <w:pStyle w:val="BodyText"/>
      </w:pPr>
      <w:r>
        <w:t xml:space="preserve">0.71</w:t>
      </w:r>
    </w:p>
    <w:p>
      <w:pPr>
        <w:pStyle w:val="BodyText"/>
      </w:pPr>
      <w:r>
        <w:t xml:space="preserve">0.73</w:t>
      </w:r>
    </w:p>
    <w:p>
      <w:pPr>
        <w:pStyle w:val="BodyText"/>
      </w:pPr>
      <w:r>
        <w:t xml:space="preserve">0.68</w:t>
      </w:r>
    </w:p>
    <w:p>
      <w:pPr>
        <w:pStyle w:val="BodyText"/>
      </w:pPr>
      <w:r>
        <w:t xml:space="preserve">0.83</w:t>
      </w:r>
    </w:p>
    <w:p>
      <w:pPr>
        <w:pStyle w:val="BodyText"/>
      </w:pPr>
      <w:r>
        <w:t xml:space="preserve">0.16</w:t>
      </w:r>
    </w:p>
    <w:p>
      <w:pPr>
        <w:pStyle w:val="BodyText"/>
      </w:pPr>
      <w:r>
        <w:t xml:space="preserve">Gemfields</w:t>
      </w:r>
    </w:p>
    <w:p>
      <w:pPr>
        <w:pStyle w:val="BodyText"/>
      </w:pPr>
      <w:r>
        <w:t xml:space="preserve">0.74</w:t>
      </w:r>
    </w:p>
    <w:p>
      <w:pPr>
        <w:pStyle w:val="BodyText"/>
      </w:pPr>
      <w:r>
        <w:t xml:space="preserve">0.77</w:t>
      </w:r>
    </w:p>
    <w:p>
      <w:pPr>
        <w:pStyle w:val="BodyText"/>
      </w:pPr>
      <w:r>
        <w:t xml:space="preserve">0.72</w:t>
      </w:r>
    </w:p>
    <w:p>
      <w:pPr>
        <w:pStyle w:val="BodyText"/>
      </w:pPr>
      <w:r>
        <w:t xml:space="preserve">0.86</w:t>
      </w:r>
    </w:p>
    <w:p>
      <w:pPr>
        <w:pStyle w:val="BodyText"/>
      </w:pPr>
      <w:r>
        <w:t xml:space="preserve">0.13</w:t>
      </w:r>
    </w:p>
    <w:p>
      <w:pPr>
        <w:pStyle w:val="BodyText"/>
      </w:pPr>
      <w:r>
        <w:t xml:space="preserve">BHP</w:t>
      </w:r>
    </w:p>
    <w:p>
      <w:pPr>
        <w:pStyle w:val="BodyText"/>
      </w:pPr>
      <w:r>
        <w:t xml:space="preserve">0.80</w:t>
      </w:r>
    </w:p>
    <w:p>
      <w:pPr>
        <w:pStyle w:val="BodyText"/>
      </w:pPr>
      <w:r>
        <w:t xml:space="preserve">0.83</w:t>
      </w:r>
    </w:p>
    <w:p>
      <w:pPr>
        <w:pStyle w:val="BodyText"/>
      </w:pPr>
      <w:r>
        <w:t xml:space="preserve">0.77</w:t>
      </w:r>
    </w:p>
    <w:p>
      <w:pPr>
        <w:pStyle w:val="BodyText"/>
      </w:pPr>
      <w:r>
        <w:t xml:space="preserve">0.90</w:t>
      </w:r>
    </w:p>
    <w:p>
      <w:pPr>
        <w:pStyle w:val="BodyText"/>
      </w:pPr>
      <w:r>
        <w:t xml:space="preserve">0.09</w:t>
      </w:r>
    </w:p>
    <w:p>
      <w:pPr>
        <w:pStyle w:val="BodyText"/>
      </w:pPr>
      <w:r>
        <w:t xml:space="preserve">AECI</w:t>
      </w:r>
    </w:p>
    <w:p>
      <w:pPr>
        <w:pStyle w:val="BodyText"/>
      </w:pPr>
      <w:r>
        <w:t xml:space="preserve">0.75</w:t>
      </w:r>
    </w:p>
    <w:p>
      <w:pPr>
        <w:pStyle w:val="BodyText"/>
      </w:pPr>
      <w:r>
        <w:t xml:space="preserve">0.78</w:t>
      </w:r>
    </w:p>
    <w:p>
      <w:pPr>
        <w:pStyle w:val="BodyText"/>
      </w:pPr>
      <w:r>
        <w:t xml:space="preserve">0.73</w:t>
      </w:r>
    </w:p>
    <w:p>
      <w:pPr>
        <w:pStyle w:val="BodyText"/>
      </w:pPr>
      <w:r>
        <w:t xml:space="preserve">0.87</w:t>
      </w:r>
    </w:p>
    <w:p>
      <w:pPr>
        <w:pStyle w:val="BodyText"/>
      </w:pPr>
      <w:r>
        <w:t xml:space="preserve">0.11</w:t>
      </w:r>
    </w:p>
    <w:p>
      <w:pPr>
        <w:pStyle w:val="BodyText"/>
      </w:pPr>
      <w:r>
        <w:t xml:space="preserve">Anglo American</w:t>
      </w:r>
    </w:p>
    <w:p>
      <w:pPr>
        <w:pStyle w:val="BodyText"/>
      </w:pPr>
      <w:r>
        <w:t xml:space="preserve">0.82</w:t>
      </w:r>
    </w:p>
    <w:p>
      <w:pPr>
        <w:pStyle w:val="BodyText"/>
      </w:pPr>
      <w:r>
        <w:t xml:space="preserve">0.84</w:t>
      </w:r>
    </w:p>
    <w:p>
      <w:pPr>
        <w:pStyle w:val="BodyText"/>
      </w:pPr>
      <w:r>
        <w:t xml:space="preserve">0.79</w:t>
      </w:r>
    </w:p>
    <w:p>
      <w:pPr>
        <w:pStyle w:val="BodyText"/>
      </w:pPr>
      <w:r>
        <w:t xml:space="preserve">0.91</w:t>
      </w:r>
    </w:p>
    <w:p>
      <w:pPr>
        <w:pStyle w:val="BodyText"/>
      </w:pPr>
      <w:r>
        <w:t xml:space="preserve">0.08</w:t>
      </w:r>
    </w:p>
    <w:bookmarkEnd w:id="26"/>
    <w:bookmarkStart w:id="27" w:name="X292e4a675e38a88090f723b1fe53dae7222a4bf"/>
    <w:p>
      <w:pPr>
        <w:pStyle w:val="Heading2"/>
      </w:pPr>
      <w:r>
        <w:t xml:space="preserve">Table 5. Company-level substantive disclosure profile</w:t>
      </w:r>
    </w:p>
    <w:p>
      <w:pPr>
        <w:pStyle w:val="FirstParagraph"/>
      </w:pPr>
      <w:r>
        <w:t xml:space="preserve">Company-level substantive disclosure profile</w:t>
      </w:r>
    </w:p>
    <w:p>
      <w:pPr>
        <w:pStyle w:val="BodyText"/>
      </w:pPr>
      <w:r>
        <w:t xml:space="preserve">Company</w:t>
      </w:r>
    </w:p>
    <w:p>
      <w:pPr>
        <w:pStyle w:val="BodyText"/>
      </w:pPr>
      <w:r>
        <w:t xml:space="preserve">Valid Evidence Units</w:t>
      </w:r>
    </w:p>
    <w:p>
      <w:pPr>
        <w:pStyle w:val="BodyText"/>
      </w:pPr>
      <w:r>
        <w:t xml:space="preserve">Rhetoric Share</w:t>
      </w:r>
    </w:p>
    <w:p>
      <w:pPr>
        <w:pStyle w:val="BodyText"/>
      </w:pPr>
      <w:r>
        <w:t xml:space="preserve">Commitment Share</w:t>
      </w:r>
    </w:p>
    <w:p>
      <w:pPr>
        <w:pStyle w:val="BodyText"/>
      </w:pPr>
      <w:r>
        <w:t xml:space="preserve">Implementation Share</w:t>
      </w:r>
    </w:p>
    <w:p>
      <w:pPr>
        <w:pStyle w:val="BodyText"/>
      </w:pPr>
      <w:r>
        <w:t xml:space="preserve">Measured Implementation Share</w:t>
      </w:r>
    </w:p>
    <w:p>
      <w:pPr>
        <w:pStyle w:val="BodyText"/>
      </w:pPr>
      <w:r>
        <w:t xml:space="preserve">Mean Evidence Score</w:t>
      </w:r>
    </w:p>
    <w:p>
      <w:pPr>
        <w:pStyle w:val="BodyText"/>
      </w:pPr>
      <w:r>
        <w:t xml:space="preserve">Dominant SDGs</w:t>
      </w:r>
    </w:p>
    <w:p>
      <w:pPr>
        <w:pStyle w:val="BodyText"/>
      </w:pPr>
      <w:r>
        <w:t xml:space="preserve">Kumba Iron Ore</w:t>
      </w:r>
    </w:p>
    <w:p>
      <w:pPr>
        <w:pStyle w:val="BodyText"/>
      </w:pPr>
      <w:r>
        <w:t xml:space="preserve">39</w:t>
      </w:r>
    </w:p>
    <w:p>
      <w:pPr>
        <w:pStyle w:val="BodyText"/>
      </w:pPr>
      <w:r>
        <w:t xml:space="preserve">0.21</w:t>
      </w:r>
    </w:p>
    <w:p>
      <w:pPr>
        <w:pStyle w:val="BodyText"/>
      </w:pPr>
      <w:r>
        <w:t xml:space="preserve">0.24</w:t>
      </w:r>
    </w:p>
    <w:p>
      <w:pPr>
        <w:pStyle w:val="BodyText"/>
      </w:pPr>
      <w:r>
        <w:t xml:space="preserve">0.55</w:t>
      </w:r>
    </w:p>
    <w:p>
      <w:pPr>
        <w:pStyle w:val="BodyText"/>
      </w:pPr>
      <w:r>
        <w:t xml:space="preserve">0.33</w:t>
      </w:r>
    </w:p>
    <w:p>
      <w:pPr>
        <w:pStyle w:val="BodyText"/>
      </w:pPr>
      <w:r>
        <w:t xml:space="preserve">4.3</w:t>
      </w:r>
    </w:p>
    <w:p>
      <w:pPr>
        <w:pStyle w:val="BodyText"/>
      </w:pPr>
      <w:r>
        <w:t xml:space="preserve">SDG 8, SDG 9, SDG 12, SDG 13</w:t>
      </w:r>
    </w:p>
    <w:p>
      <w:pPr>
        <w:pStyle w:val="BodyText"/>
      </w:pPr>
      <w:r>
        <w:t xml:space="preserve">Wesizwe</w:t>
      </w:r>
    </w:p>
    <w:p>
      <w:pPr>
        <w:pStyle w:val="BodyText"/>
      </w:pPr>
      <w:r>
        <w:t xml:space="preserve">24</w:t>
      </w:r>
    </w:p>
    <w:p>
      <w:pPr>
        <w:pStyle w:val="BodyText"/>
      </w:pPr>
      <w:r>
        <w:t xml:space="preserve">0.35</w:t>
      </w:r>
    </w:p>
    <w:p>
      <w:pPr>
        <w:pStyle w:val="BodyText"/>
      </w:pPr>
      <w:r>
        <w:t xml:space="preserve">0.29</w:t>
      </w:r>
    </w:p>
    <w:p>
      <w:pPr>
        <w:pStyle w:val="BodyText"/>
      </w:pPr>
      <w:r>
        <w:t xml:space="preserve">0.36</w:t>
      </w:r>
    </w:p>
    <w:p>
      <w:pPr>
        <w:pStyle w:val="BodyText"/>
      </w:pPr>
      <w:r>
        <w:t xml:space="preserve">0.15</w:t>
      </w:r>
    </w:p>
    <w:p>
      <w:pPr>
        <w:pStyle w:val="BodyText"/>
      </w:pPr>
      <w:r>
        <w:t xml:space="preserve">3.3</w:t>
      </w:r>
    </w:p>
    <w:p>
      <w:pPr>
        <w:pStyle w:val="BodyText"/>
      </w:pPr>
      <w:r>
        <w:t xml:space="preserve">SDG 8, SDG 9, SDG 13</w:t>
      </w:r>
    </w:p>
    <w:p>
      <w:pPr>
        <w:pStyle w:val="BodyText"/>
      </w:pPr>
      <w:r>
        <w:t xml:space="preserve">Gemfields</w:t>
      </w:r>
    </w:p>
    <w:p>
      <w:pPr>
        <w:pStyle w:val="BodyText"/>
      </w:pPr>
      <w:r>
        <w:t xml:space="preserve">29</w:t>
      </w:r>
    </w:p>
    <w:p>
      <w:pPr>
        <w:pStyle w:val="BodyText"/>
      </w:pPr>
      <w:r>
        <w:t xml:space="preserve">0.28</w:t>
      </w:r>
    </w:p>
    <w:p>
      <w:pPr>
        <w:pStyle w:val="BodyText"/>
      </w:pPr>
      <w:r>
        <w:t xml:space="preserve">0.27</w:t>
      </w:r>
    </w:p>
    <w:p>
      <w:pPr>
        <w:pStyle w:val="BodyText"/>
      </w:pPr>
      <w:r>
        <w:t xml:space="preserve">0.45</w:t>
      </w:r>
    </w:p>
    <w:p>
      <w:pPr>
        <w:pStyle w:val="BodyText"/>
      </w:pPr>
      <w:r>
        <w:t xml:space="preserve">0.24</w:t>
      </w:r>
    </w:p>
    <w:p>
      <w:pPr>
        <w:pStyle w:val="BodyText"/>
      </w:pPr>
      <w:r>
        <w:t xml:space="preserve">3.8</w:t>
      </w:r>
    </w:p>
    <w:p>
      <w:pPr>
        <w:pStyle w:val="BodyText"/>
      </w:pPr>
      <w:r>
        <w:t xml:space="preserve">SDG 5, SDG 8, SDG 12, SDG 15</w:t>
      </w:r>
    </w:p>
    <w:p>
      <w:pPr>
        <w:pStyle w:val="BodyText"/>
      </w:pPr>
      <w:r>
        <w:t xml:space="preserve">BHP</w:t>
      </w:r>
    </w:p>
    <w:p>
      <w:pPr>
        <w:pStyle w:val="BodyText"/>
      </w:pPr>
      <w:r>
        <w:t xml:space="preserve">44</w:t>
      </w:r>
    </w:p>
    <w:p>
      <w:pPr>
        <w:pStyle w:val="BodyText"/>
      </w:pPr>
      <w:r>
        <w:t xml:space="preserve">0.19</w:t>
      </w:r>
    </w:p>
    <w:p>
      <w:pPr>
        <w:pStyle w:val="BodyText"/>
      </w:pPr>
      <w:r>
        <w:t xml:space="preserve">0.23</w:t>
      </w:r>
    </w:p>
    <w:p>
      <w:pPr>
        <w:pStyle w:val="BodyText"/>
      </w:pPr>
      <w:r>
        <w:t xml:space="preserve">0.58</w:t>
      </w:r>
    </w:p>
    <w:p>
      <w:pPr>
        <w:pStyle w:val="BodyText"/>
      </w:pPr>
      <w:r>
        <w:t xml:space="preserve">0.36</w:t>
      </w:r>
    </w:p>
    <w:p>
      <w:pPr>
        <w:pStyle w:val="BodyText"/>
      </w:pPr>
      <w:r>
        <w:t xml:space="preserve">4.4</w:t>
      </w:r>
    </w:p>
    <w:p>
      <w:pPr>
        <w:pStyle w:val="BodyText"/>
      </w:pPr>
      <w:r>
        <w:t xml:space="preserve">SDG 8, SDG 12, SDG 13, SDG 15</w:t>
      </w:r>
    </w:p>
    <w:p>
      <w:pPr>
        <w:pStyle w:val="BodyText"/>
      </w:pPr>
      <w:r>
        <w:t xml:space="preserve">AECI</w:t>
      </w:r>
    </w:p>
    <w:p>
      <w:pPr>
        <w:pStyle w:val="BodyText"/>
      </w:pPr>
      <w:r>
        <w:t xml:space="preserve">32</w:t>
      </w:r>
    </w:p>
    <w:p>
      <w:pPr>
        <w:pStyle w:val="BodyText"/>
      </w:pPr>
      <w:r>
        <w:t xml:space="preserve">0.27</w:t>
      </w:r>
    </w:p>
    <w:p>
      <w:pPr>
        <w:pStyle w:val="BodyText"/>
      </w:pPr>
      <w:r>
        <w:t xml:space="preserve">0.28</w:t>
      </w:r>
    </w:p>
    <w:p>
      <w:pPr>
        <w:pStyle w:val="BodyText"/>
      </w:pPr>
      <w:r>
        <w:t xml:space="preserve">0.45</w:t>
      </w:r>
    </w:p>
    <w:p>
      <w:pPr>
        <w:pStyle w:val="BodyText"/>
      </w:pPr>
      <w:r>
        <w:t xml:space="preserve">0.25</w:t>
      </w:r>
    </w:p>
    <w:p>
      <w:pPr>
        <w:pStyle w:val="BodyText"/>
      </w:pPr>
      <w:r>
        <w:t xml:space="preserve">3.9</w:t>
      </w:r>
    </w:p>
    <w:p>
      <w:pPr>
        <w:pStyle w:val="BodyText"/>
      </w:pPr>
      <w:r>
        <w:t xml:space="preserve">SDG 6, SDG 8, SDG 12, SDG 13</w:t>
      </w:r>
    </w:p>
    <w:p>
      <w:pPr>
        <w:pStyle w:val="BodyText"/>
      </w:pPr>
      <w:r>
        <w:t xml:space="preserve">Anglo American</w:t>
      </w:r>
    </w:p>
    <w:p>
      <w:pPr>
        <w:pStyle w:val="BodyText"/>
      </w:pPr>
      <w:r>
        <w:t xml:space="preserve">47</w:t>
      </w:r>
    </w:p>
    <w:p>
      <w:pPr>
        <w:pStyle w:val="BodyText"/>
      </w:pPr>
      <w:r>
        <w:t xml:space="preserve">0.18</w:t>
      </w:r>
    </w:p>
    <w:p>
      <w:pPr>
        <w:pStyle w:val="BodyText"/>
      </w:pPr>
      <w:r>
        <w:t xml:space="preserve">0.22</w:t>
      </w:r>
    </w:p>
    <w:p>
      <w:pPr>
        <w:pStyle w:val="BodyText"/>
      </w:pPr>
      <w:r>
        <w:t xml:space="preserve">0.60</w:t>
      </w:r>
    </w:p>
    <w:p>
      <w:pPr>
        <w:pStyle w:val="BodyText"/>
      </w:pPr>
      <w:r>
        <w:t xml:space="preserve">0.39</w:t>
      </w:r>
    </w:p>
    <w:p>
      <w:pPr>
        <w:pStyle w:val="BodyText"/>
      </w:pPr>
      <w:r>
        <w:t xml:space="preserve">4.6</w:t>
      </w:r>
    </w:p>
    <w:p>
      <w:pPr>
        <w:pStyle w:val="BodyText"/>
      </w:pPr>
      <w:r>
        <w:t xml:space="preserve">SDG 8, SDG 12, SDG 13, SDG 15</w:t>
      </w:r>
    </w:p>
    <w:bookmarkEnd w:id="27"/>
    <w:bookmarkStart w:id="28" w:name="X3a72f4fac84d853ecdde25b50e94f014e900732"/>
    <w:p>
      <w:pPr>
        <w:pStyle w:val="Heading2"/>
      </w:pPr>
      <w:r>
        <w:t xml:space="preserve">Table 6. Longitudinal disclosure trend summary</w:t>
      </w:r>
    </w:p>
    <w:p>
      <w:pPr>
        <w:pStyle w:val="FirstParagraph"/>
      </w:pPr>
      <w:r>
        <w:t xml:space="preserve">Longitudinal disclosure trend summary</w:t>
      </w:r>
    </w:p>
    <w:p>
      <w:pPr>
        <w:pStyle w:val="BodyText"/>
      </w:pPr>
      <w:r>
        <w:t xml:space="preserve">Company</w:t>
      </w:r>
    </w:p>
    <w:p>
      <w:pPr>
        <w:pStyle w:val="BodyText"/>
      </w:pPr>
      <w:r>
        <w:t xml:space="preserve">Years Covered</w:t>
      </w:r>
    </w:p>
    <w:p>
      <w:pPr>
        <w:pStyle w:val="BodyText"/>
      </w:pPr>
      <w:r>
        <w:t xml:space="preserve">Implementation Trend Slope</w:t>
      </w:r>
    </w:p>
    <w:p>
      <w:pPr>
        <w:pStyle w:val="BodyText"/>
      </w:pPr>
      <w:r>
        <w:t xml:space="preserve">Rhetoric Trend Slope</w:t>
      </w:r>
    </w:p>
    <w:p>
      <w:pPr>
        <w:pStyle w:val="BodyText"/>
      </w:pPr>
      <w:r>
        <w:t xml:space="preserve">Most Persistent SDGs</w:t>
      </w:r>
    </w:p>
    <w:p>
      <w:pPr>
        <w:pStyle w:val="BodyText"/>
      </w:pPr>
      <w:r>
        <w:t xml:space="preserve">Interpretation</w:t>
      </w:r>
    </w:p>
    <w:p>
      <w:pPr>
        <w:pStyle w:val="BodyText"/>
      </w:pPr>
      <w:r>
        <w:t xml:space="preserve">Kumba Iron Ore</w:t>
      </w:r>
    </w:p>
    <w:p>
      <w:pPr>
        <w:pStyle w:val="BodyText"/>
      </w:pPr>
      <w:r>
        <w:t xml:space="preserve">2019–2025</w:t>
      </w:r>
    </w:p>
    <w:p>
      <w:pPr>
        <w:pStyle w:val="BodyText"/>
      </w:pPr>
      <w:r>
        <w:t xml:space="preserve">+0.06/year</w:t>
      </w:r>
    </w:p>
    <w:p>
      <w:pPr>
        <w:pStyle w:val="BodyText"/>
      </w:pPr>
      <w:r>
        <w:t xml:space="preserve">-0.03/year</w:t>
      </w:r>
    </w:p>
    <w:p>
      <w:pPr>
        <w:pStyle w:val="BodyText"/>
      </w:pPr>
      <w:r>
        <w:t xml:space="preserve">SDG 8, SDG 9, SDG 12, SDG 13</w:t>
      </w:r>
    </w:p>
    <w:p>
      <w:pPr>
        <w:pStyle w:val="BodyText"/>
      </w:pPr>
      <w:r>
        <w:t xml:space="preserve">Steady rise in operational and climate-related disclosure</w:t>
      </w:r>
    </w:p>
    <w:p>
      <w:pPr>
        <w:pStyle w:val="BodyText"/>
      </w:pPr>
      <w:r>
        <w:t xml:space="preserve">Wesizwe</w:t>
      </w:r>
    </w:p>
    <w:p>
      <w:pPr>
        <w:pStyle w:val="BodyText"/>
      </w:pPr>
      <w:r>
        <w:t xml:space="preserve">2019–2025</w:t>
      </w:r>
    </w:p>
    <w:p>
      <w:pPr>
        <w:pStyle w:val="BodyText"/>
      </w:pPr>
      <w:r>
        <w:t xml:space="preserve">+0.02/year</w:t>
      </w:r>
    </w:p>
    <w:p>
      <w:pPr>
        <w:pStyle w:val="BodyText"/>
      </w:pPr>
      <w:r>
        <w:t xml:space="preserve">-0.01/year</w:t>
      </w:r>
    </w:p>
    <w:p>
      <w:pPr>
        <w:pStyle w:val="BodyText"/>
      </w:pPr>
      <w:r>
        <w:t xml:space="preserve">SDG 8, SDG 9, SDG 13</w:t>
      </w:r>
    </w:p>
    <w:p>
      <w:pPr>
        <w:pStyle w:val="BodyText"/>
      </w:pPr>
      <w:r>
        <w:t xml:space="preserve">Limited but positive improvement from lower disclosure maturity baseline</w:t>
      </w:r>
    </w:p>
    <w:p>
      <w:pPr>
        <w:pStyle w:val="BodyText"/>
      </w:pPr>
      <w:r>
        <w:t xml:space="preserve">Gemfields</w:t>
      </w:r>
    </w:p>
    <w:p>
      <w:pPr>
        <w:pStyle w:val="BodyText"/>
      </w:pPr>
      <w:r>
        <w:t xml:space="preserve">2019–2025</w:t>
      </w:r>
    </w:p>
    <w:p>
      <w:pPr>
        <w:pStyle w:val="BodyText"/>
      </w:pPr>
      <w:r>
        <w:t xml:space="preserve">+0.04/year</w:t>
      </w:r>
    </w:p>
    <w:p>
      <w:pPr>
        <w:pStyle w:val="BodyText"/>
      </w:pPr>
      <w:r>
        <w:t xml:space="preserve">-0.02/year</w:t>
      </w:r>
    </w:p>
    <w:p>
      <w:pPr>
        <w:pStyle w:val="BodyText"/>
      </w:pPr>
      <w:r>
        <w:t xml:space="preserve">SDG 5, SDG 8, SDG 12, SDG 15</w:t>
      </w:r>
    </w:p>
    <w:p>
      <w:pPr>
        <w:pStyle w:val="BodyText"/>
      </w:pPr>
      <w:r>
        <w:t xml:space="preserve">Moderate shift toward more implementation and community evidence</w:t>
      </w:r>
    </w:p>
    <w:p>
      <w:pPr>
        <w:pStyle w:val="BodyText"/>
      </w:pPr>
      <w:r>
        <w:t xml:space="preserve">BHP</w:t>
      </w:r>
    </w:p>
    <w:p>
      <w:pPr>
        <w:pStyle w:val="BodyText"/>
      </w:pPr>
      <w:r>
        <w:t xml:space="preserve">2019–2025</w:t>
      </w:r>
    </w:p>
    <w:p>
      <w:pPr>
        <w:pStyle w:val="BodyText"/>
      </w:pPr>
      <w:r>
        <w:t xml:space="preserve">+0.06/year</w:t>
      </w:r>
    </w:p>
    <w:p>
      <w:pPr>
        <w:pStyle w:val="BodyText"/>
      </w:pPr>
      <w:r>
        <w:t xml:space="preserve">-0.03/year</w:t>
      </w:r>
    </w:p>
    <w:p>
      <w:pPr>
        <w:pStyle w:val="BodyText"/>
      </w:pPr>
      <w:r>
        <w:t xml:space="preserve">SDG 8, SDG 12, SDG 13, SDG 15</w:t>
      </w:r>
    </w:p>
    <w:p>
      <w:pPr>
        <w:pStyle w:val="BodyText"/>
      </w:pPr>
      <w:r>
        <w:t xml:space="preserve">Strong and sustained measurable implementation pattern</w:t>
      </w:r>
    </w:p>
    <w:p>
      <w:pPr>
        <w:pStyle w:val="BodyText"/>
      </w:pPr>
      <w:r>
        <w:t xml:space="preserve">AECI</w:t>
      </w:r>
    </w:p>
    <w:p>
      <w:pPr>
        <w:pStyle w:val="BodyText"/>
      </w:pPr>
      <w:r>
        <w:t xml:space="preserve">2019–2025</w:t>
      </w:r>
    </w:p>
    <w:p>
      <w:pPr>
        <w:pStyle w:val="BodyText"/>
      </w:pPr>
      <w:r>
        <w:t xml:space="preserve">+0.04/year</w:t>
      </w:r>
    </w:p>
    <w:p>
      <w:pPr>
        <w:pStyle w:val="BodyText"/>
      </w:pPr>
      <w:r>
        <w:t xml:space="preserve">-0.02/year</w:t>
      </w:r>
    </w:p>
    <w:p>
      <w:pPr>
        <w:pStyle w:val="BodyText"/>
      </w:pPr>
      <w:r>
        <w:t xml:space="preserve">SDG 6, SDG 8, SDG 12, SDG 13</w:t>
      </w:r>
    </w:p>
    <w:p>
      <w:pPr>
        <w:pStyle w:val="BodyText"/>
      </w:pPr>
      <w:r>
        <w:t xml:space="preserve">Progressive strengthening of production, safety, and climate disclosure</w:t>
      </w:r>
    </w:p>
    <w:p>
      <w:pPr>
        <w:pStyle w:val="BodyText"/>
      </w:pPr>
      <w:r>
        <w:t xml:space="preserve">Anglo American</w:t>
      </w:r>
    </w:p>
    <w:p>
      <w:pPr>
        <w:pStyle w:val="BodyText"/>
      </w:pPr>
      <w:r>
        <w:t xml:space="preserve">2019–2025</w:t>
      </w:r>
    </w:p>
    <w:p>
      <w:pPr>
        <w:pStyle w:val="BodyText"/>
      </w:pPr>
      <w:r>
        <w:t xml:space="preserve">+0.07/year</w:t>
      </w:r>
    </w:p>
    <w:p>
      <w:pPr>
        <w:pStyle w:val="BodyText"/>
      </w:pPr>
      <w:r>
        <w:t xml:space="preserve">-0.04/year</w:t>
      </w:r>
    </w:p>
    <w:p>
      <w:pPr>
        <w:pStyle w:val="BodyText"/>
      </w:pPr>
      <w:r>
        <w:t xml:space="preserve">SDG 8, SDG 12, SDG 13, SDG 15</w:t>
      </w:r>
    </w:p>
    <w:p>
      <w:pPr>
        <w:pStyle w:val="BodyText"/>
      </w:pPr>
      <w:r>
        <w:t xml:space="preserve">Strongest disclosure maturity and broadest SDG persistence in the group</w:t>
      </w:r>
    </w:p>
    <w:bookmarkEnd w:id="28"/>
    <w:bookmarkEnd w:id="29"/>
    <w:bookmarkStart w:id="31" w:name="cross-country-portfolio-summary"/>
    <w:p>
      <w:pPr>
        <w:pStyle w:val="Heading1"/>
      </w:pPr>
      <w:r>
        <w:t xml:space="preserve">Cross-country portfolio summary</w:t>
      </w:r>
    </w:p>
    <w:bookmarkStart w:id="30" w:name="table-7.-country-level-portfolio-summary"/>
    <w:p>
      <w:pPr>
        <w:pStyle w:val="Heading2"/>
      </w:pPr>
      <w:r>
        <w:t xml:space="preserve">Table 7. Country-level portfolio summary</w:t>
      </w:r>
    </w:p>
    <w:p>
      <w:pPr>
        <w:pStyle w:val="FirstParagraph"/>
      </w:pPr>
      <w:r>
        <w:t xml:space="preserve">Country-level portfolio summary</w:t>
      </w:r>
    </w:p>
    <w:p>
      <w:pPr>
        <w:pStyle w:val="BodyText"/>
      </w:pPr>
      <w:r>
        <w:t xml:space="preserve">Group</w:t>
      </w:r>
    </w:p>
    <w:p>
      <w:pPr>
        <w:pStyle w:val="BodyText"/>
      </w:pPr>
      <w:r>
        <w:t xml:space="preserve">Companies</w:t>
      </w:r>
    </w:p>
    <w:p>
      <w:pPr>
        <w:pStyle w:val="BodyText"/>
      </w:pPr>
      <w:r>
        <w:t xml:space="preserve">Average Retrieval</w:t>
      </w:r>
      <w:r>
        <w:t xml:space="preserve"> </w:t>
      </w:r>
      <w:hyperlink r:id="rId21">
        <w:r>
          <w:rPr>
            <w:rStyle w:val="Hyperlink"/>
          </w:rPr>
          <w:t xml:space="preserve">Recall@5</w:t>
        </w:r>
      </w:hyperlink>
    </w:p>
    <w:p>
      <w:pPr>
        <w:pStyle w:val="BodyText"/>
      </w:pPr>
      <w:r>
        <w:t xml:space="preserve">Average SDG F1</w:t>
      </w:r>
    </w:p>
    <w:p>
      <w:pPr>
        <w:pStyle w:val="BodyText"/>
      </w:pPr>
      <w:r>
        <w:t xml:space="preserve">Average Stage Accuracy</w:t>
      </w:r>
    </w:p>
    <w:p>
      <w:pPr>
        <w:pStyle w:val="BodyText"/>
      </w:pPr>
      <w:r>
        <w:t xml:space="preserve">Average Valid-item Precision</w:t>
      </w:r>
    </w:p>
    <w:p>
      <w:pPr>
        <w:pStyle w:val="BodyText"/>
      </w:pPr>
      <w:r>
        <w:t xml:space="preserve">Average Over-claim Rate</w:t>
      </w:r>
    </w:p>
    <w:p>
      <w:pPr>
        <w:pStyle w:val="BodyText"/>
      </w:pPr>
      <w:r>
        <w:t xml:space="preserve">Mean Rhetoric Share</w:t>
      </w:r>
    </w:p>
    <w:p>
      <w:pPr>
        <w:pStyle w:val="BodyText"/>
      </w:pPr>
      <w:r>
        <w:t xml:space="preserve">Mean Commitment Share</w:t>
      </w:r>
    </w:p>
    <w:p>
      <w:pPr>
        <w:pStyle w:val="BodyText"/>
      </w:pPr>
      <w:r>
        <w:t xml:space="preserve">Mean Implementation Share</w:t>
      </w:r>
    </w:p>
    <w:p>
      <w:pPr>
        <w:pStyle w:val="BodyText"/>
      </w:pPr>
      <w:r>
        <w:t xml:space="preserve">Mean Measured Implementation Share</w:t>
      </w:r>
    </w:p>
    <w:p>
      <w:pPr>
        <w:pStyle w:val="BodyText"/>
      </w:pPr>
      <w:r>
        <w:t xml:space="preserve">Most Frequent Dominant SDGs</w:t>
      </w:r>
    </w:p>
    <w:p>
      <w:pPr>
        <w:pStyle w:val="BodyText"/>
      </w:pPr>
      <w:r>
        <w:t xml:space="preserve">India</w:t>
      </w:r>
    </w:p>
    <w:p>
      <w:pPr>
        <w:pStyle w:val="BodyText"/>
      </w:pPr>
      <w:r>
        <w:t xml:space="preserve">6</w:t>
      </w:r>
    </w:p>
    <w:p>
      <w:pPr>
        <w:pStyle w:val="BodyText"/>
      </w:pPr>
      <w:r>
        <w:t xml:space="preserve">0.76</w:t>
      </w:r>
    </w:p>
    <w:p>
      <w:pPr>
        <w:pStyle w:val="BodyText"/>
      </w:pPr>
      <w:r>
        <w:t xml:space="preserve">0.79</w:t>
      </w:r>
    </w:p>
    <w:p>
      <w:pPr>
        <w:pStyle w:val="BodyText"/>
      </w:pPr>
      <w:r>
        <w:t xml:space="preserve">0.73</w:t>
      </w:r>
    </w:p>
    <w:p>
      <w:pPr>
        <w:pStyle w:val="BodyText"/>
      </w:pPr>
      <w:r>
        <w:t xml:space="preserve">0.87</w:t>
      </w:r>
    </w:p>
    <w:p>
      <w:pPr>
        <w:pStyle w:val="BodyText"/>
      </w:pPr>
      <w:r>
        <w:t xml:space="preserve">0.12</w:t>
      </w:r>
    </w:p>
    <w:p>
      <w:pPr>
        <w:pStyle w:val="BodyText"/>
      </w:pPr>
      <w:r>
        <w:t xml:space="preserve">0.27</w:t>
      </w:r>
    </w:p>
    <w:p>
      <w:pPr>
        <w:pStyle w:val="BodyText"/>
      </w:pPr>
      <w:r>
        <w:t xml:space="preserve">0.28</w:t>
      </w:r>
    </w:p>
    <w:p>
      <w:pPr>
        <w:pStyle w:val="BodyText"/>
      </w:pPr>
      <w:r>
        <w:t xml:space="preserve">0.46</w:t>
      </w:r>
    </w:p>
    <w:p>
      <w:pPr>
        <w:pStyle w:val="BodyText"/>
      </w:pPr>
      <w:r>
        <w:t xml:space="preserve">0.25</w:t>
      </w:r>
    </w:p>
    <w:p>
      <w:pPr>
        <w:pStyle w:val="BodyText"/>
      </w:pPr>
      <w:r>
        <w:t xml:space="preserve">SDG 12, SDG 13</w:t>
      </w:r>
    </w:p>
    <w:p>
      <w:pPr>
        <w:pStyle w:val="BodyText"/>
      </w:pPr>
      <w:r>
        <w:t xml:space="preserve">South Africa</w:t>
      </w:r>
    </w:p>
    <w:p>
      <w:pPr>
        <w:pStyle w:val="BodyText"/>
      </w:pPr>
      <w:r>
        <w:t xml:space="preserve">6</w:t>
      </w:r>
    </w:p>
    <w:p>
      <w:pPr>
        <w:pStyle w:val="BodyText"/>
      </w:pPr>
      <w:r>
        <w:t xml:space="preserve">0.77</w:t>
      </w:r>
    </w:p>
    <w:p>
      <w:pPr>
        <w:pStyle w:val="BodyText"/>
      </w:pPr>
      <w:r>
        <w:t xml:space="preserve">0.80</w:t>
      </w:r>
    </w:p>
    <w:p>
      <w:pPr>
        <w:pStyle w:val="BodyText"/>
      </w:pPr>
      <w:r>
        <w:t xml:space="preserve">0.74</w:t>
      </w:r>
    </w:p>
    <w:p>
      <w:pPr>
        <w:pStyle w:val="BodyText"/>
      </w:pPr>
      <w:r>
        <w:t xml:space="preserve">0.88</w:t>
      </w:r>
    </w:p>
    <w:p>
      <w:pPr>
        <w:pStyle w:val="BodyText"/>
      </w:pPr>
      <w:r>
        <w:t xml:space="preserve">0.11</w:t>
      </w:r>
    </w:p>
    <w:p>
      <w:pPr>
        <w:pStyle w:val="BodyText"/>
      </w:pPr>
      <w:r>
        <w:t xml:space="preserve">0.25</w:t>
      </w:r>
    </w:p>
    <w:p>
      <w:pPr>
        <w:pStyle w:val="BodyText"/>
      </w:pPr>
      <w:r>
        <w:t xml:space="preserve">0.26</w:t>
      </w:r>
    </w:p>
    <w:p>
      <w:pPr>
        <w:pStyle w:val="BodyText"/>
      </w:pPr>
      <w:r>
        <w:t xml:space="preserve">0.50</w:t>
      </w:r>
    </w:p>
    <w:p>
      <w:pPr>
        <w:pStyle w:val="BodyText"/>
      </w:pPr>
      <w:r>
        <w:t xml:space="preserve">0.29</w:t>
      </w:r>
    </w:p>
    <w:p>
      <w:pPr>
        <w:pStyle w:val="BodyText"/>
      </w:pPr>
      <w:r>
        <w:t xml:space="preserve">SDG 8, SDG 12, SDG 13</w:t>
      </w:r>
    </w:p>
    <w:bookmarkEnd w:id="30"/>
    <w:bookmarkEnd w:id="31"/>
    <w:bookmarkStart w:id="32" w:name="sample-narrative-paragraph"/>
    <w:p>
      <w:pPr>
        <w:pStyle w:val="Heading1"/>
      </w:pPr>
      <w:r>
        <w:t xml:space="preserve">Sample narrative paragraph</w:t>
      </w:r>
    </w:p>
    <w:p>
      <w:pPr>
        <w:pStyle w:val="FirstParagraph"/>
      </w:pPr>
      <w:r>
        <w:t xml:space="preserve">Across the illustrative two-country sample, benchmark performance was broadly consistent, with South African firms showing slightly higher mean implementation share and measured implementation share than Indian firms. Within the South African group, Anglo American and BHP displayed the strongest sample implementation-oriented profiles, while Kumba Iron Ore also showed a relatively mature disclosure pattern. Within the Indian group, JSW Steel and Ambuja Cement showed the strongest implementation shares, while Coromandel and GNFC displayed stronger agriculture- and production-linked SDG patterns. These results are included only as manuscript-format examples and should not be interpreted as empirical findings until the underlying report set has been processed and validated.</w:t>
      </w:r>
    </w:p>
    <w:bookmarkEnd w:id="32"/>
    <w:bookmarkStart w:id="33" w:name="important-note"/>
    <w:p>
      <w:pPr>
        <w:pStyle w:val="Heading1"/>
      </w:pPr>
      <w:r>
        <w:t xml:space="preserve">Important note</w:t>
      </w:r>
    </w:p>
    <w:p>
      <w:pPr>
        <w:pStyle w:val="FirstParagraph"/>
      </w:pPr>
      <w:r>
        <w:t xml:space="preserve">These tables are</w:t>
      </w:r>
      <w:r>
        <w:t xml:space="preserve"> </w:t>
      </w:r>
      <w:r>
        <w:rPr>
          <w:b/>
          <w:bCs/>
        </w:rPr>
        <w:t xml:space="preserve">illustrative sample numbers only</w:t>
      </w:r>
      <w:r>
        <w:t xml:space="preserve">. They are suitable for: - structuring a manuscript - matching a table style and layout - drafting comparative results text</w:t>
      </w:r>
    </w:p>
    <w:p>
      <w:pPr>
        <w:pStyle w:val="BodyText"/>
      </w:pPr>
      <w:r>
        <w:t xml:space="preserve">They are</w:t>
      </w:r>
      <w:r>
        <w:t xml:space="preserve"> </w:t>
      </w:r>
      <w:r>
        <w:rPr>
          <w:b/>
          <w:bCs/>
        </w:rPr>
        <w:t xml:space="preserve">not real results</w:t>
      </w:r>
      <w:r>
        <w:t xml:space="preserve"> </w:t>
      </w:r>
      <w:r>
        <w:t xml:space="preserve">until the pipeline is run on each company’s report set.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Recall@5" TargetMode="External" /></Relationships>
</file>

<file path=word/_rels/footnotes.xml.rels><?xml version="1.0" encoding="UTF-8"?><Relationships xmlns="http://schemas.openxmlformats.org/package/2006/relationships"><Relationship Type="http://schemas.openxmlformats.org/officeDocument/2006/relationships/hyperlink" Id="rId21" Target="mailto:Recall@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Results Tables for Indian and South African Companies</dc:title>
  <dc:creator>OpenAI</dc:creator>
  <cp:keywords/>
  <dcterms:created xsi:type="dcterms:W3CDTF">2026-03-12T12:37:27Z</dcterms:created>
  <dcterms:modified xsi:type="dcterms:W3CDTF">2026-03-12T12:37:27Z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2026-03-12</vt:lpwstr>
  </property>
  <property fmtid="{D5CDD505-2E9C-101B-9397-08002B2CF9AE}" pid="3" name="fontsize">
    <vt:lpwstr>9pt</vt:lpwstr>
  </property>
  <property fmtid="{D5CDD505-2E9C-101B-9397-08002B2CF9AE}" pid="4" name="geometry">
    <vt:lpwstr>margin=1in</vt:lpwstr>
  </property>
  <property fmtid="{D5CDD505-2E9C-101B-9397-08002B2CF9AE}" pid="5" name="header-includes">
    <vt:lpwstr/>
  </property>
  <property fmtid="{D5CDD505-2E9C-101B-9397-08002B2CF9AE}" pid="6" name="mainfont">
    <vt:lpwstr>Palatino Linotype</vt:lpwstr>
  </property>
  <property fmtid="{D5CDD505-2E9C-101B-9397-08002B2CF9AE}" pid="7" name="output">
    <vt:lpwstr/>
  </property>
</Properties>
</file>