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spacing w:after="220"/>
        <w:jc w:val="center"/>
      </w:pPr>
      <w:r>
        <w:drawing>
          <wp:inline distT="0" distB="0" distL="0" distR="0">
            <wp:extent cx="3429000" cy="714375"/>
            <wp:effectExtent t="0" r="0" b="0" l="0"/>
            <wp:docPr id="1" name="logo" descr="logo" title="Sigmoid Analy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714375"/>
                    </a:xfrm>
                    <a:prstGeom prst="rect">
                      <a:avLst/>
                    </a:prstGeom>
                  </pic:spPr>
                </pic:pic>
              </a:graphicData>
            </a:graphic>
          </wp:inline>
        </w:drawing>
      </w:r>
    </w:p>
    <w:p>
      <w:pPr>
        <w:spacing w:after="140"/>
      </w:pPr>
    </w:p>
    <w:p>
      <w:pPr>
        <w:spacing w:after="40"/>
        <w:jc w:val="center"/>
      </w:pPr>
      <w:r>
        <w:rPr>
          <w:b/>
          <w:bCs/>
          <w:color w:val="1A1A1A"/>
          <w:sz w:val="46"/>
          <w:szCs w:val="46"/>
        </w:rPr>
        <w:t xml:space="preserve">Market Strategy Working Template</w:t>
      </w:r>
    </w:p>
    <w:p>
      <w:pPr>
        <w:spacing w:after="40"/>
        <w:jc w:val="center"/>
      </w:pPr>
      <w:r>
        <w:rPr>
          <w:color w:val="5E8E28"/>
          <w:sz w:val="28"/>
          <w:szCs w:val="28"/>
        </w:rPr>
        <w:t xml:space="preserve">Market Prioritisation · Positioning · Pricing · Market Entry</w:t>
      </w:r>
    </w:p>
    <w:p>
      <w:pPr>
        <w:spacing w:after="240"/>
        <w:jc w:val="center"/>
      </w:pPr>
      <w:r>
        <w:rPr>
          <w:i/>
          <w:iCs/>
          <w:color w:val="6B7280"/>
          <w:sz w:val="22"/>
          <w:szCs w:val="22"/>
        </w:rPr>
        <w:t xml:space="preserve">Score the current frameworks to inform the CRM Market Entry decision</w:t>
      </w:r>
    </w:p>
    <w:p>
      <w:pPr>
        <w:pBdr>
          <w:top w:val="single" w:color="8CC63F" w:sz="12" w:space="6"/>
          <w:bottom w:val="single" w:color="8CC63F" w:sz="12" w:space="6"/>
        </w:pBdr>
        <w:spacing w:after="120" w:before="120"/>
        <w:jc w:val="center"/>
      </w:pPr>
      <w:r>
        <w:rPr>
          <w:color w:val="1A1A1A"/>
          <w:sz w:val="22"/>
          <w:szCs w:val="22"/>
        </w:rPr>
        <w:t xml:space="preserve">  Team working document — for completion  </w:t>
      </w:r>
    </w:p>
    <w:p>
      <w:pPr>
        <w:spacing w:after="3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Prepared for</w:t>
            </w:r>
          </w:p>
        </w:tc>
        <w:tc>
          <w:tcPr>
            <w:tcW w:type="dxa" w:w="74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p>
        </w:tc>
      </w:tr>
      <w:tr>
        <w:trPr>
          <w:trHeight w:val="360" w:hRule="atLeast"/>
        </w:trPr>
        <w:tc>
          <w:tcPr>
            <w:tcW w:type="dxa" w:w="22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Team / owner</w:t>
            </w:r>
          </w:p>
        </w:tc>
        <w:tc>
          <w:tcPr>
            <w:tcW w:type="dxa" w:w="74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360" w:hRule="atLeast"/>
        </w:trPr>
        <w:tc>
          <w:tcPr>
            <w:tcW w:type="dxa" w:w="22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Prepared by</w:t>
            </w:r>
          </w:p>
        </w:tc>
        <w:tc>
          <w:tcPr>
            <w:tcW w:type="dxa" w:w="74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Sigmoid Analytica</w:t>
            </w:r>
          </w:p>
        </w:tc>
      </w:tr>
      <w:tr>
        <w:trPr>
          <w:trHeight w:val="360" w:hRule="atLeast"/>
        </w:trPr>
        <w:tc>
          <w:tcPr>
            <w:tcW w:type="dxa" w:w="22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Date</w:t>
            </w:r>
          </w:p>
        </w:tc>
        <w:tc>
          <w:tcPr>
            <w:tcW w:type="dxa" w:w="74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360" w:hRule="atLeast"/>
        </w:trPr>
        <w:tc>
          <w:tcPr>
            <w:tcW w:type="dxa" w:w="22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Frameworks version</w:t>
            </w:r>
          </w:p>
        </w:tc>
        <w:tc>
          <w:tcPr>
            <w:tcW w:type="dxa" w:w="74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v0.1.0 (draft)</w:t>
            </w:r>
          </w:p>
        </w:tc>
      </w:tr>
    </w:tbl>
    <w:p>
      <w:pPr>
        <w:spacing w:after="340"/>
      </w:pPr>
    </w:p>
    <w:p>
      <w:pPr>
        <w:jc w:val="center"/>
      </w:pPr>
      <w:r>
        <w:rPr>
          <w:b/>
          <w:bCs/>
          <w:sz w:val="20"/>
          <w:szCs w:val="20"/>
        </w:rPr>
        <w:t xml:space="preserve">Sigmoid Analytica (trading as Geo-Econometrics)</w:t>
      </w:r>
    </w:p>
    <w:p>
      <w:pPr>
        <w:jc w:val="center"/>
      </w:pPr>
      <w:r>
        <w:rPr>
          <w:color w:val="6B7280"/>
          <w:sz w:val="18"/>
          <w:szCs w:val="18"/>
        </w:rPr>
        <w:t xml:space="preserve">www.sa-informatics.com  ·  info@sa-informatics.com</w:t>
      </w:r>
    </w:p>
    <w:p>
      <w:r>
        <w:br w:type="page"/>
      </w:r>
    </w:p>
    <w:p>
      <w:pPr>
        <w:pStyle w:val="Heading1"/>
      </w:pPr>
      <w:r>
        <w:t xml:space="preserve">How to use this template</w:t>
      </w:r>
    </w:p>
    <w:p>
      <w:pPr>
        <w:pBdr>
          <w:bottom w:val="single" w:color="8CC63F" w:sz="12" w:space="2"/>
        </w:pBdr>
        <w:spacing w:after="140"/>
      </w:pPr>
    </w:p>
    <w:p>
      <w:pPr>
        <w:spacing w:after="120"/>
      </w:pPr>
      <w:r>
        <w:t xml:space="preserve">This working template lets the team score Sigmoid's three current commercial frameworks and use the results to inform the Market Entry decision. The frameworks and their weights are taken directly from the Commercial Intelligence Lab (v0.1.0) — do not change the weights here; score the inputs.</w:t>
      </w:r>
    </w:p>
    <w:p>
      <w:pPr>
        <w:pStyle w:val="Heading2"/>
      </w:pPr>
      <w:r>
        <w:t xml:space="preserve">Scoring rules</w:t>
      </w:r>
    </w:p>
    <w:p>
      <w:pPr>
        <w:pStyle w:val="ListParagraph"/>
        <w:numPr>
          <w:ilvl w:val="0"/>
          <w:numId w:val="2"/>
        </w:numPr>
        <w:spacing w:after="30"/>
      </w:pPr>
      <w:r>
        <w:t xml:space="preserve">Score every criterion 0–10 (0 = absent/very weak, 5 = moderate, 10 = very strong).</w:t>
      </w:r>
    </w:p>
    <w:p>
      <w:pPr>
        <w:pStyle w:val="ListParagraph"/>
        <w:numPr>
          <w:ilvl w:val="0"/>
          <w:numId w:val="2"/>
        </w:numPr>
        <w:spacing w:after="30"/>
      </w:pPr>
      <w:r>
        <w:t xml:space="preserve">Penalty criteria are marked with a ▼ (competition, sales cycle). Score the real level — the model inverts them, so lower reality = better priority. You do not invert them yourself.</w:t>
      </w:r>
    </w:p>
    <w:p>
      <w:pPr>
        <w:pStyle w:val="ListParagraph"/>
        <w:numPr>
          <w:ilvl w:val="0"/>
          <w:numId w:val="2"/>
        </w:numPr>
        <w:spacing w:after="30"/>
      </w:pPr>
      <w:r>
        <w:t xml:space="preserve">Weights are fixed and sum to 1.0. The 0–100 score is a weighted blend; leave the score column blank for the lab to compute, or estimate it.</w:t>
      </w:r>
    </w:p>
    <w:p>
      <w:pPr>
        <w:pStyle w:val="ListParagraph"/>
        <w:numPr>
          <w:ilvl w:val="0"/>
          <w:numId w:val="2"/>
        </w:numPr>
        <w:spacing w:after="30"/>
      </w:pPr>
      <w:r>
        <w:t xml:space="preserve">Where you lack evidence, score conservatively and note it — do not inflate a segment to make it look attractive.</w:t>
      </w:r>
    </w:p>
    <w:p>
      <w:pPr>
        <w:pBdr>
          <w:top w:val="single" w:color="8CC63F" w:sz="6" w:space="4"/>
          <w:bottom w:val="single" w:color="8CC63F" w:sz="6" w:space="4"/>
        </w:pBdr>
        <w:spacing w:after="120" w:before="80"/>
      </w:pPr>
      <w:r>
        <w:rPr>
          <w:color w:val="1A1A1A"/>
          <w:sz w:val="19"/>
          <w:szCs w:val="19"/>
        </w:rPr>
        <w:t xml:space="preserve">These scores are the team's judgement and are illustrative (grade C at best) until backed by real evidence. They do NOT commit Sigmoid to a segment, positioning, or price — they inform the Market Entry decision (Section 4), which advances only when evidence reaches grade B.</w:t>
      </w:r>
    </w:p>
    <w:p>
      <w:pPr>
        <w:pStyle w:val="Heading2"/>
      </w:pPr>
      <w:r>
        <w:t xml:space="preserve">What feeds what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Section</w:t>
            </w:r>
          </w:p>
        </w:tc>
        <w:tc>
          <w:tcPr>
            <w:tcW w:type="dxa" w:w="64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Informs</w:t>
            </w:r>
          </w:p>
        </w:tc>
      </w:tr>
      <w:tr>
        <w:trPr>
          <w:trHeight w:val="430" w:hRule="atLeast"/>
        </w:trPr>
        <w:tc>
          <w:tcPr>
            <w:tcW w:type="dxa" w:w="32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1 · Market Prioritisation</w:t>
            </w:r>
          </w:p>
        </w:tc>
        <w:tc>
          <w:tcPr>
            <w:tcW w:type="dxa" w:w="64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Decision 1 — Market Entry (which segment first)</w:t>
            </w:r>
          </w:p>
        </w:tc>
      </w:tr>
      <w:tr>
        <w:trPr>
          <w:trHeight w:val="430" w:hRule="atLeast"/>
        </w:trPr>
        <w:tc>
          <w:tcPr>
            <w:tcW w:type="dxa" w:w="32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2 · Positioning Canvas</w:t>
            </w:r>
          </w:p>
        </w:tc>
        <w:tc>
          <w:tcPr>
            <w:tcW w:type="dxa" w:w="64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Decision 2 — Positioning (CRM / RevOps / AI Readiness)</w:t>
            </w:r>
          </w:p>
        </w:tc>
      </w:tr>
      <w:tr>
        <w:trPr>
          <w:trHeight w:val="430" w:hRule="atLeast"/>
        </w:trPr>
        <w:tc>
          <w:tcPr>
            <w:tcW w:type="dxa" w:w="32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3 · Pricing Model</w:t>
            </w:r>
          </w:p>
        </w:tc>
        <w:tc>
          <w:tcPr>
            <w:tcW w:type="dxa" w:w="64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Decision 3 — GTM Evidence Gate (packaging &amp; price)</w:t>
            </w:r>
          </w:p>
        </w:tc>
      </w:tr>
      <w:tr>
        <w:trPr>
          <w:trHeight w:val="430" w:hRule="atLeast"/>
        </w:trPr>
        <w:tc>
          <w:tcPr>
            <w:tcW w:type="dxa" w:w="32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4 · Market Entry</w:t>
            </w:r>
          </w:p>
        </w:tc>
        <w:tc>
          <w:tcPr>
            <w:tcW w:type="dxa" w:w="64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Brings Section 1 together into a first-target recommendation</w:t>
            </w:r>
          </w:p>
        </w:tc>
      </w:tr>
    </w:tbl>
    <w:p>
      <w:pPr>
        <w:pStyle w:val="Heading1"/>
        <w:pageBreakBefore/>
      </w:pPr>
      <w:r>
        <w:t xml:space="preserve">1. Market Prioritisation</w:t>
      </w:r>
    </w:p>
    <w:p>
      <w:pPr>
        <w:spacing w:after="120"/>
      </w:pPr>
      <w:r>
        <w:rPr>
          <w:color w:val="1A1A1A"/>
          <w:sz w:val="18"/>
          <w:szCs w:val="18"/>
        </w:rPr>
        <w:t xml:space="preserve">Which market segment should Sigmoid target first for the CRM?   </w:t>
      </w:r>
      <w:r>
        <w:rPr>
          <w:color w:val="6B7280"/>
          <w:sz w:val="18"/>
          <w:szCs w:val="18"/>
        </w:rPr>
        <w:t xml:space="preserve">Framework: market_prioritisation v0.1.0</w:t>
      </w:r>
    </w:p>
    <w:p>
      <w:pPr>
        <w:pStyle w:val="Heading2"/>
      </w:pPr>
      <w:r>
        <w:t xml:space="preserve">Framework definition (fixed)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000"/>
        <w:gridCol w:w="3400"/>
      </w:tblGrid>
      <w:tr>
        <w:trPr>
          <w:tblHeader/>
        </w:trPr>
        <w:tc>
          <w:tcPr>
            <w:tcW w:type="dxa" w:w="30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Criterion</w:t>
            </w:r>
          </w:p>
        </w:tc>
        <w:tc>
          <w:tcPr>
            <w:tcW w:type="dxa" w:w="12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Weight</w:t>
            </w:r>
          </w:p>
        </w:tc>
        <w:tc>
          <w:tcPr>
            <w:tcW w:type="dxa" w:w="20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Direction</w:t>
            </w:r>
          </w:p>
        </w:tc>
        <w:tc>
          <w:tcPr>
            <w:tcW w:type="dxa" w:w="34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What it measures</w:t>
            </w:r>
          </w:p>
        </w:tc>
      </w:tr>
      <w:tr>
        <w:trPr>
          <w:trHeight w:val="430" w:hRule="atLeast"/>
        </w:trPr>
        <w:tc>
          <w:tcPr>
            <w:tcW w:type="dxa" w:w="3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Market size</w:t>
            </w:r>
          </w:p>
        </w:tc>
        <w:tc>
          <w:tcPr>
            <w:tcW w:type="dxa" w:w="12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0.20</w:t>
            </w:r>
          </w:p>
        </w:tc>
        <w:tc>
          <w:tcPr>
            <w:tcW w:type="dxa" w:w="2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Higher better</w:t>
            </w:r>
          </w:p>
        </w:tc>
        <w:tc>
          <w:tcPr>
            <w:tcW w:type="dxa" w:w="34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Larger addressable segments offer more room to grow.</w:t>
            </w:r>
          </w:p>
        </w:tc>
      </w:tr>
      <w:tr>
        <w:trPr>
          <w:trHeight w:val="430" w:hRule="atLeast"/>
        </w:trPr>
        <w:tc>
          <w:tcPr>
            <w:tcW w:type="dxa" w:w="3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Pain</w:t>
            </w:r>
          </w:p>
        </w:tc>
        <w:tc>
          <w:tcPr>
            <w:tcW w:type="dxa" w:w="12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0.22</w:t>
            </w:r>
          </w:p>
        </w:tc>
        <w:tc>
          <w:tcPr>
            <w:tcW w:type="dxa" w:w="2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Higher better</w:t>
            </w:r>
          </w:p>
        </w:tc>
        <w:tc>
          <w:tcPr>
            <w:tcW w:type="dxa" w:w="34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Acute, felt pain shortens the path to adoption.</w:t>
            </w:r>
          </w:p>
        </w:tc>
      </w:tr>
      <w:tr>
        <w:trPr>
          <w:trHeight w:val="430" w:hRule="atLeast"/>
        </w:trPr>
        <w:tc>
          <w:tcPr>
            <w:tcW w:type="dxa" w:w="3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Budget</w:t>
            </w:r>
          </w:p>
        </w:tc>
        <w:tc>
          <w:tcPr>
            <w:tcW w:type="dxa" w:w="12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0.16</w:t>
            </w:r>
          </w:p>
        </w:tc>
        <w:tc>
          <w:tcPr>
            <w:tcW w:type="dxa" w:w="2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Higher better</w:t>
            </w:r>
          </w:p>
        </w:tc>
        <w:tc>
          <w:tcPr>
            <w:tcW w:type="dxa" w:w="34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Ability and willingness to pay.</w:t>
            </w:r>
          </w:p>
        </w:tc>
      </w:tr>
      <w:tr>
        <w:trPr>
          <w:trHeight w:val="430" w:hRule="atLeast"/>
        </w:trPr>
        <w:tc>
          <w:tcPr>
            <w:tcW w:type="dxa" w:w="3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Competition ▼</w:t>
            </w:r>
          </w:p>
        </w:tc>
        <w:tc>
          <w:tcPr>
            <w:tcW w:type="dxa" w:w="12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0.12</w:t>
            </w:r>
          </w:p>
        </w:tc>
        <w:tc>
          <w:tcPr>
            <w:tcW w:type="dxa" w:w="2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Lower better</w:t>
            </w:r>
          </w:p>
        </w:tc>
        <w:tc>
          <w:tcPr>
            <w:tcW w:type="dxa" w:w="34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Crowded segments are harder and cheaper to lose.</w:t>
            </w:r>
          </w:p>
        </w:tc>
      </w:tr>
      <w:tr>
        <w:trPr>
          <w:trHeight w:val="430" w:hRule="atLeast"/>
        </w:trPr>
        <w:tc>
          <w:tcPr>
            <w:tcW w:type="dxa" w:w="3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Sales cycle ▼</w:t>
            </w:r>
          </w:p>
        </w:tc>
        <w:tc>
          <w:tcPr>
            <w:tcW w:type="dxa" w:w="12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0.10</w:t>
            </w:r>
          </w:p>
        </w:tc>
        <w:tc>
          <w:tcPr>
            <w:tcW w:type="dxa" w:w="2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Lower better</w:t>
            </w:r>
          </w:p>
        </w:tc>
        <w:tc>
          <w:tcPr>
            <w:tcW w:type="dxa" w:w="34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Shorter cycles mean faster feedback and cash.</w:t>
            </w:r>
          </w:p>
        </w:tc>
      </w:tr>
      <w:tr>
        <w:trPr>
          <w:trHeight w:val="430" w:hRule="atLeast"/>
        </w:trPr>
        <w:tc>
          <w:tcPr>
            <w:tcW w:type="dxa" w:w="3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Strategic fit</w:t>
            </w:r>
          </w:p>
        </w:tc>
        <w:tc>
          <w:tcPr>
            <w:tcW w:type="dxa" w:w="12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0.12</w:t>
            </w:r>
          </w:p>
        </w:tc>
        <w:tc>
          <w:tcPr>
            <w:tcW w:type="dxa" w:w="2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Higher better</w:t>
            </w:r>
          </w:p>
        </w:tc>
        <w:tc>
          <w:tcPr>
            <w:tcW w:type="dxa" w:w="34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Alignment with Sigmoid's capabilities and narrative.</w:t>
            </w:r>
          </w:p>
        </w:tc>
      </w:tr>
      <w:tr>
        <w:trPr>
          <w:trHeight w:val="430" w:hRule="atLeast"/>
        </w:trPr>
        <w:tc>
          <w:tcPr>
            <w:tcW w:type="dxa" w:w="3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Evidence quality</w:t>
            </w:r>
          </w:p>
        </w:tc>
        <w:tc>
          <w:tcPr>
            <w:tcW w:type="dxa" w:w="12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0.08</w:t>
            </w:r>
          </w:p>
        </w:tc>
        <w:tc>
          <w:tcPr>
            <w:tcW w:type="dxa" w:w="2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Higher better</w:t>
            </w:r>
          </w:p>
        </w:tc>
        <w:tc>
          <w:tcPr>
            <w:tcW w:type="dxa" w:w="34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How much we actually know about this segment (discounts guesses).</w:t>
            </w:r>
          </w:p>
        </w:tc>
      </w:tr>
    </w:tbl>
    <w:p>
      <w:pPr>
        <w:spacing w:after="120"/>
      </w:pPr>
      <w:r>
        <w:rPr>
          <w:i/>
          <w:iCs/>
          <w:color w:val="6B7280"/>
          <w:sz w:val="18"/>
          <w:szCs w:val="18"/>
        </w:rPr>
        <w:t xml:space="preserve">Weights sum to 1.0. ▼ = penalty criterion — score the real level; the model inverts it.</w:t>
      </w:r>
    </w:p>
    <w:p>
      <w:pPr>
        <w:spacing w:after="120"/>
      </w:pPr>
    </w:p>
    <w:p>
      <w:pPr>
        <w:pStyle w:val="Heading2"/>
      </w:pPr>
      <w:r>
        <w:t xml:space="preserve">Scoring grid — score each segment 0–10 per criterion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950"/>
        <w:gridCol w:w="950"/>
        <w:gridCol w:w="950"/>
        <w:gridCol w:w="900"/>
        <w:gridCol w:w="850"/>
        <w:gridCol w:w="1300"/>
      </w:tblGrid>
      <w:tr>
        <w:trPr>
          <w:tblHeader/>
        </w:trPr>
        <w:tc>
          <w:tcPr>
            <w:tcW w:type="dxa" w:w="19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Segment</w:t>
            </w:r>
          </w:p>
        </w:tc>
        <w:tc>
          <w:tcPr>
            <w:tcW w:type="dxa" w:w="9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Size</w:t>
            </w:r>
          </w:p>
        </w:tc>
        <w:tc>
          <w:tcPr>
            <w:tcW w:type="dxa" w:w="9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Pain</w:t>
            </w:r>
          </w:p>
        </w:tc>
        <w:tc>
          <w:tcPr>
            <w:tcW w:type="dxa" w:w="95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Budget</w:t>
            </w:r>
          </w:p>
        </w:tc>
        <w:tc>
          <w:tcPr>
            <w:tcW w:type="dxa" w:w="95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Comp ▼</w:t>
            </w:r>
          </w:p>
        </w:tc>
        <w:tc>
          <w:tcPr>
            <w:tcW w:type="dxa" w:w="95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Cycle ▼</w:t>
            </w:r>
          </w:p>
        </w:tc>
        <w:tc>
          <w:tcPr>
            <w:tcW w:type="dxa" w:w="9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Fit</w:t>
            </w:r>
          </w:p>
        </w:tc>
        <w:tc>
          <w:tcPr>
            <w:tcW w:type="dxa" w:w="85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Evid</w:t>
            </w:r>
          </w:p>
        </w:tc>
        <w:tc>
          <w:tcPr>
            <w:tcW w:type="dxa" w:w="13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Priority /100</w:t>
            </w:r>
          </w:p>
        </w:tc>
      </w:tr>
      <w:tr>
        <w:trPr>
          <w:trHeight w:val="470" w:hRule="atLeast"/>
        </w:trPr>
        <w:tc>
          <w:tcPr>
            <w:tcW w:type="dxa" w:w="19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Audit Firms</w:t>
            </w:r>
          </w:p>
        </w:tc>
        <w:tc>
          <w:tcPr>
            <w:tcW w:type="dxa" w:w="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8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3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470" w:hRule="atLeast"/>
        </w:trPr>
        <w:tc>
          <w:tcPr>
            <w:tcW w:type="dxa" w:w="19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Mining Suppliers</w:t>
            </w:r>
          </w:p>
        </w:tc>
        <w:tc>
          <w:tcPr>
            <w:tcW w:type="dxa" w:w="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8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3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470" w:hRule="atLeast"/>
        </w:trPr>
        <w:tc>
          <w:tcPr>
            <w:tcW w:type="dxa" w:w="19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Municipalities</w:t>
            </w:r>
          </w:p>
        </w:tc>
        <w:tc>
          <w:tcPr>
            <w:tcW w:type="dxa" w:w="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8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3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470" w:hRule="atLeast"/>
        </w:trPr>
        <w:tc>
          <w:tcPr>
            <w:tcW w:type="dxa" w:w="19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Professional Services Firms</w:t>
            </w:r>
          </w:p>
        </w:tc>
        <w:tc>
          <w:tcPr>
            <w:tcW w:type="dxa" w:w="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8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3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470" w:hRule="atLeast"/>
        </w:trPr>
        <w:tc>
          <w:tcPr>
            <w:tcW w:type="dxa" w:w="19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SMEs</w:t>
            </w:r>
          </w:p>
        </w:tc>
        <w:tc>
          <w:tcPr>
            <w:tcW w:type="dxa" w:w="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8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3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470" w:hRule="atLeast"/>
        </w:trPr>
        <w:tc>
          <w:tcPr>
            <w:tcW w:type="dxa" w:w="19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SETAs</w:t>
            </w:r>
          </w:p>
        </w:tc>
        <w:tc>
          <w:tcPr>
            <w:tcW w:type="dxa" w:w="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8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3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470" w:hRule="atLeast"/>
        </w:trPr>
        <w:tc>
          <w:tcPr>
            <w:tcW w:type="dxa" w:w="19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State-Owned Enterprises</w:t>
            </w:r>
          </w:p>
        </w:tc>
        <w:tc>
          <w:tcPr>
            <w:tcW w:type="dxa" w:w="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8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3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470" w:hRule="atLeast"/>
        </w:trPr>
        <w:tc>
          <w:tcPr>
            <w:tcW w:type="dxa" w:w="19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 add segment ]</w:t>
            </w:r>
          </w:p>
        </w:tc>
        <w:tc>
          <w:tcPr>
            <w:tcW w:type="dxa" w:w="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8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3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470" w:hRule="atLeast"/>
        </w:trPr>
        <w:tc>
          <w:tcPr>
            <w:tcW w:type="dxa" w:w="19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 add segment ]</w:t>
            </w:r>
          </w:p>
        </w:tc>
        <w:tc>
          <w:tcPr>
            <w:tcW w:type="dxa" w:w="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8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3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bl>
    <w:p>
      <w:pPr>
        <w:spacing w:after="120"/>
      </w:pPr>
      <w:r>
        <w:rPr>
          <w:i/>
          <w:iCs/>
          <w:color w:val="6B7280"/>
          <w:sz w:val="18"/>
          <w:szCs w:val="18"/>
        </w:rPr>
        <w:t xml:space="preserve">Comp ▼ = competition, Cycle ▼ = sales cycle (penalties). Priority /100 is the weighted blend — leave blank for the lab to compute, or estimate.</w:t>
      </w:r>
    </w:p>
    <w:p>
      <w:pPr>
        <w:pStyle w:val="Heading1"/>
        <w:pageBreakBefore/>
      </w:pPr>
      <w:r>
        <w:t xml:space="preserve">2. Positioning Canvas</w:t>
      </w:r>
    </w:p>
    <w:p>
      <w:pPr>
        <w:spacing w:after="120"/>
      </w:pPr>
      <w:r>
        <w:rPr>
          <w:color w:val="1A1A1A"/>
          <w:sz w:val="18"/>
          <w:szCs w:val="18"/>
        </w:rPr>
        <w:t xml:space="preserve">CRM, Revenue Operations Platform, or AI Readiness Platform?   </w:t>
      </w:r>
      <w:r>
        <w:rPr>
          <w:color w:val="6B7280"/>
          <w:sz w:val="18"/>
          <w:szCs w:val="18"/>
        </w:rPr>
        <w:t xml:space="preserve">Framework: positioning_canvas v0.1.0</w:t>
      </w:r>
    </w:p>
    <w:p>
      <w:pPr>
        <w:pStyle w:val="Heading2"/>
      </w:pPr>
      <w:r>
        <w:t xml:space="preserve">Framework definition (fixed)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200"/>
      </w:tblGrid>
      <w:tr>
        <w:trPr>
          <w:tblHeader/>
        </w:trPr>
        <w:tc>
          <w:tcPr>
            <w:tcW w:type="dxa" w:w="30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Criterion</w:t>
            </w:r>
          </w:p>
        </w:tc>
        <w:tc>
          <w:tcPr>
            <w:tcW w:type="dxa" w:w="14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Weight</w:t>
            </w:r>
          </w:p>
        </w:tc>
        <w:tc>
          <w:tcPr>
            <w:tcW w:type="dxa" w:w="52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What it measures</w:t>
            </w:r>
          </w:p>
        </w:tc>
      </w:tr>
      <w:tr>
        <w:trPr>
          <w:trHeight w:val="430" w:hRule="atLeast"/>
        </w:trPr>
        <w:tc>
          <w:tcPr>
            <w:tcW w:type="dxa" w:w="3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Clarity</w:t>
            </w:r>
          </w:p>
        </w:tc>
        <w:tc>
          <w:tcPr>
            <w:tcW w:type="dxa" w:w="14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0.18</w:t>
            </w:r>
          </w:p>
        </w:tc>
        <w:tc>
          <w:tcPr>
            <w:tcW w:type="dxa" w:w="52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Can a buyer instantly understand what it is?</w:t>
            </w:r>
          </w:p>
        </w:tc>
      </w:tr>
      <w:tr>
        <w:trPr>
          <w:trHeight w:val="430" w:hRule="atLeast"/>
        </w:trPr>
        <w:tc>
          <w:tcPr>
            <w:tcW w:type="dxa" w:w="3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Differentiation</w:t>
            </w:r>
          </w:p>
        </w:tc>
        <w:tc>
          <w:tcPr>
            <w:tcW w:type="dxa" w:w="14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0.20</w:t>
            </w:r>
          </w:p>
        </w:tc>
        <w:tc>
          <w:tcPr>
            <w:tcW w:type="dxa" w:w="52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Does it separate Sigmoid from incumbents?</w:t>
            </w:r>
          </w:p>
        </w:tc>
      </w:tr>
      <w:tr>
        <w:trPr>
          <w:trHeight w:val="430" w:hRule="atLeast"/>
        </w:trPr>
        <w:tc>
          <w:tcPr>
            <w:tcW w:type="dxa" w:w="3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Customer pain alignment</w:t>
            </w:r>
          </w:p>
        </w:tc>
        <w:tc>
          <w:tcPr>
            <w:tcW w:type="dxa" w:w="14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0.22</w:t>
            </w:r>
          </w:p>
        </w:tc>
        <w:tc>
          <w:tcPr>
            <w:tcW w:type="dxa" w:w="52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Does it name a pain the customer already feels?</w:t>
            </w:r>
          </w:p>
        </w:tc>
      </w:tr>
      <w:tr>
        <w:trPr>
          <w:trHeight w:val="430" w:hRule="atLeast"/>
        </w:trPr>
        <w:tc>
          <w:tcPr>
            <w:tcW w:type="dxa" w:w="3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Investor appeal</w:t>
            </w:r>
          </w:p>
        </w:tc>
        <w:tc>
          <w:tcPr>
            <w:tcW w:type="dxa" w:w="14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0.15</w:t>
            </w:r>
          </w:p>
        </w:tc>
        <w:tc>
          <w:tcPr>
            <w:tcW w:type="dxa" w:w="52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Does it map to a category investors fund?</w:t>
            </w:r>
          </w:p>
        </w:tc>
      </w:tr>
      <w:tr>
        <w:trPr>
          <w:trHeight w:val="430" w:hRule="atLeast"/>
        </w:trPr>
        <w:tc>
          <w:tcPr>
            <w:tcW w:type="dxa" w:w="3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Scalability</w:t>
            </w:r>
          </w:p>
        </w:tc>
        <w:tc>
          <w:tcPr>
            <w:tcW w:type="dxa" w:w="14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0.15</w:t>
            </w:r>
          </w:p>
        </w:tc>
        <w:tc>
          <w:tcPr>
            <w:tcW w:type="dxa" w:w="52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Does the position hold as the product and market grow?</w:t>
            </w:r>
          </w:p>
        </w:tc>
      </w:tr>
      <w:tr>
        <w:trPr>
          <w:trHeight w:val="430" w:hRule="atLeast"/>
        </w:trPr>
        <w:tc>
          <w:tcPr>
            <w:tcW w:type="dxa" w:w="3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Evidence strength</w:t>
            </w:r>
          </w:p>
        </w:tc>
        <w:tc>
          <w:tcPr>
            <w:tcW w:type="dxa" w:w="14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0.10</w:t>
            </w:r>
          </w:p>
        </w:tc>
        <w:tc>
          <w:tcPr>
            <w:tcW w:type="dxa" w:w="52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How much evidence backs this positioning today (discounts wishful framing).</w:t>
            </w:r>
          </w:p>
        </w:tc>
      </w:tr>
    </w:tbl>
    <w:p>
      <w:pPr>
        <w:spacing w:after="120"/>
      </w:pPr>
      <w:r>
        <w:rPr>
          <w:i/>
          <w:iCs/>
          <w:color w:val="6B7280"/>
          <w:sz w:val="18"/>
          <w:szCs w:val="18"/>
        </w:rPr>
        <w:t xml:space="preserve">Weights sum to 1.0. Evidence strength deliberately keeps aspirational positioning honest.</w:t>
      </w:r>
    </w:p>
    <w:p>
      <w:pPr>
        <w:spacing w:after="120"/>
      </w:pPr>
    </w:p>
    <w:p>
      <w:pPr>
        <w:pStyle w:val="Heading2"/>
      </w:pPr>
      <w:r>
        <w:t xml:space="preserve">Scoring grid — score each option 0–10 per criterion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1050"/>
        <w:gridCol w:w="1000"/>
        <w:gridCol w:w="1100"/>
        <w:gridCol w:w="1050"/>
        <w:gridCol w:w="1000"/>
        <w:gridCol w:w="1100"/>
        <w:gridCol w:w="800"/>
      </w:tblGrid>
      <w:tr>
        <w:trPr>
          <w:tblHeader/>
        </w:trPr>
        <w:tc>
          <w:tcPr>
            <w:tcW w:type="dxa" w:w="25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Positioning option</w:t>
            </w:r>
          </w:p>
        </w:tc>
        <w:tc>
          <w:tcPr>
            <w:tcW w:type="dxa" w:w="105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Clarity</w:t>
            </w:r>
          </w:p>
        </w:tc>
        <w:tc>
          <w:tcPr>
            <w:tcW w:type="dxa" w:w="10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Diff</w:t>
            </w:r>
          </w:p>
        </w:tc>
        <w:tc>
          <w:tcPr>
            <w:tcW w:type="dxa" w:w="11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Pain fit</w:t>
            </w:r>
          </w:p>
        </w:tc>
        <w:tc>
          <w:tcPr>
            <w:tcW w:type="dxa" w:w="105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Investor</w:t>
            </w:r>
          </w:p>
        </w:tc>
        <w:tc>
          <w:tcPr>
            <w:tcW w:type="dxa" w:w="10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Scale</w:t>
            </w:r>
          </w:p>
        </w:tc>
        <w:tc>
          <w:tcPr>
            <w:tcW w:type="dxa" w:w="11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Evidence</w:t>
            </w:r>
          </w:p>
        </w:tc>
        <w:tc>
          <w:tcPr>
            <w:tcW w:type="dxa" w:w="8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Score /100</w:t>
            </w:r>
          </w:p>
        </w:tc>
      </w:tr>
      <w:tr>
        <w:trPr>
          <w:trHeight w:val="520" w:hRule="atLeast"/>
        </w:trPr>
        <w:tc>
          <w:tcPr>
            <w:tcW w:type="dxa" w:w="25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CRM Platform</w:t>
            </w:r>
          </w:p>
        </w:tc>
        <w:tc>
          <w:tcPr>
            <w:tcW w:type="dxa" w:w="10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0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1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0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0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1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8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520" w:hRule="atLeast"/>
        </w:trPr>
        <w:tc>
          <w:tcPr>
            <w:tcW w:type="dxa" w:w="25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Revenue Operations Platform</w:t>
            </w:r>
          </w:p>
        </w:tc>
        <w:tc>
          <w:tcPr>
            <w:tcW w:type="dxa" w:w="10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0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1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0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0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1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8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520" w:hRule="atLeast"/>
        </w:trPr>
        <w:tc>
          <w:tcPr>
            <w:tcW w:type="dxa" w:w="25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AI Readiness Platform</w:t>
            </w:r>
          </w:p>
        </w:tc>
        <w:tc>
          <w:tcPr>
            <w:tcW w:type="dxa" w:w="10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0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1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05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0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1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8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bl>
    <w:p>
      <w:pPr>
        <w:spacing w:after="80"/>
      </w:pPr>
    </w:p>
    <w:p>
      <w:pPr>
        <w:pStyle w:val="Heading2"/>
      </w:pPr>
      <w:r>
        <w:t xml:space="preserve">Message-test notes (per option)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00"/>
      </w:tblGrid>
      <w:tr>
        <w:trPr>
          <w:tblHeader/>
        </w:trPr>
        <w:tc>
          <w:tcPr>
            <w:tcW w:type="dxa" w:w="26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Option</w:t>
            </w:r>
          </w:p>
        </w:tc>
        <w:tc>
          <w:tcPr>
            <w:tcW w:type="dxa" w:w="36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What buyers said (verbatim)</w:t>
            </w:r>
          </w:p>
        </w:tc>
        <w:tc>
          <w:tcPr>
            <w:tcW w:type="dxa" w:w="34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Overpromise / credibility risk</w:t>
            </w:r>
          </w:p>
        </w:tc>
      </w:tr>
      <w:tr>
        <w:trPr>
          <w:trHeight w:val="620" w:hRule="atLeast"/>
        </w:trPr>
        <w:tc>
          <w:tcPr>
            <w:tcW w:type="dxa" w:w="26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CRM Platform</w:t>
            </w:r>
          </w:p>
        </w:tc>
        <w:tc>
          <w:tcPr>
            <w:tcW w:type="dxa" w:w="36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34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620" w:hRule="atLeast"/>
        </w:trPr>
        <w:tc>
          <w:tcPr>
            <w:tcW w:type="dxa" w:w="26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Revenue Operations Platform</w:t>
            </w:r>
          </w:p>
        </w:tc>
        <w:tc>
          <w:tcPr>
            <w:tcW w:type="dxa" w:w="36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34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620" w:hRule="atLeast"/>
        </w:trPr>
        <w:tc>
          <w:tcPr>
            <w:tcW w:type="dxa" w:w="26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AI Readiness Platform</w:t>
            </w:r>
          </w:p>
        </w:tc>
        <w:tc>
          <w:tcPr>
            <w:tcW w:type="dxa" w:w="36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34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bl>
    <w:p>
      <w:pPr>
        <w:pStyle w:val="Heading1"/>
        <w:pageBreakBefore/>
      </w:pPr>
      <w:r>
        <w:t xml:space="preserve">3. Pricing Model</w:t>
      </w:r>
    </w:p>
    <w:p>
      <w:pPr>
        <w:spacing w:after="120"/>
      </w:pPr>
      <w:r>
        <w:rPr>
          <w:color w:val="1A1A1A"/>
          <w:sz w:val="18"/>
          <w:szCs w:val="18"/>
        </w:rPr>
        <w:t xml:space="preserve">What packaging and price points should Sigmoid offer, per segment?   </w:t>
      </w:r>
      <w:r>
        <w:rPr>
          <w:color w:val="6B7280"/>
          <w:sz w:val="18"/>
          <w:szCs w:val="18"/>
        </w:rPr>
        <w:t xml:space="preserve">Framework: pricing_model v0.1.0 — PLACEHOLDER</w:t>
      </w:r>
    </w:p>
    <w:p>
      <w:pPr>
        <w:pBdr>
          <w:top w:val="single" w:color="8CC63F" w:sz="6" w:space="4"/>
          <w:bottom w:val="single" w:color="8CC63F" w:sz="6" w:space="4"/>
        </w:pBdr>
        <w:spacing w:after="120" w:before="80"/>
      </w:pPr>
      <w:r>
        <w:rPr>
          <w:color w:val="1A1A1A"/>
          <w:sz w:val="19"/>
          <w:szCs w:val="19"/>
        </w:rPr>
        <w:t xml:space="preserve">This framework is a deliberate placeholder. Do NOT publish price points as a recommendation until the required evidence is collected (grade ≥ B). Any figure entered here before then is a hypothesis and must be labelled illustrative.</w:t>
      </w:r>
    </w:p>
    <w:p>
      <w:pPr>
        <w:pStyle w:val="Heading2"/>
      </w:pPr>
      <w:r>
        <w:t xml:space="preserve">Packaging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2400"/>
        <w:gridCol w:w="1800"/>
      </w:tblGrid>
      <w:tr>
        <w:trPr>
          <w:tblHeader/>
        </w:trPr>
        <w:tc>
          <w:tcPr>
            <w:tcW w:type="dxa" w:w="23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Package</w:t>
            </w:r>
          </w:p>
        </w:tc>
        <w:tc>
          <w:tcPr>
            <w:tcW w:type="dxa" w:w="31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Description</w:t>
            </w:r>
          </w:p>
        </w:tc>
        <w:tc>
          <w:tcPr>
            <w:tcW w:type="dxa" w:w="24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What's included</w:t>
            </w:r>
          </w:p>
        </w:tc>
        <w:tc>
          <w:tcPr>
            <w:tcW w:type="dxa" w:w="18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Target segment(s)</w:t>
            </w:r>
          </w:p>
        </w:tc>
      </w:tr>
      <w:tr>
        <w:trPr>
          <w:trHeight w:val="520" w:hRule="atLeast"/>
        </w:trPr>
        <w:tc>
          <w:tcPr>
            <w:tcW w:type="dxa" w:w="23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Core CRM</w:t>
            </w:r>
          </w:p>
        </w:tc>
        <w:tc>
          <w:tcPr>
            <w:tcW w:type="dxa" w:w="31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Base system of record — contacts, pipeline, activity</w:t>
            </w:r>
          </w:p>
        </w:tc>
        <w:tc>
          <w:tcPr>
            <w:tcW w:type="dxa" w:w="24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8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520" w:hRule="atLeast"/>
        </w:trPr>
        <w:tc>
          <w:tcPr>
            <w:tcW w:type="dxa" w:w="23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RevOps Suite</w:t>
            </w:r>
          </w:p>
        </w:tc>
        <w:tc>
          <w:tcPr>
            <w:tcW w:type="dxa" w:w="31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End-to-end commercial workflow across pipeline + delivery</w:t>
            </w:r>
          </w:p>
        </w:tc>
        <w:tc>
          <w:tcPr>
            <w:tcW w:type="dxa" w:w="24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8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520" w:hRule="atLeast"/>
        </w:trPr>
        <w:tc>
          <w:tcPr>
            <w:tcW w:type="dxa" w:w="23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AI Readiness Add-on</w:t>
            </w:r>
          </w:p>
        </w:tc>
        <w:tc>
          <w:tcPr>
            <w:tcW w:type="dxa" w:w="31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Data-structuring layer that makes the CRM AI-ready</w:t>
            </w:r>
          </w:p>
        </w:tc>
        <w:tc>
          <w:tcPr>
            <w:tcW w:type="dxa" w:w="24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8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bl>
    <w:p>
      <w:pPr>
        <w:spacing w:after="120"/>
      </w:pPr>
    </w:p>
    <w:p>
      <w:pPr>
        <w:pStyle w:val="Heading2"/>
      </w:pPr>
      <w:r>
        <w:t xml:space="preserve">Pricing metric</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200"/>
      </w:tblGrid>
      <w:tr>
        <w:trPr>
          <w:tblHeader/>
        </w:trPr>
        <w:tc>
          <w:tcPr>
            <w:tcW w:type="dxa" w:w="28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Candidate metric</w:t>
            </w:r>
          </w:p>
        </w:tc>
        <w:tc>
          <w:tcPr>
            <w:tcW w:type="dxa" w:w="16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Consider?</w:t>
            </w:r>
          </w:p>
        </w:tc>
        <w:tc>
          <w:tcPr>
            <w:tcW w:type="dxa" w:w="52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Rationale / fit</w:t>
            </w:r>
          </w:p>
        </w:tc>
      </w:tr>
      <w:tr>
        <w:trPr>
          <w:trHeight w:val="430" w:hRule="atLeast"/>
        </w:trPr>
        <w:tc>
          <w:tcPr>
            <w:tcW w:type="dxa" w:w="28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Per seat</w:t>
            </w:r>
          </w:p>
        </w:tc>
        <w:tc>
          <w:tcPr>
            <w:tcW w:type="dxa" w:w="16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Yes / No / Maybe</w:t>
            </w:r>
          </w:p>
        </w:tc>
        <w:tc>
          <w:tcPr>
            <w:tcW w:type="dxa" w:w="52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430" w:hRule="atLeast"/>
        </w:trPr>
        <w:tc>
          <w:tcPr>
            <w:tcW w:type="dxa" w:w="28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Per workflow</w:t>
            </w:r>
          </w:p>
        </w:tc>
        <w:tc>
          <w:tcPr>
            <w:tcW w:type="dxa" w:w="16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Yes / No / Maybe</w:t>
            </w:r>
          </w:p>
        </w:tc>
        <w:tc>
          <w:tcPr>
            <w:tcW w:type="dxa" w:w="52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430" w:hRule="atLeast"/>
        </w:trPr>
        <w:tc>
          <w:tcPr>
            <w:tcW w:type="dxa" w:w="28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Per active record</w:t>
            </w:r>
          </w:p>
        </w:tc>
        <w:tc>
          <w:tcPr>
            <w:tcW w:type="dxa" w:w="16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Yes / No / Maybe</w:t>
            </w:r>
          </w:p>
        </w:tc>
        <w:tc>
          <w:tcPr>
            <w:tcW w:type="dxa" w:w="52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430" w:hRule="atLeast"/>
        </w:trPr>
        <w:tc>
          <w:tcPr>
            <w:tcW w:type="dxa" w:w="28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Flat platform fee</w:t>
            </w:r>
          </w:p>
        </w:tc>
        <w:tc>
          <w:tcPr>
            <w:tcW w:type="dxa" w:w="16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Yes / No / Maybe</w:t>
            </w:r>
          </w:p>
        </w:tc>
        <w:tc>
          <w:tcPr>
            <w:tcW w:type="dxa" w:w="52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bl>
    <w:p>
      <w:pPr>
        <w:spacing w:after="120"/>
      </w:pPr>
    </w:p>
    <w:p>
      <w:pPr>
        <w:pStyle w:val="Heading2"/>
      </w:pPr>
      <w:r>
        <w:t xml:space="preserve">Per-segment pricing evidence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1900"/>
        <w:gridCol w:w="1700"/>
        <w:gridCol w:w="1900"/>
      </w:tblGrid>
      <w:tr>
        <w:trPr>
          <w:tblHeader/>
        </w:trPr>
        <w:tc>
          <w:tcPr>
            <w:tcW w:type="dxa" w:w="20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Segment</w:t>
            </w:r>
          </w:p>
        </w:tc>
        <w:tc>
          <w:tcPr>
            <w:tcW w:type="dxa" w:w="21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Willingness-to-pay signal</w:t>
            </w:r>
          </w:p>
        </w:tc>
        <w:tc>
          <w:tcPr>
            <w:tcW w:type="dxa" w:w="19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Competitor benchmark</w:t>
            </w:r>
          </w:p>
        </w:tc>
        <w:tc>
          <w:tcPr>
            <w:tcW w:type="dxa" w:w="17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Cost-to-serve</w:t>
            </w:r>
          </w:p>
        </w:tc>
        <w:tc>
          <w:tcPr>
            <w:tcW w:type="dxa" w:w="19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Indicative price range</w:t>
            </w:r>
          </w:p>
        </w:tc>
      </w:tr>
      <w:tr>
        <w:trPr>
          <w:trHeight w:val="470" w:hRule="atLeast"/>
        </w:trPr>
        <w:tc>
          <w:tcPr>
            <w:tcW w:type="dxa" w:w="2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Audit Firms</w:t>
            </w:r>
          </w:p>
        </w:tc>
        <w:tc>
          <w:tcPr>
            <w:tcW w:type="dxa" w:w="21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7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470" w:hRule="atLeast"/>
        </w:trPr>
        <w:tc>
          <w:tcPr>
            <w:tcW w:type="dxa" w:w="2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Mining Suppliers</w:t>
            </w:r>
          </w:p>
        </w:tc>
        <w:tc>
          <w:tcPr>
            <w:tcW w:type="dxa" w:w="21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7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470" w:hRule="atLeast"/>
        </w:trPr>
        <w:tc>
          <w:tcPr>
            <w:tcW w:type="dxa" w:w="2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Municipalities</w:t>
            </w:r>
          </w:p>
        </w:tc>
        <w:tc>
          <w:tcPr>
            <w:tcW w:type="dxa" w:w="21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7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470" w:hRule="atLeast"/>
        </w:trPr>
        <w:tc>
          <w:tcPr>
            <w:tcW w:type="dxa" w:w="2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Professional Services Firms</w:t>
            </w:r>
          </w:p>
        </w:tc>
        <w:tc>
          <w:tcPr>
            <w:tcW w:type="dxa" w:w="21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7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470" w:hRule="atLeast"/>
        </w:trPr>
        <w:tc>
          <w:tcPr>
            <w:tcW w:type="dxa" w:w="2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SMEs</w:t>
            </w:r>
          </w:p>
        </w:tc>
        <w:tc>
          <w:tcPr>
            <w:tcW w:type="dxa" w:w="21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7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470" w:hRule="atLeast"/>
        </w:trPr>
        <w:tc>
          <w:tcPr>
            <w:tcW w:type="dxa" w:w="2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SETAs</w:t>
            </w:r>
          </w:p>
        </w:tc>
        <w:tc>
          <w:tcPr>
            <w:tcW w:type="dxa" w:w="21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7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470" w:hRule="atLeast"/>
        </w:trPr>
        <w:tc>
          <w:tcPr>
            <w:tcW w:type="dxa" w:w="2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State-Owned Enterprises</w:t>
            </w:r>
          </w:p>
        </w:tc>
        <w:tc>
          <w:tcPr>
            <w:tcW w:type="dxa" w:w="21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7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9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bl>
    <w:p>
      <w:pPr>
        <w:spacing w:after="120"/>
      </w:pPr>
      <w:r>
        <w:rPr>
          <w:i/>
          <w:iCs/>
          <w:color w:val="6B7280"/>
          <w:sz w:val="18"/>
          <w:szCs w:val="18"/>
        </w:rPr>
        <w:t xml:space="preserve">Indicative price range is a hypothesis until willingness-to-pay evidence exists — label it illustrative.</w:t>
      </w:r>
    </w:p>
    <w:p>
      <w:pPr>
        <w:spacing w:after="120"/>
      </w:pPr>
    </w:p>
    <w:p>
      <w:pPr>
        <w:pStyle w:val="Heading2"/>
      </w:pPr>
      <w:r>
        <w:t xml:space="preserve">Evidence required before pricing can be recommended</w:t>
      </w:r>
    </w:p>
    <w:p>
      <w:pPr>
        <w:pStyle w:val="ListParagraph"/>
        <w:numPr>
          <w:ilvl w:val="0"/>
          <w:numId w:val="2"/>
        </w:numPr>
        <w:spacing w:after="30"/>
      </w:pPr>
      <w:r>
        <w:t xml:space="preserve">Willingness-to-pay signals per segment (interviews, pilots).</w:t>
      </w:r>
    </w:p>
    <w:p>
      <w:pPr>
        <w:pStyle w:val="ListParagraph"/>
        <w:numPr>
          <w:ilvl w:val="0"/>
          <w:numId w:val="2"/>
        </w:numPr>
        <w:spacing w:after="30"/>
      </w:pPr>
      <w:r>
        <w:t xml:space="preserve">Competitor price benchmarks by category.</w:t>
      </w:r>
    </w:p>
    <w:p>
      <w:pPr>
        <w:pStyle w:val="ListParagraph"/>
        <w:numPr>
          <w:ilvl w:val="0"/>
          <w:numId w:val="2"/>
        </w:numPr>
        <w:spacing w:after="30"/>
      </w:pPr>
      <w:r>
        <w:t xml:space="preserve">Cost-to-serve per packaging tier.</w:t>
      </w:r>
    </w:p>
    <w:p>
      <w:pPr>
        <w:pStyle w:val="ListParagraph"/>
        <w:numPr>
          <w:ilvl w:val="0"/>
          <w:numId w:val="2"/>
        </w:numPr>
        <w:spacing w:after="30"/>
      </w:pPr>
      <w:r>
        <w:t xml:space="preserve">Price sensitivity / elasticity from pilots.</w:t>
      </w:r>
    </w:p>
    <w:p>
      <w:pPr>
        <w:pStyle w:val="Heading1"/>
        <w:pageBreakBefore/>
      </w:pPr>
      <w:r>
        <w:t xml:space="preserve">4. Market Entry (Decision 1)</w:t>
      </w:r>
    </w:p>
    <w:p>
      <w:pPr>
        <w:spacing w:after="120"/>
      </w:pPr>
      <w:r>
        <w:rPr>
          <w:color w:val="1A1A1A"/>
          <w:sz w:val="18"/>
          <w:szCs w:val="18"/>
        </w:rPr>
        <w:t xml:space="preserve">Which segment should Sigmoid target first for the CRM?   </w:t>
      </w:r>
      <w:r>
        <w:rPr>
          <w:color w:val="6B7280"/>
          <w:sz w:val="18"/>
          <w:szCs w:val="18"/>
        </w:rPr>
        <w:t xml:space="preserve">Framework: Decision D1 — informed by Section 1</w:t>
      </w:r>
    </w:p>
    <w:p>
      <w:pPr>
        <w:pStyle w:val="Heading2"/>
      </w:pPr>
      <w:r>
        <w:t xml:space="preserve">Decision record (current)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Field</w:t>
            </w:r>
          </w:p>
        </w:tc>
        <w:tc>
          <w:tcPr>
            <w:tcW w:type="dxa" w:w="66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Value</w:t>
            </w:r>
          </w:p>
        </w:tc>
      </w:tr>
      <w:tr>
        <w:trPr>
          <w:trHeight w:val="430" w:hRule="atLeast"/>
        </w:trPr>
        <w:tc>
          <w:tcPr>
            <w:tcW w:type="dxa" w:w="3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Decision question</w:t>
            </w:r>
          </w:p>
        </w:tc>
        <w:tc>
          <w:tcPr>
            <w:tcW w:type="dxa" w:w="66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Which segment should Sigmoid target first for the CRM?</w:t>
            </w:r>
          </w:p>
        </w:tc>
      </w:tr>
      <w:tr>
        <w:trPr>
          <w:trHeight w:val="430" w:hRule="atLeast"/>
        </w:trPr>
        <w:tc>
          <w:tcPr>
            <w:tcW w:type="dxa" w:w="3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Current hypothesis</w:t>
            </w:r>
          </w:p>
        </w:tc>
        <w:tc>
          <w:tcPr>
            <w:tcW w:type="dxa" w:w="66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Audit and professional-services firms are the strongest first target — acute, funded workflow pain and shorter sales cycles.</w:t>
            </w:r>
          </w:p>
        </w:tc>
      </w:tr>
      <w:tr>
        <w:trPr>
          <w:trHeight w:val="430" w:hRule="atLeast"/>
        </w:trPr>
        <w:tc>
          <w:tcPr>
            <w:tcW w:type="dxa" w:w="3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Current confidence</w:t>
            </w:r>
          </w:p>
        </w:tc>
        <w:tc>
          <w:tcPr>
            <w:tcW w:type="dxa" w:w="66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C (indicative)</w:t>
            </w:r>
          </w:p>
        </w:tc>
      </w:tr>
      <w:tr>
        <w:trPr>
          <w:trHeight w:val="430" w:hRule="atLeast"/>
        </w:trPr>
        <w:tc>
          <w:tcPr>
            <w:tcW w:type="dxa" w:w="3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Required to commit</w:t>
            </w:r>
          </w:p>
        </w:tc>
        <w:tc>
          <w:tcPr>
            <w:tcW w:type="dxa" w:w="66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B (substantiated)</w:t>
            </w:r>
          </w:p>
        </w:tc>
      </w:tr>
      <w:tr>
        <w:trPr>
          <w:trHeight w:val="430" w:hRule="atLeast"/>
        </w:trPr>
        <w:tc>
          <w:tcPr>
            <w:tcW w:type="dxa" w:w="30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Next experiment</w:t>
            </w:r>
          </w:p>
        </w:tc>
        <w:tc>
          <w:tcPr>
            <w:tcW w:type="dxa" w:w="66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Run discovery calls with 5 audit / professional-services firms and register the evidence.</w:t>
            </w:r>
          </w:p>
        </w:tc>
      </w:tr>
    </w:tbl>
    <w:p>
      <w:pPr>
        <w:spacing w:after="120"/>
      </w:pPr>
    </w:p>
    <w:p>
      <w:pPr>
        <w:pStyle w:val="Heading2"/>
      </w:pPr>
      <w:r>
        <w:t xml:space="preserve">Claims behind this decision — record evidence found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600"/>
        <w:gridCol w:w="1500"/>
        <w:gridCol w:w="1300"/>
      </w:tblGrid>
      <w:tr>
        <w:trPr>
          <w:tblHeader/>
        </w:trPr>
        <w:tc>
          <w:tcPr>
            <w:tcW w:type="dxa" w:w="17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Claim</w:t>
            </w:r>
          </w:p>
        </w:tc>
        <w:tc>
          <w:tcPr>
            <w:tcW w:type="dxa" w:w="25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Hypothesis</w:t>
            </w:r>
          </w:p>
        </w:tc>
        <w:tc>
          <w:tcPr>
            <w:tcW w:type="dxa" w:w="26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Evidence needed for grade B</w:t>
            </w:r>
          </w:p>
        </w:tc>
        <w:tc>
          <w:tcPr>
            <w:tcW w:type="dxa" w:w="15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Evidence found (team)</w:t>
            </w:r>
          </w:p>
        </w:tc>
        <w:tc>
          <w:tcPr>
            <w:tcW w:type="dxa" w:w="13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Updated grade</w:t>
            </w:r>
          </w:p>
        </w:tc>
      </w:tr>
      <w:tr>
        <w:trPr>
          <w:trHeight w:val="620" w:hRule="atLeast"/>
        </w:trPr>
        <w:tc>
          <w:tcPr>
            <w:tcW w:type="dxa" w:w="17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H-SEG-AUDIT-01</w:t>
            </w:r>
          </w:p>
        </w:tc>
        <w:tc>
          <w:tcPr>
            <w:tcW w:type="dxa" w:w="25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Audit firms may have strong workflow pain.</w:t>
            </w:r>
          </w:p>
        </w:tc>
        <w:tc>
          <w:tcPr>
            <w:tcW w:type="dxa" w:w="26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2+ independent audit-firm interviews citing acute, specific workflow pain.</w:t>
            </w:r>
          </w:p>
        </w:tc>
        <w:tc>
          <w:tcPr>
            <w:tcW w:type="dxa" w:w="15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3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620" w:hRule="atLeast"/>
        </w:trPr>
        <w:tc>
          <w:tcPr>
            <w:tcW w:type="dxa" w:w="17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H-SEG-AUDIT-02</w:t>
            </w:r>
          </w:p>
        </w:tc>
        <w:tc>
          <w:tcPr>
            <w:tcW w:type="dxa" w:w="25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Audit firms may have budget for CRM/workflow tools.</w:t>
            </w:r>
          </w:p>
        </w:tc>
        <w:tc>
          <w:tcPr>
            <w:tcW w:type="dxa" w:w="26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2+ audit-firm interviews confirming a real budget line and buyer.</w:t>
            </w:r>
          </w:p>
        </w:tc>
        <w:tc>
          <w:tcPr>
            <w:tcW w:type="dxa" w:w="15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3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620" w:hRule="atLeast"/>
        </w:trPr>
        <w:tc>
          <w:tcPr>
            <w:tcW w:type="dxa" w:w="17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H-SEG-PROF-01</w:t>
            </w:r>
          </w:p>
        </w:tc>
        <w:tc>
          <w:tcPr>
            <w:tcW w:type="dxa" w:w="25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Professional services firms may need better pipeline visibility.</w:t>
            </w:r>
          </w:p>
        </w:tc>
        <w:tc>
          <w:tcPr>
            <w:tcW w:type="dxa" w:w="26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2+ professional-services interviews naming pipeline visibility as a priority.</w:t>
            </w:r>
          </w:p>
        </w:tc>
        <w:tc>
          <w:tcPr>
            <w:tcW w:type="dxa" w:w="15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c>
          <w:tcPr>
            <w:tcW w:type="dxa" w:w="13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bl>
    <w:p>
      <w:pPr>
        <w:spacing w:after="120"/>
      </w:pPr>
    </w:p>
    <w:p>
      <w:pPr>
        <w:pStyle w:val="Heading2"/>
      </w:pPr>
      <w:r>
        <w:t xml:space="preserve">Decision worksheet — team to complete after scoring Section 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Question</w:t>
            </w:r>
          </w:p>
        </w:tc>
        <w:tc>
          <w:tcPr>
            <w:tcW w:type="dxa" w:w="6200"/>
            <w:tcBorders>
              <w:top w:val="single" w:color="C8D2BB" w:sz="4"/>
              <w:left w:val="single" w:color="C8D2BB" w:sz="4"/>
              <w:bottom w:val="single" w:color="C8D2BB" w:sz="4"/>
              <w:right w:val="single" w:color="C8D2BB" w:sz="4"/>
            </w:tcBorders>
            <w:shd w:fill="EDF4E0" w:val="clear"/>
            <w:tcMar>
              <w:top w:type="dxa" w:w="55"/>
              <w:left w:type="dxa" w:w="100"/>
              <w:bottom w:type="dxa" w:w="55"/>
              <w:right w:type="dxa" w:w="100"/>
            </w:tcMar>
            <w:vAlign w:val="center"/>
          </w:tcPr>
          <w:p>
            <w:pPr>
              <w:spacing w:after="0"/>
              <w:jc w:val="left"/>
            </w:pPr>
            <w:r>
              <w:rPr>
                <w:b/>
                <w:bCs/>
                <w:color w:val="33501B"/>
                <w:sz w:val="17"/>
                <w:szCs w:val="17"/>
              </w:rPr>
              <w:t xml:space="preserve">Team answer</w:t>
            </w:r>
          </w:p>
        </w:tc>
      </w:tr>
      <w:tr>
        <w:trPr>
          <w:trHeight w:val="520" w:hRule="atLeast"/>
        </w:trPr>
        <w:tc>
          <w:tcPr>
            <w:tcW w:type="dxa" w:w="34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Top-priority segment (from the grid)</w:t>
            </w:r>
          </w:p>
        </w:tc>
        <w:tc>
          <w:tcPr>
            <w:tcW w:type="dxa" w:w="62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520" w:hRule="atLeast"/>
        </w:trPr>
        <w:tc>
          <w:tcPr>
            <w:tcW w:type="dxa" w:w="34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Why — the main drivers</w:t>
            </w:r>
          </w:p>
        </w:tc>
        <w:tc>
          <w:tcPr>
            <w:tcW w:type="dxa" w:w="62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520" w:hRule="atLeast"/>
        </w:trPr>
        <w:tc>
          <w:tcPr>
            <w:tcW w:type="dxa" w:w="34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Confidence now (D / C / B / A)</w:t>
            </w:r>
          </w:p>
        </w:tc>
        <w:tc>
          <w:tcPr>
            <w:tcW w:type="dxa" w:w="62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520" w:hRule="atLeast"/>
        </w:trPr>
        <w:tc>
          <w:tcPr>
            <w:tcW w:type="dxa" w:w="34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Evidence still needed before committing</w:t>
            </w:r>
          </w:p>
        </w:tc>
        <w:tc>
          <w:tcPr>
            <w:tcW w:type="dxa" w:w="62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520" w:hRule="atLeast"/>
        </w:trPr>
        <w:tc>
          <w:tcPr>
            <w:tcW w:type="dxa" w:w="34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Recommended next step</w:t>
            </w:r>
          </w:p>
        </w:tc>
        <w:tc>
          <w:tcPr>
            <w:tcW w:type="dxa" w:w="62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r>
        <w:trPr>
          <w:trHeight w:val="520" w:hRule="atLeast"/>
        </w:trPr>
        <w:tc>
          <w:tcPr>
            <w:tcW w:type="dxa" w:w="3400"/>
            <w:tcBorders>
              <w:top w:val="single" w:color="C8D2BB" w:sz="4"/>
              <w:left w:val="single" w:color="C8D2BB" w:sz="4"/>
              <w:bottom w:val="single" w:color="C8D2BB" w:sz="4"/>
              <w:right w:val="single" w:color="C8D2BB" w:sz="4"/>
            </w:tcBorders>
            <w:tcMar>
              <w:top w:type="dxa" w:w="55"/>
              <w:left w:type="dxa" w:w="100"/>
              <w:bottom w:type="dxa" w:w="55"/>
              <w:right w:type="dxa" w:w="100"/>
            </w:tcMar>
            <w:vAlign w:val="center"/>
          </w:tcPr>
          <w:p>
            <w:pPr>
              <w:spacing w:after="0"/>
              <w:jc w:val="left"/>
            </w:pPr>
            <w:r>
              <w:rPr>
                <w:color w:val="1A1A1A"/>
                <w:sz w:val="17"/>
                <w:szCs w:val="17"/>
              </w:rPr>
              <w:t xml:space="preserve">Owner · date</w:t>
            </w:r>
          </w:p>
        </w:tc>
        <w:tc>
          <w:tcPr>
            <w:tcW w:type="dxa" w:w="6200"/>
            <w:tcBorders>
              <w:top w:val="single" w:color="C8D2BB" w:sz="4"/>
              <w:left w:val="single" w:color="C8D2BB" w:sz="4"/>
              <w:bottom w:val="single" w:color="C8D2BB" w:sz="4"/>
              <w:right w:val="single" w:color="C8D2BB" w:sz="4"/>
            </w:tcBorders>
            <w:shd w:fill="FCFDFA" w:val="clear"/>
            <w:tcMar>
              <w:top w:type="dxa" w:w="55"/>
              <w:left w:type="dxa" w:w="100"/>
              <w:bottom w:type="dxa" w:w="55"/>
              <w:right w:type="dxa" w:w="100"/>
            </w:tcMar>
            <w:vAlign w:val="center"/>
          </w:tcPr>
          <w:p>
            <w:pPr>
              <w:spacing w:after="0"/>
              <w:jc w:val="left"/>
            </w:pPr>
          </w:p>
        </w:tc>
      </w:tr>
    </w:tbl>
    <w:p>
      <w:pPr>
        <w:pBdr>
          <w:top w:val="single" w:color="8CC63F" w:sz="6" w:space="4"/>
          <w:bottom w:val="single" w:color="8CC63F" w:sz="6" w:space="4"/>
        </w:pBdr>
        <w:spacing w:after="120" w:before="80"/>
      </w:pPr>
      <w:r>
        <w:rPr>
          <w:color w:val="1A1A1A"/>
          <w:sz w:val="19"/>
          <w:szCs w:val="19"/>
        </w:rPr>
        <w:t xml:space="preserve">Do not declare a first-target segment as a decision until its claims reach grade B. This worksheet records the team's current best read — it is a hypothesis, not a commitment.</w:t>
      </w:r>
    </w:p>
    <w:sectPr>
      <w:headerReference w:type="default" r:id="rId7"/>
      <w:footerReference w:type="default" r:id="rId8"/>
      <w:pgSz w:w="11906" w:h="16838" w:orient="portrait"/>
      <w:pgMar w:top="1440" w:right="1152" w:bottom="126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4C6" w:sz="6" w:space="4"/>
      </w:pBdr>
      <w:tabs>
        <w:tab w:val="right" w:pos="9602"/>
      </w:tabs>
    </w:pPr>
    <w:r>
      <w:rPr>
        <w:color w:val="6B7280"/>
        <w:sz w:val="15"/>
        <w:szCs w:val="15"/>
      </w:rPr>
      <w:t xml:space="preserve">Sigmoid Analytica (Geo-Econometrics)  ·  www.sa-informatics.com  ·  frameworks v0.1.0 — illustrative until validated</w:t>
    </w:r>
    <w:r>
      <w:rPr>
        <w:color w:val="6B7280"/>
        <w:sz w:val="15"/>
        <w:szCs w:val="15"/>
      </w:rPr>
      <w:t xml:space="preserve">	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C63F" w:sz="6" w:space="4"/>
      </w:pBdr>
      <w:tabs>
        <w:tab w:val="right" w:pos="9602"/>
      </w:tabs>
    </w:pPr>
    <w:r>
      <w:rPr>
        <w:b/>
        <w:bCs/>
        <w:color w:val="1A1A1A"/>
        <w:sz w:val="16"/>
        <w:szCs w:val="16"/>
      </w:rPr>
      <w:t xml:space="preserve">Market Strategy Working Template</w:t>
    </w:r>
    <w:r>
      <w:rPr>
        <w:color w:val="6B7280"/>
        <w:sz w:val="16"/>
        <w:szCs w:val="16"/>
      </w:rPr>
      <w:t xml:space="preserve">	Sigmoid Analytica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abstractNum w:abstractNumId="6" w15:restartNumberingAfterBreak="0">
    <w:multiLevelType w:val="hybridMultilevel"/>
    <w:lvl w:ilvl="0" w15:tentative="1">
      <w:start w:val="1"/>
      <w:numFmt w:val="decimal"/>
      <w:lvlText w:val="%1."/>
      <w:lvlJc w:val="left"/>
      <w:pPr>
        <w:ind w:left="460" w:hanging="300"/>
      </w:pPr>
    </w:lvl>
  </w:abstractNum>
  <w:abstractNum w:abstractNumId="7" w15:restartNumberingAfterBreak="0">
    <w:multiLevelType w:val="hybridMultilevel"/>
    <w:lvl w:ilvl="0" w15:tentative="1">
      <w:start w:val="1"/>
      <w:numFmt w:val="decimal"/>
      <w:lvlText w:val="%1."/>
      <w:lvlJc w:val="left"/>
      <w:pPr>
        <w:ind w:left="460" w:hanging="300"/>
      </w:pPr>
    </w:lvl>
  </w:abstractNum>
  <w:abstractNum w:abstractNumId="8" w15:restartNumberingAfterBreak="0">
    <w:multiLevelType w:val="hybridMultilevel"/>
    <w:lvl w:ilvl="0" w15:tentative="1">
      <w:start w:val="1"/>
      <w:numFmt w:val="decimal"/>
      <w:lvlText w:val="%1."/>
      <w:lvlJc w:val="left"/>
      <w:pPr>
        <w:ind w:left="460" w:hanging="300"/>
      </w:pPr>
    </w:lvl>
  </w:abstractNum>
  <w:abstractNum w:abstractNumId="9" w15:restartNumberingAfterBreak="0">
    <w:multiLevelType w:val="hybridMultilevel"/>
    <w:lvl w:ilvl="0" w15:tentative="1">
      <w:start w:val="1"/>
      <w:numFmt w:val="decimal"/>
      <w:lvlText w:val="%1."/>
      <w:lvlJc w:val="left"/>
      <w:pPr>
        <w:ind w:left="460" w:hanging="300"/>
      </w:pPr>
    </w:lvl>
  </w:abstractNum>
  <w:abstractNum w:abstractNumId="10" w15:restartNumberingAfterBreak="0">
    <w:multiLevelType w:val="hybridMultilevel"/>
    <w:lvl w:ilvl="0" w15:tentative="1">
      <w:start w:val="1"/>
      <w:numFmt w:val="decimal"/>
      <w:lvlText w:val="%1."/>
      <w:lvlJc w:val="left"/>
      <w:pPr>
        <w:ind w:left="460" w:hanging="300"/>
      </w:pPr>
    </w:lvl>
  </w:abstractNum>
  <w:abstractNum w:abstractNumId="11" w15:restartNumberingAfterBreak="0">
    <w:multiLevelType w:val="hybridMultilevel"/>
    <w:lvl w:ilvl="0" w15:tentative="1">
      <w:start w:val="1"/>
      <w:numFmt w:val="decimal"/>
      <w:lvlText w:val="%1."/>
      <w:lvlJc w:val="left"/>
      <w:pPr>
        <w:ind w:left="460" w:hanging="300"/>
      </w:pPr>
    </w:lvl>
  </w:abstractNum>
  <w:abstractNum w:abstractNumId="12"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Arial" w:cs="Arial" w:eastAsia="Arial" w:hAnsi="Arial"/>
      <w:b/>
      <w:bCs/>
      <w:color w:val="1A1A1A"/>
      <w:sz w:val="30"/>
      <w:szCs w:val="30"/>
    </w:rPr>
  </w:style>
  <w:style w:type="paragraph" w:styleId="Heading2">
    <w:name w:val="Heading 2"/>
    <w:basedOn w:val="Normal"/>
    <w:next w:val="Normal"/>
    <w:qFormat/>
    <w:pPr>
      <w:spacing w:after="60" w:before="160"/>
      <w:outlineLvl w:val="1"/>
    </w:pPr>
    <w:rPr>
      <w:rFonts w:ascii="Arial" w:cs="Arial" w:eastAsia="Arial" w:hAnsi="Arial"/>
      <w:b/>
      <w:bCs/>
      <w:color w:val="5E8E2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ce832d400caa79350b6194b8a3912c8e11bae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Strategy Working Template</dc:title>
  <dc:creator>Sigmoid Analytica</dc:creator>
  <cp:lastModifiedBy>Un-named</cp:lastModifiedBy>
  <cp:revision>1</cp:revision>
  <dcterms:created xsi:type="dcterms:W3CDTF">2026-07-07T13:08:10.997Z</dcterms:created>
  <dcterms:modified xsi:type="dcterms:W3CDTF">2026-07-07T13:08:10.997Z</dcterms:modified>
</cp:coreProperties>
</file>

<file path=docProps/custom.xml><?xml version="1.0" encoding="utf-8"?>
<Properties xmlns="http://schemas.openxmlformats.org/officeDocument/2006/custom-properties" xmlns:vt="http://schemas.openxmlformats.org/officeDocument/2006/docPropsVTypes"/>
</file>