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2A" w:rsidRPr="00C6562A" w:rsidRDefault="00C6562A" w:rsidP="00C6562A">
      <w:pPr>
        <w:shd w:val="clear" w:color="auto" w:fill="FFFFFF"/>
        <w:outlineLvl w:val="0"/>
        <w:rPr>
          <w:rFonts w:ascii="Trebuchet MS" w:eastAsia="Times New Roman" w:hAnsi="Trebuchet MS" w:cs="Times New Roman"/>
          <w:b/>
          <w:bCs/>
          <w:color w:val="3476A8"/>
          <w:kern w:val="36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  <w:kern w:val="36"/>
        </w:rPr>
        <w:t>Graphical Parameters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You can customize many features of your graphs (fonts, colors, axes, titles) through graphic options.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One way is to specify these options in through the </w:t>
      </w:r>
      <w:r w:rsidRPr="00C6562A">
        <w:rPr>
          <w:rFonts w:ascii="Trebuchet MS" w:hAnsi="Trebuchet MS" w:cs="Times New Roman"/>
          <w:b/>
          <w:bCs/>
          <w:color w:val="444444"/>
        </w:rPr>
        <w:t>par</w:t>
      </w:r>
      <w:proofErr w:type="gramStart"/>
      <w:r w:rsidRPr="00C6562A">
        <w:rPr>
          <w:rFonts w:ascii="Trebuchet MS" w:hAnsi="Trebuchet MS" w:cs="Times New Roman"/>
          <w:b/>
          <w:bCs/>
          <w:color w:val="444444"/>
        </w:rPr>
        <w:t>( )</w:t>
      </w:r>
      <w:proofErr w:type="gramEnd"/>
      <w:r w:rsidRPr="00C6562A">
        <w:rPr>
          <w:rFonts w:ascii="Trebuchet MS" w:hAnsi="Trebuchet MS" w:cs="Times New Roman"/>
          <w:b/>
          <w:bCs/>
          <w:color w:val="444444"/>
        </w:rPr>
        <w:t> </w:t>
      </w:r>
      <w:r w:rsidRPr="00C6562A">
        <w:rPr>
          <w:rFonts w:ascii="Trebuchet MS" w:hAnsi="Trebuchet MS" w:cs="Times New Roman"/>
          <w:color w:val="444444"/>
        </w:rPr>
        <w:t xml:space="preserve">function. If you set parameter values here, the changes will be in effect for the rest of the session or until you change them again. The format </w:t>
      </w:r>
      <w:proofErr w:type="spellStart"/>
      <w:proofErr w:type="gramStart"/>
      <w:r w:rsidRPr="00C6562A">
        <w:rPr>
          <w:rFonts w:ascii="Trebuchet MS" w:hAnsi="Trebuchet MS" w:cs="Times New Roman"/>
          <w:color w:val="444444"/>
        </w:rPr>
        <w:t>is</w:t>
      </w:r>
      <w:r w:rsidRPr="00C6562A">
        <w:rPr>
          <w:rFonts w:ascii="Trebuchet MS" w:hAnsi="Trebuchet MS" w:cs="Times New Roman"/>
          <w:b/>
          <w:bCs/>
          <w:color w:val="444444"/>
        </w:rPr>
        <w:t>par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(</w:t>
      </w:r>
      <w:proofErr w:type="spellStart"/>
      <w:proofErr w:type="gramEnd"/>
      <w:r w:rsidRPr="00C6562A">
        <w:rPr>
          <w:rFonts w:ascii="Trebuchet MS" w:hAnsi="Trebuchet MS" w:cs="Times New Roman"/>
          <w:b/>
          <w:bCs/>
          <w:i/>
          <w:iCs/>
          <w:color w:val="444444"/>
        </w:rPr>
        <w:t>optionname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=</w:t>
      </w:r>
      <w:r w:rsidRPr="00C6562A">
        <w:rPr>
          <w:rFonts w:ascii="Trebuchet MS" w:hAnsi="Trebuchet MS" w:cs="Times New Roman"/>
          <w:i/>
          <w:iCs/>
          <w:color w:val="444444"/>
        </w:rPr>
        <w:t>value</w:t>
      </w:r>
      <w:r w:rsidRPr="00C6562A">
        <w:rPr>
          <w:rFonts w:ascii="Trebuchet MS" w:hAnsi="Trebuchet MS" w:cs="Times New Roman"/>
          <w:b/>
          <w:bCs/>
          <w:color w:val="444444"/>
        </w:rPr>
        <w:t>, </w:t>
      </w:r>
      <w:proofErr w:type="spellStart"/>
      <w:r w:rsidRPr="00C6562A">
        <w:rPr>
          <w:rFonts w:ascii="Trebuchet MS" w:hAnsi="Trebuchet MS" w:cs="Times New Roman"/>
          <w:b/>
          <w:bCs/>
          <w:i/>
          <w:iCs/>
          <w:color w:val="444444"/>
        </w:rPr>
        <w:t>optionname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=</w:t>
      </w:r>
      <w:r w:rsidRPr="00C6562A">
        <w:rPr>
          <w:rFonts w:ascii="Trebuchet MS" w:hAnsi="Trebuchet MS" w:cs="Times New Roman"/>
          <w:i/>
          <w:iCs/>
          <w:color w:val="444444"/>
        </w:rPr>
        <w:t>value</w:t>
      </w:r>
      <w:r w:rsidRPr="00C6562A">
        <w:rPr>
          <w:rFonts w:ascii="Trebuchet MS" w:hAnsi="Trebuchet MS" w:cs="Times New Roman"/>
          <w:b/>
          <w:bCs/>
          <w:color w:val="444444"/>
        </w:rPr>
        <w:t>, </w:t>
      </w:r>
      <w:r w:rsidRPr="00C6562A">
        <w:rPr>
          <w:rFonts w:ascii="Trebuchet MS" w:hAnsi="Trebuchet MS" w:cs="Times New Roman"/>
          <w:color w:val="444444"/>
        </w:rPr>
        <w:t>...</w:t>
      </w:r>
      <w:r w:rsidRPr="00C6562A">
        <w:rPr>
          <w:rFonts w:ascii="Trebuchet MS" w:hAnsi="Trebuchet MS" w:cs="Times New Roman"/>
          <w:b/>
          <w:bCs/>
          <w:color w:val="444444"/>
        </w:rPr>
        <w:t>)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 xml:space="preserve"># Set a graphical parameter using </w:t>
      </w:r>
      <w:proofErr w:type="gram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par(</w:t>
      </w:r>
      <w:proofErr w:type="gram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par()              # view current settings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opar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 xml:space="preserve"> &lt;- par()      # make a copy of current settings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par(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col.lab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="red") # red x and y labels 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hist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mtcars$mpg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)   # create a plot with these new settings 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par(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opar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)          # restore original settings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A second way to specify graphical parameters is by providing the </w:t>
      </w:r>
      <w:proofErr w:type="spellStart"/>
      <w:r w:rsidRPr="00C6562A">
        <w:rPr>
          <w:rFonts w:ascii="Trebuchet MS" w:hAnsi="Trebuchet MS" w:cs="Times New Roman"/>
          <w:b/>
          <w:bCs/>
          <w:i/>
          <w:iCs/>
          <w:color w:val="444444"/>
        </w:rPr>
        <w:t>optionname</w:t>
      </w:r>
      <w:proofErr w:type="spellEnd"/>
      <w:r w:rsidRPr="00C6562A">
        <w:rPr>
          <w:rFonts w:ascii="Trebuchet MS" w:hAnsi="Trebuchet MS" w:cs="Times New Roman"/>
          <w:color w:val="444444"/>
        </w:rPr>
        <w:t>=</w:t>
      </w:r>
      <w:r w:rsidRPr="00C6562A">
        <w:rPr>
          <w:rFonts w:ascii="Trebuchet MS" w:hAnsi="Trebuchet MS" w:cs="Times New Roman"/>
          <w:i/>
          <w:iCs/>
          <w:color w:val="444444"/>
        </w:rPr>
        <w:t>value</w:t>
      </w:r>
      <w:r w:rsidRPr="00C6562A">
        <w:rPr>
          <w:rFonts w:ascii="Trebuchet MS" w:hAnsi="Trebuchet MS" w:cs="Times New Roman"/>
          <w:color w:val="444444"/>
        </w:rPr>
        <w:t> pairs directly to a high level plotting function. In this case, the options are only in effect for that specific graph.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# Set a graphical parameter within the plotting function 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proofErr w:type="spellStart"/>
      <w:proofErr w:type="gram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hist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</w:t>
      </w:r>
      <w:proofErr w:type="spellStart"/>
      <w:proofErr w:type="gram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mtcars$mpg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 xml:space="preserve">, 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col.lab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="red")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 xml:space="preserve">See the help for a specific high level plotting function (e.g. plot, </w:t>
      </w:r>
      <w:proofErr w:type="spellStart"/>
      <w:r w:rsidRPr="00C6562A">
        <w:rPr>
          <w:rFonts w:ascii="Trebuchet MS" w:hAnsi="Trebuchet MS" w:cs="Times New Roman"/>
          <w:color w:val="444444"/>
        </w:rPr>
        <w:t>hist</w:t>
      </w:r>
      <w:proofErr w:type="spellEnd"/>
      <w:r w:rsidRPr="00C6562A">
        <w:rPr>
          <w:rFonts w:ascii="Trebuchet MS" w:hAnsi="Trebuchet MS" w:cs="Times New Roman"/>
          <w:color w:val="444444"/>
        </w:rPr>
        <w:t>, boxplot) to determine which graphical parameters can be set this way.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The remainder of this section describes some of the more important graphical parameters that you can set.</w:t>
      </w:r>
    </w:p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Text and Symbol Size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The following options can be used to control text and symbol size in graphs.</w:t>
      </w:r>
    </w:p>
    <w:tbl>
      <w:tblPr>
        <w:tblW w:w="4250" w:type="pct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0469"/>
      </w:tblGrid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lastRenderedPageBreak/>
              <w:t>option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description</w:t>
            </w:r>
            <w:proofErr w:type="gram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cex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number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indicating the amount by which plotting text and symbols should be scaled relative to the default. 1=default, 1.5 is 50% larger, 0.5 is 50% smaller, etc.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cex.axis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magnification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of axis annotation relative to </w:t>
            </w:r>
            <w:proofErr w:type="spell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cex</w:t>
            </w:r>
            <w:proofErr w:type="spell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cex.lab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magnification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of x and y labels relative to </w:t>
            </w:r>
            <w:proofErr w:type="spell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cex</w:t>
            </w:r>
            <w:proofErr w:type="spell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cex.main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magnification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of titles relative to </w:t>
            </w:r>
            <w:proofErr w:type="spell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cex</w:t>
            </w:r>
            <w:proofErr w:type="spell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cex.sub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magnification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of subtitles relative to </w:t>
            </w:r>
            <w:proofErr w:type="spell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cex</w:t>
            </w:r>
            <w:proofErr w:type="spellEnd"/>
          </w:p>
        </w:tc>
      </w:tr>
    </w:tbl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Plotting Symbols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Use the </w:t>
      </w:r>
      <w:proofErr w:type="spellStart"/>
      <w:r w:rsidRPr="00C6562A">
        <w:rPr>
          <w:rFonts w:ascii="Trebuchet MS" w:hAnsi="Trebuchet MS" w:cs="Times New Roman"/>
          <w:b/>
          <w:bCs/>
          <w:color w:val="444444"/>
        </w:rPr>
        <w:t>pch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=</w:t>
      </w:r>
      <w:r w:rsidRPr="00C6562A">
        <w:rPr>
          <w:rFonts w:ascii="Trebuchet MS" w:hAnsi="Trebuchet MS" w:cs="Times New Roman"/>
          <w:color w:val="444444"/>
        </w:rPr>
        <w:t> option to specify symbols to use when plotting points. For symbols 21 through 25, specify border color (col=) and fill color (</w:t>
      </w:r>
      <w:proofErr w:type="spellStart"/>
      <w:r w:rsidRPr="00C6562A">
        <w:rPr>
          <w:rFonts w:ascii="Trebuchet MS" w:hAnsi="Trebuchet MS" w:cs="Times New Roman"/>
          <w:color w:val="444444"/>
        </w:rPr>
        <w:t>bg</w:t>
      </w:r>
      <w:proofErr w:type="spellEnd"/>
      <w:r w:rsidRPr="00C6562A">
        <w:rPr>
          <w:rFonts w:ascii="Trebuchet MS" w:hAnsi="Trebuchet MS" w:cs="Times New Roman"/>
          <w:color w:val="444444"/>
        </w:rPr>
        <w:t>=).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noProof/>
          <w:color w:val="444444"/>
        </w:rPr>
        <w:drawing>
          <wp:inline distT="0" distB="0" distL="0" distR="0" wp14:anchorId="5C7CBBAA" wp14:editId="38384F30">
            <wp:extent cx="3683000" cy="3733800"/>
            <wp:effectExtent l="0" t="0" r="0" b="0"/>
            <wp:docPr id="1" name="Picture 1" descr="lotting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tting symb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 </w:t>
      </w:r>
    </w:p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Lines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You can change lines using the following options. This is particularly useful for reference lines, axes, and fit lines.</w:t>
      </w:r>
    </w:p>
    <w:tbl>
      <w:tblPr>
        <w:tblW w:w="0" w:type="auto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7129"/>
      </w:tblGrid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option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description</w:t>
            </w:r>
            <w:proofErr w:type="gram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lty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line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type. </w:t>
            </w: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see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the chart below.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lwd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line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width relative to the default (default=1). 2 </w:t>
            </w: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is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twice as wide.</w:t>
            </w:r>
          </w:p>
        </w:tc>
      </w:tr>
    </w:tbl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noProof/>
          <w:color w:val="444444"/>
        </w:rPr>
        <w:drawing>
          <wp:inline distT="0" distB="0" distL="0" distR="0" wp14:anchorId="6342A386" wp14:editId="0E8849A3">
            <wp:extent cx="4648200" cy="2755900"/>
            <wp:effectExtent l="0" t="0" r="0" b="12700"/>
            <wp:docPr id="2" name="Picture 2" descr="ine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e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 </w:t>
      </w:r>
    </w:p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Colors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Options that specify colors include the following.</w:t>
      </w:r>
    </w:p>
    <w:tbl>
      <w:tblPr>
        <w:tblW w:w="4250" w:type="pct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10512"/>
      </w:tblGrid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option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description</w:t>
            </w:r>
            <w:proofErr w:type="gram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col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r w:rsidRPr="00C6562A">
              <w:rPr>
                <w:rFonts w:ascii="Trebuchet MS" w:eastAsia="Times New Roman" w:hAnsi="Trebuchet MS" w:cs="Times New Roman"/>
                <w:color w:val="444444"/>
              </w:rPr>
              <w:t>Default plotting color. Some functions (e.g. lines) accept a vector of values that are recycled.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col.axis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color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axis annotation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col.lab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color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x and y labels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col.main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color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titles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col.sub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color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subtitles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plot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foreground color (axes, boxes - also sets col= to same)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bg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plot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background color</w:t>
            </w:r>
          </w:p>
        </w:tc>
      </w:tr>
    </w:tbl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You can specify colors in </w:t>
      </w:r>
      <w:r w:rsidRPr="00C6562A">
        <w:rPr>
          <w:rFonts w:ascii="Trebuchet MS" w:hAnsi="Trebuchet MS" w:cs="Times New Roman"/>
          <w:b/>
          <w:bCs/>
          <w:color w:val="444444"/>
        </w:rPr>
        <w:t>R</w:t>
      </w:r>
      <w:r w:rsidRPr="00C6562A">
        <w:rPr>
          <w:rFonts w:ascii="Trebuchet MS" w:hAnsi="Trebuchet MS" w:cs="Times New Roman"/>
          <w:color w:val="444444"/>
        </w:rPr>
        <w:t> by index, name, hexadecimal, or RGB.</w:t>
      </w:r>
      <w:r w:rsidRPr="00C6562A">
        <w:rPr>
          <w:rFonts w:ascii="Trebuchet MS" w:hAnsi="Trebuchet MS" w:cs="Times New Roman"/>
          <w:color w:val="444444"/>
        </w:rPr>
        <w:br/>
        <w:t>For example </w:t>
      </w:r>
      <w:r w:rsidRPr="00C6562A">
        <w:rPr>
          <w:rFonts w:ascii="Trebuchet MS" w:hAnsi="Trebuchet MS" w:cs="Times New Roman"/>
          <w:b/>
          <w:bCs/>
          <w:color w:val="444444"/>
        </w:rPr>
        <w:t>col=1</w:t>
      </w:r>
      <w:r w:rsidRPr="00C6562A">
        <w:rPr>
          <w:rFonts w:ascii="Trebuchet MS" w:hAnsi="Trebuchet MS" w:cs="Times New Roman"/>
          <w:color w:val="444444"/>
        </w:rPr>
        <w:t>, </w:t>
      </w:r>
      <w:r w:rsidRPr="00C6562A">
        <w:rPr>
          <w:rFonts w:ascii="Trebuchet MS" w:hAnsi="Trebuchet MS" w:cs="Times New Roman"/>
          <w:b/>
          <w:bCs/>
          <w:color w:val="444444"/>
        </w:rPr>
        <w:t>col="white"</w:t>
      </w:r>
      <w:r w:rsidRPr="00C6562A">
        <w:rPr>
          <w:rFonts w:ascii="Trebuchet MS" w:hAnsi="Trebuchet MS" w:cs="Times New Roman"/>
          <w:color w:val="444444"/>
        </w:rPr>
        <w:t>, and </w:t>
      </w:r>
      <w:r w:rsidRPr="00C6562A">
        <w:rPr>
          <w:rFonts w:ascii="Trebuchet MS" w:hAnsi="Trebuchet MS" w:cs="Times New Roman"/>
          <w:b/>
          <w:bCs/>
          <w:color w:val="444444"/>
        </w:rPr>
        <w:t>col="#FFFFFF"</w:t>
      </w:r>
      <w:r w:rsidRPr="00C6562A">
        <w:rPr>
          <w:rFonts w:ascii="Trebuchet MS" w:hAnsi="Trebuchet MS" w:cs="Times New Roman"/>
          <w:color w:val="444444"/>
        </w:rPr>
        <w:t> are equivalent.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The following chart was produced with code developed by Earl F. Glynn. See his </w:t>
      </w:r>
      <w:hyperlink r:id="rId7" w:history="1">
        <w:r w:rsidRPr="00C6562A">
          <w:rPr>
            <w:rFonts w:ascii="Trebuchet MS" w:hAnsi="Trebuchet MS" w:cs="Times New Roman"/>
            <w:b/>
            <w:bCs/>
            <w:color w:val="4082B2"/>
            <w:u w:val="single"/>
          </w:rPr>
          <w:t>Color Chart</w:t>
        </w:r>
      </w:hyperlink>
      <w:r w:rsidRPr="00C6562A">
        <w:rPr>
          <w:rFonts w:ascii="Trebuchet MS" w:hAnsi="Trebuchet MS" w:cs="Times New Roman"/>
          <w:color w:val="444444"/>
        </w:rPr>
        <w:t> for all the details you would ever need about using colors in </w:t>
      </w:r>
      <w:r w:rsidRPr="00C6562A">
        <w:rPr>
          <w:rFonts w:ascii="Trebuchet MS" w:hAnsi="Trebuchet MS" w:cs="Times New Roman"/>
          <w:b/>
          <w:bCs/>
          <w:color w:val="444444"/>
        </w:rPr>
        <w:t>R</w:t>
      </w:r>
      <w:r w:rsidRPr="00C6562A">
        <w:rPr>
          <w:rFonts w:ascii="Trebuchet MS" w:hAnsi="Trebuchet MS" w:cs="Times New Roman"/>
          <w:color w:val="444444"/>
        </w:rPr>
        <w:t>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noProof/>
          <w:color w:val="444444"/>
        </w:rPr>
        <w:drawing>
          <wp:inline distT="0" distB="0" distL="0" distR="0" wp14:anchorId="1D7DB2A8" wp14:editId="7A3B9299">
            <wp:extent cx="5918200" cy="5283200"/>
            <wp:effectExtent l="0" t="0" r="0" b="0"/>
            <wp:docPr id="3" name="Picture 3" descr=" colo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color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You can also create a vector of </w:t>
      </w:r>
      <w:r w:rsidRPr="00C6562A">
        <w:rPr>
          <w:rFonts w:ascii="Trebuchet MS" w:hAnsi="Trebuchet MS" w:cs="Times New Roman"/>
          <w:i/>
          <w:iCs/>
          <w:color w:val="444444"/>
        </w:rPr>
        <w:t>n</w:t>
      </w:r>
      <w:r w:rsidRPr="00C6562A">
        <w:rPr>
          <w:rFonts w:ascii="Trebuchet MS" w:hAnsi="Trebuchet MS" w:cs="Times New Roman"/>
          <w:color w:val="444444"/>
        </w:rPr>
        <w:t> contiguous colors using the functions </w:t>
      </w:r>
      <w:proofErr w:type="gramStart"/>
      <w:r w:rsidRPr="00C6562A">
        <w:rPr>
          <w:rFonts w:ascii="Trebuchet MS" w:hAnsi="Trebuchet MS" w:cs="Times New Roman"/>
          <w:b/>
          <w:bCs/>
          <w:color w:val="444444"/>
        </w:rPr>
        <w:t>rainbow(</w:t>
      </w:r>
      <w:proofErr w:type="gramEnd"/>
      <w:r w:rsidRPr="00C6562A">
        <w:rPr>
          <w:rFonts w:ascii="Trebuchet MS" w:hAnsi="Trebuchet MS" w:cs="Times New Roman"/>
          <w:i/>
          <w:iCs/>
          <w:color w:val="444444"/>
        </w:rPr>
        <w:t>n</w:t>
      </w:r>
      <w:r w:rsidRPr="00C6562A">
        <w:rPr>
          <w:rFonts w:ascii="Trebuchet MS" w:hAnsi="Trebuchet MS" w:cs="Times New Roman"/>
          <w:b/>
          <w:bCs/>
          <w:color w:val="444444"/>
        </w:rPr>
        <w:t>)</w:t>
      </w:r>
      <w:r w:rsidRPr="00C6562A">
        <w:rPr>
          <w:rFonts w:ascii="Trebuchet MS" w:hAnsi="Trebuchet MS" w:cs="Times New Roman"/>
          <w:color w:val="444444"/>
        </w:rPr>
        <w:t>, </w:t>
      </w:r>
      <w:proofErr w:type="spellStart"/>
      <w:r w:rsidRPr="00C6562A">
        <w:rPr>
          <w:rFonts w:ascii="Trebuchet MS" w:hAnsi="Trebuchet MS" w:cs="Times New Roman"/>
          <w:b/>
          <w:bCs/>
          <w:color w:val="444444"/>
        </w:rPr>
        <w:t>heat.colors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(</w:t>
      </w:r>
      <w:r w:rsidRPr="00C6562A">
        <w:rPr>
          <w:rFonts w:ascii="Trebuchet MS" w:hAnsi="Trebuchet MS" w:cs="Times New Roman"/>
          <w:i/>
          <w:iCs/>
          <w:color w:val="444444"/>
        </w:rPr>
        <w:t>n</w:t>
      </w:r>
      <w:r w:rsidRPr="00C6562A">
        <w:rPr>
          <w:rFonts w:ascii="Trebuchet MS" w:hAnsi="Trebuchet MS" w:cs="Times New Roman"/>
          <w:b/>
          <w:bCs/>
          <w:color w:val="444444"/>
        </w:rPr>
        <w:t>)</w:t>
      </w:r>
      <w:r w:rsidRPr="00C6562A">
        <w:rPr>
          <w:rFonts w:ascii="Trebuchet MS" w:hAnsi="Trebuchet MS" w:cs="Times New Roman"/>
          <w:color w:val="444444"/>
        </w:rPr>
        <w:t>,</w:t>
      </w:r>
      <w:proofErr w:type="spellStart"/>
      <w:r w:rsidRPr="00C6562A">
        <w:rPr>
          <w:rFonts w:ascii="Trebuchet MS" w:hAnsi="Trebuchet MS" w:cs="Times New Roman"/>
          <w:b/>
          <w:bCs/>
          <w:color w:val="444444"/>
        </w:rPr>
        <w:t>terrain.colors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(</w:t>
      </w:r>
      <w:r w:rsidRPr="00C6562A">
        <w:rPr>
          <w:rFonts w:ascii="Trebuchet MS" w:hAnsi="Trebuchet MS" w:cs="Times New Roman"/>
          <w:i/>
          <w:iCs/>
          <w:color w:val="444444"/>
        </w:rPr>
        <w:t>n</w:t>
      </w:r>
      <w:r w:rsidRPr="00C6562A">
        <w:rPr>
          <w:rFonts w:ascii="Trebuchet MS" w:hAnsi="Trebuchet MS" w:cs="Times New Roman"/>
          <w:b/>
          <w:bCs/>
          <w:color w:val="444444"/>
        </w:rPr>
        <w:t>)</w:t>
      </w:r>
      <w:r w:rsidRPr="00C6562A">
        <w:rPr>
          <w:rFonts w:ascii="Trebuchet MS" w:hAnsi="Trebuchet MS" w:cs="Times New Roman"/>
          <w:color w:val="444444"/>
        </w:rPr>
        <w:t>, </w:t>
      </w:r>
      <w:proofErr w:type="spellStart"/>
      <w:r w:rsidRPr="00C6562A">
        <w:rPr>
          <w:rFonts w:ascii="Trebuchet MS" w:hAnsi="Trebuchet MS" w:cs="Times New Roman"/>
          <w:b/>
          <w:bCs/>
          <w:color w:val="444444"/>
        </w:rPr>
        <w:t>topo.colors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(</w:t>
      </w:r>
      <w:r w:rsidRPr="00C6562A">
        <w:rPr>
          <w:rFonts w:ascii="Trebuchet MS" w:hAnsi="Trebuchet MS" w:cs="Times New Roman"/>
          <w:i/>
          <w:iCs/>
          <w:color w:val="444444"/>
        </w:rPr>
        <w:t>n</w:t>
      </w:r>
      <w:r w:rsidRPr="00C6562A">
        <w:rPr>
          <w:rFonts w:ascii="Trebuchet MS" w:hAnsi="Trebuchet MS" w:cs="Times New Roman"/>
          <w:b/>
          <w:bCs/>
          <w:color w:val="444444"/>
        </w:rPr>
        <w:t>)</w:t>
      </w:r>
      <w:r w:rsidRPr="00C6562A">
        <w:rPr>
          <w:rFonts w:ascii="Trebuchet MS" w:hAnsi="Trebuchet MS" w:cs="Times New Roman"/>
          <w:color w:val="444444"/>
        </w:rPr>
        <w:t>, and </w:t>
      </w:r>
      <w:proofErr w:type="spellStart"/>
      <w:r w:rsidRPr="00C6562A">
        <w:rPr>
          <w:rFonts w:ascii="Trebuchet MS" w:hAnsi="Trebuchet MS" w:cs="Times New Roman"/>
          <w:b/>
          <w:bCs/>
          <w:color w:val="444444"/>
        </w:rPr>
        <w:t>cm.colors</w:t>
      </w:r>
      <w:proofErr w:type="spellEnd"/>
      <w:r w:rsidRPr="00C6562A">
        <w:rPr>
          <w:rFonts w:ascii="Trebuchet MS" w:hAnsi="Trebuchet MS" w:cs="Times New Roman"/>
          <w:b/>
          <w:bCs/>
          <w:color w:val="444444"/>
        </w:rPr>
        <w:t>(</w:t>
      </w:r>
      <w:r w:rsidRPr="00C6562A">
        <w:rPr>
          <w:rFonts w:ascii="Trebuchet MS" w:hAnsi="Trebuchet MS" w:cs="Times New Roman"/>
          <w:i/>
          <w:iCs/>
          <w:color w:val="444444"/>
        </w:rPr>
        <w:t>n</w:t>
      </w:r>
      <w:r w:rsidRPr="00C6562A">
        <w:rPr>
          <w:rFonts w:ascii="Trebuchet MS" w:hAnsi="Trebuchet MS" w:cs="Times New Roman"/>
          <w:b/>
          <w:bCs/>
          <w:color w:val="444444"/>
        </w:rPr>
        <w:t>)</w:t>
      </w:r>
      <w:r w:rsidRPr="00C6562A">
        <w:rPr>
          <w:rFonts w:ascii="Trebuchet MS" w:hAnsi="Trebuchet MS" w:cs="Times New Roman"/>
          <w:color w:val="444444"/>
        </w:rPr>
        <w:t>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proofErr w:type="gramStart"/>
      <w:r w:rsidRPr="00C6562A">
        <w:rPr>
          <w:rFonts w:ascii="Trebuchet MS" w:hAnsi="Trebuchet MS" w:cs="Times New Roman"/>
          <w:b/>
          <w:bCs/>
          <w:color w:val="444444"/>
        </w:rPr>
        <w:t>colors</w:t>
      </w:r>
      <w:proofErr w:type="gramEnd"/>
      <w:r w:rsidRPr="00C6562A">
        <w:rPr>
          <w:rFonts w:ascii="Trebuchet MS" w:hAnsi="Trebuchet MS" w:cs="Times New Roman"/>
          <w:b/>
          <w:bCs/>
          <w:color w:val="444444"/>
        </w:rPr>
        <w:t>() </w:t>
      </w:r>
      <w:r w:rsidRPr="00C6562A">
        <w:rPr>
          <w:rFonts w:ascii="Trebuchet MS" w:hAnsi="Trebuchet MS" w:cs="Times New Roman"/>
          <w:color w:val="444444"/>
        </w:rPr>
        <w:t>returns all available color names.</w:t>
      </w:r>
    </w:p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Fonts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You can easily set font size and style, but font family is a bit more complicated.</w:t>
      </w:r>
    </w:p>
    <w:tbl>
      <w:tblPr>
        <w:tblW w:w="4250" w:type="pct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0401"/>
      </w:tblGrid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option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description</w:t>
            </w:r>
            <w:proofErr w:type="gram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font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r w:rsidRPr="00C6562A">
              <w:rPr>
                <w:rFonts w:ascii="Trebuchet MS" w:eastAsia="Times New Roman" w:hAnsi="Trebuchet MS" w:cs="Times New Roman"/>
                <w:color w:val="444444"/>
              </w:rPr>
              <w:t>Integer specifying font to use for text. </w:t>
            </w:r>
            <w:r w:rsidRPr="00C6562A">
              <w:rPr>
                <w:rFonts w:ascii="Trebuchet MS" w:eastAsia="Times New Roman" w:hAnsi="Trebuchet MS" w:cs="Times New Roman"/>
                <w:color w:val="444444"/>
              </w:rPr>
              <w:br/>
              <w:t>1=plain, 2=bold, 3=italic, 4=bold italic, 5=symbol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font.axis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font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axis annotation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font.lab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font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x and y labels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font.main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font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titles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font.sub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font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for subtitles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ps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font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point size (roughly 1/72 inch)</w:t>
            </w:r>
            <w:r w:rsidRPr="00C6562A">
              <w:rPr>
                <w:rFonts w:ascii="Trebuchet MS" w:eastAsia="Times New Roman" w:hAnsi="Trebuchet MS" w:cs="Times New Roman"/>
                <w:color w:val="444444"/>
              </w:rPr>
              <w:br/>
              <w:t>text size=</w:t>
            </w:r>
            <w:proofErr w:type="spell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ps</w:t>
            </w:r>
            <w:proofErr w:type="spellEnd"/>
            <w:r w:rsidRPr="00C6562A">
              <w:rPr>
                <w:rFonts w:ascii="Trebuchet MS" w:eastAsia="Times New Roman" w:hAnsi="Trebuchet MS" w:cs="Times New Roman"/>
                <w:color w:val="444444"/>
              </w:rPr>
              <w:t>*</w:t>
            </w:r>
            <w:proofErr w:type="spell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cex</w:t>
            </w:r>
            <w:proofErr w:type="spell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family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font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family for drawing text. Standard values are "serif", "sans", "mono", "symbol". Mapping is device dependent.</w:t>
            </w:r>
          </w:p>
        </w:tc>
      </w:tr>
    </w:tbl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 xml:space="preserve">In windows, mono is mapped to "TT Courier New", serif is mapped </w:t>
      </w:r>
      <w:proofErr w:type="spellStart"/>
      <w:r w:rsidRPr="00C6562A">
        <w:rPr>
          <w:rFonts w:ascii="Trebuchet MS" w:hAnsi="Trebuchet MS" w:cs="Times New Roman"/>
          <w:color w:val="444444"/>
        </w:rPr>
        <w:t>to"TT</w:t>
      </w:r>
      <w:proofErr w:type="spellEnd"/>
      <w:r w:rsidRPr="00C6562A">
        <w:rPr>
          <w:rFonts w:ascii="Trebuchet MS" w:hAnsi="Trebuchet MS" w:cs="Times New Roman"/>
          <w:color w:val="444444"/>
        </w:rPr>
        <w:t xml:space="preserve"> Times New Roman", sans is mapped to "TT Arial", mono is mapped to "TT Courier New", and symbol is mapped to "TT Symbol" (TT=True Type). You can add your own mappings.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# Type family examples - creating new mappings 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proofErr w:type="gram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plot(</w:t>
      </w:r>
      <w:proofErr w:type="gram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1:10,1:10,type="n")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windowsFonts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  A=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windowsFont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("Arial Black"),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bookmarkStart w:id="0" w:name="_GoBack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  B=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windowsFont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("Bookman Old Style"),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</w:r>
      <w:bookmarkEnd w:id="0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  C=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windowsFont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("Comic Sans MS"),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  D=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windowsFont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("Symbol")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text(3,3,"Hello World Default")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text(4,4,family="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A","Hello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 xml:space="preserve"> World from Arial Black")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text(5,5,family="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B","Hello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 xml:space="preserve"> World from Bookman Old Style")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text(6,6,family="</w:t>
      </w:r>
      <w:proofErr w:type="spellStart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>C","Hello</w:t>
      </w:r>
      <w:proofErr w:type="spellEnd"/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t xml:space="preserve"> World from Comic Sans MS")</w:t>
      </w:r>
      <w:r w:rsidRPr="00C6562A">
        <w:rPr>
          <w:rFonts w:ascii="Lucida Console" w:hAnsi="Lucida Console" w:cs="Courier"/>
          <w:color w:val="444444"/>
          <w:bdr w:val="single" w:sz="6" w:space="8" w:color="EAEAEA" w:frame="1"/>
          <w:shd w:val="clear" w:color="auto" w:fill="FAFAFA"/>
        </w:rPr>
        <w:br/>
        <w:t>text(7,7,family="D", "Hello World from Symbol")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noProof/>
          <w:color w:val="4082B2"/>
        </w:rPr>
        <w:drawing>
          <wp:inline distT="0" distB="0" distL="0" distR="0" wp14:anchorId="5A73E0EE" wp14:editId="2A88F34A">
            <wp:extent cx="1308100" cy="1308100"/>
            <wp:effectExtent l="0" t="0" r="12700" b="12700"/>
            <wp:docPr id="4" name="Picture 4" descr="ont examp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t examp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62A">
        <w:rPr>
          <w:rFonts w:ascii="Trebuchet MS" w:hAnsi="Trebuchet MS" w:cs="Times New Roman"/>
          <w:color w:val="444444"/>
        </w:rPr>
        <w:t> </w:t>
      </w:r>
      <w:proofErr w:type="gramStart"/>
      <w:r w:rsidRPr="00C6562A">
        <w:rPr>
          <w:rFonts w:ascii="Trebuchet MS" w:hAnsi="Trebuchet MS" w:cs="Times New Roman"/>
          <w:color w:val="444444"/>
        </w:rPr>
        <w:t>click</w:t>
      </w:r>
      <w:proofErr w:type="gramEnd"/>
      <w:r w:rsidRPr="00C6562A">
        <w:rPr>
          <w:rFonts w:ascii="Trebuchet MS" w:hAnsi="Trebuchet MS" w:cs="Times New Roman"/>
          <w:color w:val="444444"/>
        </w:rPr>
        <w:t xml:space="preserve"> to view</w:t>
      </w:r>
    </w:p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Margins and Graph Size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You can control the margin size using the following parameters.</w:t>
      </w:r>
    </w:p>
    <w:tbl>
      <w:tblPr>
        <w:tblW w:w="4250" w:type="pct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0778"/>
      </w:tblGrid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option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description</w:t>
            </w:r>
            <w:proofErr w:type="gramEnd"/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mar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numerical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vector indicating margin size c(bottom, left, top, right) in lines. </w:t>
            </w: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default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= c(5, 4, 4, 2) + 0.1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spellStart"/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mai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numerical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vector indicating margin size c(bottom, left, top, right) in inches</w:t>
            </w:r>
          </w:p>
        </w:tc>
      </w:tr>
      <w:tr w:rsidR="00C6562A" w:rsidRPr="00C6562A" w:rsidTr="00C6562A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b/>
                <w:bCs/>
                <w:color w:val="444444"/>
              </w:rPr>
              <w:t>pin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562A" w:rsidRPr="00C6562A" w:rsidRDefault="00C6562A" w:rsidP="00C6562A">
            <w:pPr>
              <w:rPr>
                <w:rFonts w:ascii="Trebuchet MS" w:eastAsia="Times New Roman" w:hAnsi="Trebuchet MS" w:cs="Times New Roman"/>
                <w:color w:val="444444"/>
              </w:rPr>
            </w:pPr>
            <w:proofErr w:type="gramStart"/>
            <w:r w:rsidRPr="00C6562A">
              <w:rPr>
                <w:rFonts w:ascii="Trebuchet MS" w:eastAsia="Times New Roman" w:hAnsi="Trebuchet MS" w:cs="Times New Roman"/>
                <w:color w:val="444444"/>
              </w:rPr>
              <w:t>plot</w:t>
            </w:r>
            <w:proofErr w:type="gramEnd"/>
            <w:r w:rsidRPr="00C6562A">
              <w:rPr>
                <w:rFonts w:ascii="Trebuchet MS" w:eastAsia="Times New Roman" w:hAnsi="Trebuchet MS" w:cs="Times New Roman"/>
                <w:color w:val="444444"/>
              </w:rPr>
              <w:t xml:space="preserve"> dimensions (width, height) in inches</w:t>
            </w:r>
          </w:p>
        </w:tc>
      </w:tr>
    </w:tbl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For complete information on margins, see Earl F. Glynn's </w:t>
      </w:r>
      <w:hyperlink r:id="rId11" w:history="1">
        <w:r w:rsidRPr="00C6562A">
          <w:rPr>
            <w:rFonts w:ascii="Trebuchet MS" w:hAnsi="Trebuchet MS" w:cs="Times New Roman"/>
            <w:b/>
            <w:bCs/>
            <w:color w:val="4082B2"/>
            <w:u w:val="single"/>
          </w:rPr>
          <w:t>margin tutorial</w:t>
        </w:r>
      </w:hyperlink>
      <w:r w:rsidRPr="00C6562A">
        <w:rPr>
          <w:rFonts w:ascii="Trebuchet MS" w:hAnsi="Trebuchet MS" w:cs="Times New Roman"/>
          <w:color w:val="444444"/>
        </w:rPr>
        <w:t>.</w:t>
      </w:r>
    </w:p>
    <w:p w:rsidR="00C6562A" w:rsidRPr="00C6562A" w:rsidRDefault="00C6562A" w:rsidP="00C6562A">
      <w:pPr>
        <w:shd w:val="clear" w:color="auto" w:fill="FFFFFF"/>
        <w:outlineLvl w:val="1"/>
        <w:rPr>
          <w:rFonts w:ascii="Trebuchet MS" w:eastAsia="Times New Roman" w:hAnsi="Trebuchet MS" w:cs="Times New Roman"/>
          <w:b/>
          <w:bCs/>
          <w:color w:val="3476A8"/>
        </w:rPr>
      </w:pPr>
      <w:r w:rsidRPr="00C6562A">
        <w:rPr>
          <w:rFonts w:ascii="Trebuchet MS" w:eastAsia="Times New Roman" w:hAnsi="Trebuchet MS" w:cs="Times New Roman"/>
          <w:b/>
          <w:bCs/>
          <w:color w:val="3476A8"/>
        </w:rPr>
        <w:t>Going Further</w:t>
      </w:r>
    </w:p>
    <w:p w:rsidR="00C6562A" w:rsidRPr="00C6562A" w:rsidRDefault="00C6562A" w:rsidP="00C6562A">
      <w:pPr>
        <w:shd w:val="clear" w:color="auto" w:fill="FFFFFF"/>
        <w:spacing w:line="432" w:lineRule="atLeast"/>
        <w:jc w:val="both"/>
        <w:rPr>
          <w:rFonts w:ascii="Trebuchet MS" w:hAnsi="Trebuchet MS" w:cs="Times New Roman"/>
          <w:color w:val="444444"/>
        </w:rPr>
      </w:pPr>
      <w:r w:rsidRPr="00C6562A">
        <w:rPr>
          <w:rFonts w:ascii="Trebuchet MS" w:hAnsi="Trebuchet MS" w:cs="Times New Roman"/>
          <w:color w:val="444444"/>
        </w:rPr>
        <w:t>See </w:t>
      </w:r>
      <w:proofErr w:type="gramStart"/>
      <w:r w:rsidRPr="00C6562A">
        <w:rPr>
          <w:rFonts w:ascii="Trebuchet MS" w:hAnsi="Trebuchet MS" w:cs="Times New Roman"/>
          <w:b/>
          <w:bCs/>
          <w:color w:val="444444"/>
        </w:rPr>
        <w:t>help(</w:t>
      </w:r>
      <w:proofErr w:type="gramEnd"/>
      <w:r w:rsidRPr="00C6562A">
        <w:rPr>
          <w:rFonts w:ascii="Trebuchet MS" w:hAnsi="Trebuchet MS" w:cs="Times New Roman"/>
          <w:b/>
          <w:bCs/>
          <w:color w:val="444444"/>
        </w:rPr>
        <w:t>par)</w:t>
      </w:r>
      <w:r w:rsidRPr="00C6562A">
        <w:rPr>
          <w:rFonts w:ascii="Trebuchet MS" w:hAnsi="Trebuchet MS" w:cs="Times New Roman"/>
          <w:color w:val="444444"/>
        </w:rPr>
        <w:t> for more information on graphical parameters. The customization of plotting axes and text annotations are covered </w:t>
      </w:r>
      <w:hyperlink r:id="rId12" w:history="1">
        <w:r w:rsidRPr="00C6562A">
          <w:rPr>
            <w:rFonts w:ascii="Trebuchet MS" w:hAnsi="Trebuchet MS" w:cs="Times New Roman"/>
            <w:color w:val="4082B2"/>
            <w:u w:val="single"/>
          </w:rPr>
          <w:t>next section</w:t>
        </w:r>
      </w:hyperlink>
      <w:r w:rsidRPr="00C6562A">
        <w:rPr>
          <w:rFonts w:ascii="Trebuchet MS" w:hAnsi="Trebuchet MS" w:cs="Times New Roman"/>
          <w:color w:val="444444"/>
        </w:rPr>
        <w:t>.</w:t>
      </w:r>
    </w:p>
    <w:p w:rsidR="004B4145" w:rsidRPr="00C6562A" w:rsidRDefault="004B4145"/>
    <w:sectPr w:rsidR="004B4145" w:rsidRPr="00C6562A" w:rsidSect="00C6562A">
      <w:pgSz w:w="15840" w:h="12240" w:orient="landscape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2A"/>
    <w:rsid w:val="004B4145"/>
    <w:rsid w:val="00C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4D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6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562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62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62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56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6562A"/>
  </w:style>
  <w:style w:type="character" w:styleId="Strong">
    <w:name w:val="Strong"/>
    <w:basedOn w:val="DefaultParagraphFont"/>
    <w:uiPriority w:val="22"/>
    <w:qFormat/>
    <w:rsid w:val="00C6562A"/>
    <w:rPr>
      <w:b/>
      <w:bCs/>
    </w:rPr>
  </w:style>
  <w:style w:type="character" w:styleId="Emphasis">
    <w:name w:val="Emphasis"/>
    <w:basedOn w:val="DefaultParagraphFont"/>
    <w:uiPriority w:val="20"/>
    <w:qFormat/>
    <w:rsid w:val="00C656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562A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6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6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562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62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62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56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6562A"/>
  </w:style>
  <w:style w:type="character" w:styleId="Strong">
    <w:name w:val="Strong"/>
    <w:basedOn w:val="DefaultParagraphFont"/>
    <w:uiPriority w:val="22"/>
    <w:qFormat/>
    <w:rsid w:val="00C6562A"/>
    <w:rPr>
      <w:b/>
      <w:bCs/>
    </w:rPr>
  </w:style>
  <w:style w:type="character" w:styleId="Emphasis">
    <w:name w:val="Emphasis"/>
    <w:basedOn w:val="DefaultParagraphFont"/>
    <w:uiPriority w:val="20"/>
    <w:qFormat/>
    <w:rsid w:val="00C656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562A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6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stowers-institute.org/efg/R/Graphics/Basics/mar-oma/index.htm" TargetMode="External"/><Relationship Id="rId12" Type="http://schemas.openxmlformats.org/officeDocument/2006/relationships/hyperlink" Target="http://www.statmethods.net/advgraphs/axes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research.stowers-institute.org/efg/R/Color/Chart/index.ht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statmethods.net/advgraphs/images/fonts.png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755</Words>
  <Characters>4308</Characters>
  <Application>Microsoft Macintosh Word</Application>
  <DocSecurity>0</DocSecurity>
  <Lines>35</Lines>
  <Paragraphs>10</Paragraphs>
  <ScaleCrop>false</ScaleCrop>
  <Company>International Paper Box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Kitchen</dc:creator>
  <cp:keywords/>
  <dc:description/>
  <cp:lastModifiedBy>Gary Kitchen</cp:lastModifiedBy>
  <cp:revision>1</cp:revision>
  <dcterms:created xsi:type="dcterms:W3CDTF">2014-09-09T19:43:00Z</dcterms:created>
  <dcterms:modified xsi:type="dcterms:W3CDTF">2014-09-09T19:46:00Z</dcterms:modified>
</cp:coreProperties>
</file>