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Gabriela Marie Narvaez Leyva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Telf.: 952305031</w:t>
      </w:r>
    </w:p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3"/>
          <w:tab w:val="right" w:leader="none" w:pos="8364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E-mail: a20202614@pucp.edu.pe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1.0" w:type="dxa"/>
        <w:jc w:val="left"/>
        <w:tblInd w:w="-70.0" w:type="dxa"/>
        <w:tblLayout w:type="fixed"/>
        <w:tblLook w:val="0000"/>
      </w:tblPr>
      <w:tblGrid>
        <w:gridCol w:w="8751"/>
        <w:tblGridChange w:id="0">
          <w:tblGrid>
            <w:gridCol w:w="8751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0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Estudiante de la carrera de Ciencias Políticas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por entrar al séptimo ciclo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Tengo un interés académico y de investigación por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temas relacionados con políticas públicas ambientales, de salud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 de género además de política comparada sobre los mismos temas, y desarrollo y cooperación estatal. He desarrollado mucha afinidad por la investigación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habiendo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acabado satisfactoriamente los cursos de investigación de Estudios Generales, cursos básicos de política comparada, relaciones internacionales y gestión pública, y los cursos de Estadística para el análisis político. Así mismo, presento un gusto por discutir y reflexionar sobre hechos de coyuntura tanto nacional como internacional. Tengo facilidad y bue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recursos para la redacción,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trabajo en equipo y la relación armoniosa con otras personas.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51.0" w:type="dxa"/>
        <w:jc w:val="left"/>
        <w:tblInd w:w="-70.0" w:type="dxa"/>
        <w:tblLayout w:type="fixed"/>
        <w:tblLook w:val="0000"/>
      </w:tblPr>
      <w:tblGrid>
        <w:gridCol w:w="8751"/>
        <w:tblGridChange w:id="0">
          <w:tblGrid>
            <w:gridCol w:w="8751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0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Historia Académica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2020-Actualidad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Pontificia Universidad Católica del Perú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Concluidos los 6 primeros ciclos de la carrera de Ciencias Políticas, actualmente cursando el sexto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CRAEST 2020-1: 61.85/ Mérito:2.1% superior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CRAEST 2020-2: 60.22/ Mérito: 4.1% superior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CRAEST 2021-1: 61.95/Mérito:1.7% superior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CRAEST 2021-2: 61.18/Mérito:2.0% superior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CRAEST 2022-1:60.63/Mérito:4.9% superior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CRAEST 2022-2:60.63/Mérito:4.8% superior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2552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CRAEST 2023-1: 61.3992/ Mérito 3.1% superior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2018-2019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Universidad Peruana Cayetano Heredia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Estudio de los tres primeros ciclos de la carrera de Medicina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2005-2016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Colegio Isabel Flores de Oliva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9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51.0" w:type="dxa"/>
        <w:jc w:val="left"/>
        <w:tblInd w:w="-70.0" w:type="dxa"/>
        <w:tblLayout w:type="fixed"/>
        <w:tblLook w:val="0000"/>
      </w:tblPr>
      <w:tblGrid>
        <w:gridCol w:w="8751"/>
        <w:tblGridChange w:id="0">
          <w:tblGrid>
            <w:gridCol w:w="8751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Voluntariados y Movimientos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2220" w:hanging="22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268" w:hanging="22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06/2023- Actualidad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180 Degrees Consulting</w:t>
      </w:r>
    </w:p>
    <w:p w:rsidR="00000000" w:rsidDel="00000000" w:rsidP="00000000" w:rsidRDefault="00000000" w:rsidRPr="00000000" w14:paraId="0000001C">
      <w:pPr>
        <w:ind w:left="4428" w:hanging="2219.9999999999995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Funciones de consultoría. </w:t>
      </w:r>
    </w:p>
    <w:p w:rsidR="00000000" w:rsidDel="00000000" w:rsidP="00000000" w:rsidRDefault="00000000" w:rsidRPr="00000000" w14:paraId="0000001D">
      <w:pPr>
        <w:ind w:left="2267.9999999999995" w:hanging="2219.9999999999995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03/2023-06/2023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Comisión de Género Ciencias Sociales PUCP</w:t>
      </w:r>
    </w:p>
    <w:p w:rsidR="00000000" w:rsidDel="00000000" w:rsidP="00000000" w:rsidRDefault="00000000" w:rsidRPr="00000000" w14:paraId="0000001E">
      <w:pPr>
        <w:ind w:left="2267.71653543307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Comité de coordinación: se ejercieron funciones de planificación y organización de eventos y reuniones de la comisión de género en sociales. 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01/2023-03/2021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Coordinadora Nacional de Derechos Humanos</w:t>
      </w:r>
    </w:p>
    <w:p w:rsidR="00000000" w:rsidDel="00000000" w:rsidP="00000000" w:rsidRDefault="00000000" w:rsidRPr="00000000" w14:paraId="00000020">
      <w:pPr>
        <w:ind w:left="2267.71653543307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Elaboración de boletines semanales informativos sobre noticias del conflicto armado interno con distribución interna y a colaboradores internacionales de la CNDDHH.</w:t>
      </w:r>
    </w:p>
    <w:p w:rsidR="00000000" w:rsidDel="00000000" w:rsidP="00000000" w:rsidRDefault="00000000" w:rsidRPr="00000000" w14:paraId="00000021">
      <w:pPr>
        <w:ind w:left="2268" w:hanging="22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01/2018 – 12/2022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Unión Nacional de Estudiantes Católicos</w:t>
      </w:r>
    </w:p>
    <w:p w:rsidR="00000000" w:rsidDel="00000000" w:rsidP="00000000" w:rsidRDefault="00000000" w:rsidRPr="00000000" w14:paraId="00000022">
      <w:pPr>
        <w:tabs>
          <w:tab w:val="left" w:leader="none" w:pos="2328"/>
        </w:tabs>
        <w:ind w:left="2268" w:hanging="222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05/2020 - 05/2021 y 07/2022 - 12/2022: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Dirigente de Lima: acompañamiento a comunidades, apoyo en la creación de líneas de acción institucionales, organización de eventos .sede y región.</w:t>
      </w:r>
    </w:p>
    <w:p w:rsidR="00000000" w:rsidDel="00000000" w:rsidP="00000000" w:rsidRDefault="00000000" w:rsidRPr="00000000" w14:paraId="00000023">
      <w:pPr>
        <w:tabs>
          <w:tab w:val="left" w:leader="none" w:pos="2328"/>
        </w:tabs>
        <w:ind w:left="2268" w:hanging="22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09/2021-09/2022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Letras, Ciudadanía y política</w:t>
      </w:r>
    </w:p>
    <w:p w:rsidR="00000000" w:rsidDel="00000000" w:rsidP="00000000" w:rsidRDefault="00000000" w:rsidRPr="00000000" w14:paraId="00000024">
      <w:pPr>
        <w:tabs>
          <w:tab w:val="left" w:leader="none" w:pos="2328"/>
        </w:tabs>
        <w:ind w:left="2268" w:hanging="22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Comisión de eventos: creación de eventos de interés para el estudiantado y la sociedad en general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5">
      <w:pPr>
        <w:tabs>
          <w:tab w:val="left" w:leader="none" w:pos="2328"/>
        </w:tabs>
        <w:ind w:left="2268" w:hanging="22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03/2019-02/2020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SCORA-UPCH</w:t>
      </w:r>
    </w:p>
    <w:p w:rsidR="00000000" w:rsidDel="00000000" w:rsidP="00000000" w:rsidRDefault="00000000" w:rsidRPr="00000000" w14:paraId="00000026">
      <w:pPr>
        <w:tabs>
          <w:tab w:val="left" w:leader="none" w:pos="2328"/>
        </w:tabs>
        <w:ind w:left="2268" w:hanging="222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LORA-Assistant. Encargada de la organización de eventos informativos e investigación sobre los pilares de: educación sexual comprensiva, salud </w:t>
      </w:r>
    </w:p>
    <w:p w:rsidR="00000000" w:rsidDel="00000000" w:rsidP="00000000" w:rsidRDefault="00000000" w:rsidRPr="00000000" w14:paraId="00000027">
      <w:pPr>
        <w:tabs>
          <w:tab w:val="left" w:leader="none" w:pos="2328"/>
        </w:tabs>
        <w:ind w:left="2268" w:hanging="222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Agosto 2021 - 12/2022: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Dirigente Nacional: representación y acompañamiento a las diversas sedes, organización de actividades nacionales, formulación de líneas de trabajo desde las necesidades de cada materna y acceso al aborto seguro, sexualidad e identidad de género, violencia basada en género t VIH y otras ITS; campañas de concientización acerca de temas relacionados con los pilares ya mencionaos; incidencia civil y universitaria relacionada con políticas de género.</w:t>
      </w:r>
    </w:p>
    <w:p w:rsidR="00000000" w:rsidDel="00000000" w:rsidP="00000000" w:rsidRDefault="00000000" w:rsidRPr="00000000" w14:paraId="00000028">
      <w:pPr>
        <w:tabs>
          <w:tab w:val="left" w:leader="none" w:pos="2328"/>
        </w:tabs>
        <w:ind w:left="2268" w:hanging="22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01/2019-02/2019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“Por Fuera y Por Dentro”-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Liga Contra el Cáncer-Campaña de concientización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51.0" w:type="dxa"/>
        <w:jc w:val="left"/>
        <w:tblInd w:w="-70.0" w:type="dxa"/>
        <w:tblLayout w:type="fixed"/>
        <w:tblLook w:val="0000"/>
      </w:tblPr>
      <w:tblGrid>
        <w:gridCol w:w="8751"/>
        <w:tblGridChange w:id="0">
          <w:tblGrid>
            <w:gridCol w:w="8751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Documentos Publicados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60" w:lineRule="auto"/>
        <w:ind w:left="2551" w:hanging="357.000000000000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“¿Por qué los privados no deben comprar ni vender las vacunas contra el Covid-19?”. El Gran Angular- Marzo 2021- Gabriela Narváez y Ana Leyva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60" w:lineRule="auto"/>
        <w:ind w:left="2551" w:hanging="357.000000000000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“Indicadores para la consulta previa” Ana leyva [Por publicar] Función: colaboradora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51.0" w:type="dxa"/>
        <w:jc w:val="left"/>
        <w:tblInd w:w="-70.0" w:type="dxa"/>
        <w:tblLayout w:type="fixed"/>
        <w:tblLook w:val="0000"/>
      </w:tblPr>
      <w:tblGrid>
        <w:gridCol w:w="8751"/>
        <w:tblGridChange w:id="0">
          <w:tblGrid>
            <w:gridCol w:w="8751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Idiomas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484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Idioma materno:</w:t>
        <w:tab/>
        <w:t xml:space="preserve">Español</w:t>
      </w:r>
    </w:p>
    <w:p w:rsidR="00000000" w:rsidDel="00000000" w:rsidP="00000000" w:rsidRDefault="00000000" w:rsidRPr="00000000" w14:paraId="00000032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484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Otros idiomas:</w:t>
        <w:tab/>
        <w:t xml:space="preserve">Inglés-Avanzado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51.0" w:type="dxa"/>
        <w:jc w:val="left"/>
        <w:tblInd w:w="-70.0" w:type="dxa"/>
        <w:tblLayout w:type="fixed"/>
        <w:tblLook w:val="0000"/>
      </w:tblPr>
      <w:tblGrid>
        <w:gridCol w:w="8751"/>
        <w:tblGridChange w:id="0">
          <w:tblGrid>
            <w:gridCol w:w="8751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Conocimientos informáticos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Dominio básico de Microsoft Office: Word, Excel, Power Point.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Dominio básico de la plataformas de Google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Dominio básico de la plataformas de Microsoft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Conocimientos intermedios del programa estadístico R</w:t>
      </w:r>
    </w:p>
    <w:p w:rsidR="00000000" w:rsidDel="00000000" w:rsidP="00000000" w:rsidRDefault="00000000" w:rsidRPr="00000000" w14:paraId="0000003A">
      <w:pPr>
        <w:ind w:left="219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51.0" w:type="dxa"/>
        <w:jc w:val="left"/>
        <w:tblInd w:w="-70.0" w:type="dxa"/>
        <w:tblLayout w:type="fixed"/>
        <w:tblLook w:val="0000"/>
      </w:tblPr>
      <w:tblGrid>
        <w:gridCol w:w="8751"/>
        <w:tblGridChange w:id="0">
          <w:tblGrid>
            <w:gridCol w:w="8751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Seminarios y Cursos</w:t>
            </w:r>
          </w:p>
        </w:tc>
      </w:tr>
    </w:tbl>
    <w:p w:rsidR="00000000" w:rsidDel="00000000" w:rsidP="00000000" w:rsidRDefault="00000000" w:rsidRPr="00000000" w14:paraId="0000003C">
      <w:pPr>
        <w:spacing w:after="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60" w:lineRule="auto"/>
        <w:ind w:left="2551" w:hanging="357.000000000000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 “Memoria y utopía desde el reverso de la historia” .Instituto Bartolomé de las Casas, agosto 2021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60" w:lineRule="auto"/>
        <w:ind w:left="255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“Taller de teología: “Fratelli Tutti”. Unión Nacional de Estudiantes Católicos, febrero de 2021. Organización y participación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60" w:lineRule="auto"/>
        <w:ind w:left="2551" w:hanging="357.000000000000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 “Prójimo sin fronteras. Amor social y político desde la insignificancia” Instituto Bartolomé de las Casas, febrero 2021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60" w:lineRule="auto"/>
        <w:ind w:left="2551" w:hanging="357.000000000000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Curso: “Global Advocacy Training 2020” International Movement of Catholic Students-Pax Romana/ Global Initiative for Students Empowerment Action and Solidarity, octubre-diciembre 2020.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60" w:lineRule="auto"/>
        <w:ind w:left="2551" w:hanging="357.000000000000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Curso: “Hacia una Ecología Integral. Desafíos actuales” Instituto Bartolomé de las Casas, agosto 2019, Lima-Perú.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60" w:lineRule="auto"/>
        <w:ind w:left="2551" w:hanging="357.000000000000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Curso de  conocimientos básicos de Python, enero 2023</w:t>
      </w:r>
    </w:p>
    <w:p w:rsidR="00000000" w:rsidDel="00000000" w:rsidP="00000000" w:rsidRDefault="00000000" w:rsidRPr="00000000" w14:paraId="00000043">
      <w:pPr>
        <w:ind w:left="219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51.0" w:type="dxa"/>
        <w:jc w:val="left"/>
        <w:tblInd w:w="-70.0" w:type="dxa"/>
        <w:tblLayout w:type="fixed"/>
        <w:tblLook w:val="0000"/>
      </w:tblPr>
      <w:tblGrid>
        <w:gridCol w:w="8751"/>
        <w:tblGridChange w:id="0">
          <w:tblGrid>
            <w:gridCol w:w="8751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Cargos representativos</w:t>
            </w:r>
          </w:p>
        </w:tc>
      </w:tr>
    </w:tbl>
    <w:p w:rsidR="00000000" w:rsidDel="00000000" w:rsidP="00000000" w:rsidRDefault="00000000" w:rsidRPr="00000000" w14:paraId="00000045">
      <w:pPr>
        <w:spacing w:after="60" w:lineRule="auto"/>
        <w:ind w:left="2160" w:hanging="459.21259842519675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Tercio Estudiantil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60" w:lineRule="auto"/>
        <w:ind w:left="2551.1811023622045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Representante Estudiantil ante Consejo de Facultad de Ciencias Sociales periodo 2023-2024.</w:t>
      </w:r>
    </w:p>
    <w:tbl>
      <w:tblPr>
        <w:tblStyle w:val="Table9"/>
        <w:tblW w:w="849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Empleos</w:t>
            </w:r>
          </w:p>
        </w:tc>
      </w:tr>
    </w:tbl>
    <w:p w:rsidR="00000000" w:rsidDel="00000000" w:rsidP="00000000" w:rsidRDefault="00000000" w:rsidRPr="00000000" w14:paraId="00000048">
      <w:pPr>
        <w:spacing w:after="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07/2022-03/2023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Tendiendo Puentes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Puesto Asistencia de coordinación. Funciones: Mapeo de actores, investigación, creación de contenido de redes, organización de eventos, entre otras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04/2023-Actualidad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Asistencia de investigación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551.1811023622045" w:right="0" w:hanging="425.19685039370074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Asistencia en labores de investigación en el departamento de Ciencias Sociales de la Universidad Pontificia Universidad católica del Perú</w:t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4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4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5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12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2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ind w:left="1560" w:firstLine="708.0000000000001"/>
    </w:pPr>
    <w:rPr>
      <w:rFonts w:ascii="Times New Roman" w:cs="Times New Roman" w:eastAsia="Times New Roman" w:hAnsi="Times New Roman"/>
      <w:i w:val="1"/>
    </w:rPr>
  </w:style>
  <w:style w:type="paragraph" w:styleId="Heading5">
    <w:name w:val="heading 5"/>
    <w:basedOn w:val="Normal"/>
    <w:next w:val="Normal"/>
    <w:pPr>
      <w:keepNext w:val="1"/>
      <w:ind w:left="2268"/>
    </w:pPr>
    <w:rPr>
      <w:rFonts w:ascii="Times New Roman" w:cs="Times New Roman" w:eastAsia="Times New Roman" w:hAnsi="Times New Roman"/>
      <w:i w:val="1"/>
    </w:rPr>
  </w:style>
  <w:style w:type="paragraph" w:styleId="Heading6">
    <w:name w:val="heading 6"/>
    <w:basedOn w:val="Normal"/>
    <w:next w:val="Normal"/>
    <w:pPr>
      <w:keepNext w:val="1"/>
      <w:ind w:left="1416" w:firstLine="707.9999999999998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Title">
    <w:name w:val="Title"/>
    <w:basedOn w:val="Normal"/>
    <w:next w:val="Normal"/>
    <w:pPr>
      <w:tabs>
        <w:tab w:val="right" w:leader="none" w:pos="8222"/>
      </w:tabs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Azww3b/h04qq4I6cIbG/eZgKuw==">CgMxLjA4AHIhMXh4em9ubEFLVVNoNVhOOWxVTXJDcGtxTzh6a0FFSmV5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