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360" w:lineRule="auto"/>
        <w:jc w:val="center"/>
      </w:pPr>
      <w:r>
        <w:rPr>
          <w:rFonts w:ascii="Times New Roman" w:hAnsi="Times New Roman"/>
          <w:b/>
          <w:i w:val="0"/>
          <w:color w:val="000000"/>
          <w:sz w:val="28"/>
        </w:rPr>
        <w:t>SYSTEM DESIGN AND FUNCTIONAL ARCHITECTURE</w:t>
      </w:r>
    </w:p>
    <w:p>
      <w:pPr>
        <w:spacing w:after="120" w:line="360" w:lineRule="auto"/>
        <w:jc w:val="left"/>
      </w:pPr>
      <w:r>
        <w:rPr>
          <w:rFonts w:ascii="Times New Roman" w:hAnsi="Times New Roman"/>
          <w:b/>
          <w:i w:val="0"/>
          <w:color w:val="000000"/>
          <w:sz w:val="26"/>
        </w:rPr>
        <w:t>Functional Diagram</w:t>
      </w:r>
    </w:p>
    <w:p>
      <w:pPr>
        <w:spacing w:after="240" w:line="360" w:lineRule="auto"/>
        <w:jc w:val="both"/>
      </w:pPr>
      <w:r>
        <w:rPr>
          <w:rFonts w:ascii="Times New Roman" w:hAnsi="Times New Roman"/>
          <w:b w:val="0"/>
          <w:i w:val="0"/>
          <w:color w:val="000000"/>
          <w:sz w:val="24"/>
        </w:rPr>
        <w:t>The functional diagram visually represents the structural flow of the system and its major operational components, illustrating how institutional academic stakeholders interact with the platform and how research data transitions across modules. In AURORA (Automated Unified Review and Operations for Research Archival), the functional decomposition model establishes a cohesive, loosely-coupled architecture that bridges the gap between student research proponents, faculty mentors, examination panelists, and academic administrators. Figure 2 illustrates the functional decomposition diagram of the platform, partitioning the system into nine core operational modules.</w:t>
      </w:r>
    </w:p>
    <w:p>
      <w:pPr>
        <w:spacing w:after="80"/>
        <w:jc w:val="center"/>
      </w:pPr>
      <w:r>
        <w:drawing>
          <wp:inline xmlns:a="http://schemas.openxmlformats.org/drawingml/2006/main" xmlns:pic="http://schemas.openxmlformats.org/drawingml/2006/picture">
            <wp:extent cx="5943600" cy="1427988"/>
            <wp:docPr id="1" name="Picture 1"/>
            <wp:cNvGraphicFramePr>
              <a:graphicFrameLocks noChangeAspect="1"/>
            </wp:cNvGraphicFramePr>
            <a:graphic>
              <a:graphicData uri="http://schemas.openxmlformats.org/drawingml/2006/picture">
                <pic:pic>
                  <pic:nvPicPr>
                    <pic:cNvPr id="0" name="aurora_functional_diagram.png"/>
                    <pic:cNvPicPr/>
                  </pic:nvPicPr>
                  <pic:blipFill>
                    <a:blip r:embed="rId9"/>
                    <a:stretch>
                      <a:fillRect/>
                    </a:stretch>
                  </pic:blipFill>
                  <pic:spPr>
                    <a:xfrm>
                      <a:off x="0" y="0"/>
                      <a:ext cx="5943600" cy="1427988"/>
                    </a:xfrm>
                    <a:prstGeom prst="rect"/>
                  </pic:spPr>
                </pic:pic>
              </a:graphicData>
            </a:graphic>
          </wp:inline>
        </w:drawing>
      </w:r>
    </w:p>
    <w:p>
      <w:pPr>
        <w:spacing w:after="360" w:line="360" w:lineRule="auto"/>
        <w:jc w:val="center"/>
      </w:pPr>
      <w:r>
        <w:rPr>
          <w:rFonts w:ascii="Times New Roman" w:hAnsi="Times New Roman"/>
          <w:b w:val="0"/>
          <w:i w:val="0"/>
          <w:color w:val="000000"/>
          <w:sz w:val="22"/>
        </w:rPr>
        <w:t xml:space="preserve">Figure 2. </w:t>
      </w:r>
      <w:r>
        <w:rPr>
          <w:rFonts w:ascii="Times New Roman" w:hAnsi="Times New Roman"/>
          <w:b w:val="0"/>
          <w:i w:val="0"/>
          <w:color w:val="000000"/>
          <w:sz w:val="22"/>
        </w:rPr>
        <w:t>AURORA Functional Decomposition Diagram</w:t>
      </w:r>
    </w:p>
    <w:p>
      <w:pPr>
        <w:spacing w:after="200" w:line="360" w:lineRule="auto"/>
        <w:jc w:val="both"/>
      </w:pPr>
      <w:r>
        <w:rPr>
          <w:rFonts w:ascii="Times New Roman" w:hAnsi="Times New Roman"/>
          <w:b w:val="0"/>
          <w:i w:val="0"/>
          <w:color w:val="000000"/>
          <w:sz w:val="24"/>
        </w:rPr>
        <w:t>In Figure 2, Functional Decomposition Diagram, the AURORA platform breaks down into nine interconnected functional modules:</w:t>
      </w:r>
    </w:p>
    <w:p>
      <w:pPr>
        <w:spacing w:after="160" w:line="360" w:lineRule="auto"/>
        <w:jc w:val="both"/>
      </w:pPr>
      <w:r>
        <w:rPr>
          <w:rFonts w:ascii="Times New Roman" w:hAnsi="Times New Roman"/>
          <w:b w:val="0"/>
          <w:i w:val="0"/>
          <w:color w:val="000000"/>
          <w:sz w:val="24"/>
        </w:rPr>
        <w:t xml:space="preserve">1. User &amp; Identity Management. </w:t>
      </w:r>
      <w:r>
        <w:rPr>
          <w:rFonts w:ascii="Times New Roman" w:hAnsi="Times New Roman"/>
          <w:b w:val="0"/>
          <w:i w:val="0"/>
          <w:color w:val="000000"/>
          <w:sz w:val="24"/>
        </w:rPr>
        <w:t>This module facilitates secure user registration, session authentication, and account recovery. It enforces strict Tier Role-Based Access Control (RBAC) across six primary institutional roles: Student, Adviser, Panelist, Research Coordinator, College Dean, and System Administrator. It maintains institutional scoping across Campuses, Colleges, Departments, and Academic Programs, and provides team join-code generation to enable multi-author student proponent group linking.</w:t>
      </w:r>
    </w:p>
    <w:p>
      <w:pPr>
        <w:spacing w:after="160" w:line="360" w:lineRule="auto"/>
        <w:jc w:val="both"/>
      </w:pPr>
      <w:r>
        <w:rPr>
          <w:rFonts w:ascii="Times New Roman" w:hAnsi="Times New Roman"/>
          <w:b w:val="0"/>
          <w:i w:val="0"/>
          <w:color w:val="000000"/>
          <w:sz w:val="24"/>
        </w:rPr>
        <w:t xml:space="preserve">2. Manuscript &amp; Document Handling. </w:t>
      </w:r>
      <w:r>
        <w:rPr>
          <w:rFonts w:ascii="Times New Roman" w:hAnsi="Times New Roman"/>
          <w:b w:val="0"/>
          <w:i w:val="0"/>
          <w:color w:val="000000"/>
          <w:sz w:val="24"/>
        </w:rPr>
        <w:t>Responsible for the full lifecycle of capstone and thesis manuscripts, this module manages client- and server-side PDF pre-flight validation, sanitization, and automated semantic version control (v1, v2, v3...). Every document iteration is bound to a cryptographic SHA-256 checksum hash to ensure tamper resistance. Digital files are securely stored in encrypted cloud storage buckets with pre-signed access tokens, providing a permanent non-destructive audit trail of manuscript progression.</w:t>
      </w:r>
    </w:p>
    <w:p>
      <w:pPr>
        <w:spacing w:after="160" w:line="360" w:lineRule="auto"/>
        <w:jc w:val="both"/>
      </w:pPr>
      <w:r>
        <w:rPr>
          <w:rFonts w:ascii="Times New Roman" w:hAnsi="Times New Roman"/>
          <w:b w:val="0"/>
          <w:i w:val="0"/>
          <w:color w:val="000000"/>
          <w:sz w:val="24"/>
        </w:rPr>
        <w:t xml:space="preserve">3. Split-Screen Review &amp; Annotations. </w:t>
      </w:r>
      <w:r>
        <w:rPr>
          <w:rFonts w:ascii="Times New Roman" w:hAnsi="Times New Roman"/>
          <w:b w:val="0"/>
          <w:i w:val="0"/>
          <w:color w:val="000000"/>
          <w:sz w:val="24"/>
        </w:rPr>
        <w:t>This module provides a dual-pane interactive PDF review workspace designed for concurrent manuscript reading and qualitative evaluation. It supports real-time, coordinate-anchored in-line annotations including text highlights, strikethroughs, and sticky notes. Reviewers classify feedback into standardized categories (Methodology, Research Concern, Grammar, Formatting) with assigned severity levels (Info, Minor, Major, Critical). Students engage through multi-author threaded reply chains to document specific revisions, while the system monitors progress across discrete lifecycle statuses (Open, In-Progress, Addressed, Resolved, Verified).</w:t>
      </w:r>
    </w:p>
    <w:p>
      <w:pPr>
        <w:spacing w:after="160" w:line="360" w:lineRule="auto"/>
        <w:jc w:val="both"/>
      </w:pPr>
      <w:r>
        <w:rPr>
          <w:rFonts w:ascii="Times New Roman" w:hAnsi="Times New Roman"/>
          <w:b w:val="0"/>
          <w:i w:val="0"/>
          <w:color w:val="000000"/>
          <w:sz w:val="24"/>
        </w:rPr>
        <w:t xml:space="preserve">4. Defense Workflow &amp; Scheduling. </w:t>
      </w:r>
      <w:r>
        <w:rPr>
          <w:rFonts w:ascii="Times New Roman" w:hAnsi="Times New Roman"/>
          <w:b w:val="0"/>
          <w:i w:val="0"/>
          <w:color w:val="000000"/>
          <w:sz w:val="24"/>
        </w:rPr>
        <w:t>Orchestrating the institutional defense progression, this module tracks research projects across five key milestones: Concept Paper, Title Defense, Proposal Defense, Work-in-Progress (WIP), and Final Defense. It enforces the Adviser Consultation Gate, requiring formal adviser endorsement remarks before a defense hearing can be scheduled. Coordinators utilize an integrated calendar engine to set defense schedules, venues, and virtual meeting links, while an automated Conflict of Interest (COI) guard algorithmically prevents assigned thesis advisers from sitting on their advisees' examination panels.</w:t>
      </w:r>
    </w:p>
    <w:p>
      <w:pPr>
        <w:spacing w:after="160" w:line="360" w:lineRule="auto"/>
        <w:jc w:val="both"/>
      </w:pPr>
      <w:r>
        <w:rPr>
          <w:rFonts w:ascii="Times New Roman" w:hAnsi="Times New Roman"/>
          <w:b w:val="0"/>
          <w:i w:val="0"/>
          <w:color w:val="000000"/>
          <w:sz w:val="24"/>
        </w:rPr>
        <w:t xml:space="preserve">5. Evaluation &amp; Weighted Rubric Scoring. </w:t>
      </w:r>
      <w:r>
        <w:rPr>
          <w:rFonts w:ascii="Times New Roman" w:hAnsi="Times New Roman"/>
          <w:b w:val="0"/>
          <w:i w:val="0"/>
          <w:color w:val="000000"/>
          <w:sz w:val="24"/>
        </w:rPr>
        <w:t>This module manages academic assessment through program-specific, configurable rubric templates. During defense proceedings, panelists conduct independent, live criterion scoring with automated weighted average computations. Upon defense conclusion, individual evaluations are aggregated into an official committee consensus verdict (Passed, Passed with Revisions, Re-Defense, or Failed) in strict compliance with university grading standards.</w:t>
      </w:r>
    </w:p>
    <w:p>
      <w:pPr>
        <w:spacing w:after="160" w:line="360" w:lineRule="auto"/>
        <w:jc w:val="both"/>
      </w:pPr>
      <w:r>
        <w:rPr>
          <w:rFonts w:ascii="Times New Roman" w:hAnsi="Times New Roman"/>
          <w:b w:val="0"/>
          <w:i w:val="0"/>
          <w:color w:val="000000"/>
          <w:sz w:val="24"/>
        </w:rPr>
        <w:t xml:space="preserve">6. Cryptographic Clearance &amp; Certification. </w:t>
      </w:r>
      <w:r>
        <w:rPr>
          <w:rFonts w:ascii="Times New Roman" w:hAnsi="Times New Roman"/>
          <w:b w:val="0"/>
          <w:i w:val="0"/>
          <w:color w:val="000000"/>
          <w:sz w:val="24"/>
        </w:rPr>
        <w:t>Governing academic integrity and legal non-repudiation in accordance with the Philippine Electronic Commerce Act of 2000 (Republic Act No. 8792), this module captures vector digital signatures backed by Step-Up Password Re-Authentication. Digital signatures are cryptographically bound to an immutable SHA-256 payload digest. The module issues official Defense Completion Certificates bearing automated sequential serial numbers (e.g., AURORA-2026-000054) and embedded QR codes for zero-login public authenticity verification (/verify/[serial]).</w:t>
      </w:r>
    </w:p>
    <w:p>
      <w:pPr>
        <w:spacing w:after="160" w:line="360" w:lineRule="auto"/>
        <w:jc w:val="both"/>
      </w:pPr>
      <w:r>
        <w:rPr>
          <w:rFonts w:ascii="Times New Roman" w:hAnsi="Times New Roman"/>
          <w:b w:val="0"/>
          <w:i w:val="0"/>
          <w:color w:val="000000"/>
          <w:sz w:val="24"/>
        </w:rPr>
        <w:t xml:space="preserve">7. Centralized Notification Engine. </w:t>
      </w:r>
      <w:r>
        <w:rPr>
          <w:rFonts w:ascii="Times New Roman" w:hAnsi="Times New Roman"/>
          <w:b w:val="0"/>
          <w:i w:val="0"/>
          <w:color w:val="000000"/>
          <w:sz w:val="24"/>
        </w:rPr>
        <w:t>This module serves as the real-time communications backbone of the platform. Operating via an event-driven publish-subscribe architecture, it dispatches instant in-app alerts, unread activity badges, and automated email notifications. System triggers include manuscript upload announcements, revision requests, defense scheduling notifications, grade releases, and adviser endorsement updates, ensuring seamless coordination among all research participants.</w:t>
      </w:r>
    </w:p>
    <w:p>
      <w:pPr>
        <w:spacing w:after="160" w:line="360" w:lineRule="auto"/>
        <w:jc w:val="both"/>
      </w:pPr>
      <w:r>
        <w:rPr>
          <w:rFonts w:ascii="Times New Roman" w:hAnsi="Times New Roman"/>
          <w:b w:val="0"/>
          <w:i w:val="0"/>
          <w:color w:val="000000"/>
          <w:sz w:val="24"/>
        </w:rPr>
        <w:t xml:space="preserve">8. Academic Analytics &amp; Reporting. </w:t>
      </w:r>
      <w:r>
        <w:rPr>
          <w:rFonts w:ascii="Times New Roman" w:hAnsi="Times New Roman"/>
          <w:b w:val="0"/>
          <w:i w:val="0"/>
          <w:color w:val="000000"/>
          <w:sz w:val="24"/>
        </w:rPr>
        <w:t>Designed for institutional decision-making and accreditation compliance, this module compiles comprehensive defense statistics at both departmental and college levels. It tracks historical pass, revision, and failure rates, measures average rubric score distributions, and analyzes revision turnaround velocity. Executive summary reports provide College Deans and department chairs with empirical data to evaluate academic research productivity.</w:t>
      </w:r>
    </w:p>
    <w:p>
      <w:pPr>
        <w:spacing w:after="160" w:line="360" w:lineRule="auto"/>
        <w:jc w:val="both"/>
      </w:pPr>
      <w:r>
        <w:rPr>
          <w:rFonts w:ascii="Times New Roman" w:hAnsi="Times New Roman"/>
          <w:b w:val="0"/>
          <w:i w:val="0"/>
          <w:color w:val="000000"/>
          <w:sz w:val="24"/>
        </w:rPr>
        <w:t xml:space="preserve">9. System Administration &amp; Configuration. </w:t>
      </w:r>
      <w:r>
        <w:rPr>
          <w:rFonts w:ascii="Times New Roman" w:hAnsi="Times New Roman"/>
          <w:b w:val="0"/>
          <w:i w:val="0"/>
          <w:color w:val="000000"/>
          <w:sz w:val="24"/>
        </w:rPr>
        <w:t>This module provides IT administrators with master data management tools. It governs faculty and coordinator account verifications, workflow stage configurations, dynamic rubric template weighting, and storage bucket quotas. Furthermore, it maintains an append-only, tamper-evident audit log that records all critical system operations alongside actor email, IP address, and telemetry metadata for institutional compliance audits.</w:t>
      </w:r>
    </w:p>
    <w:p>
      <w:pPr>
        <w:spacing w:after="120" w:line="360" w:lineRule="auto"/>
        <w:jc w:val="left"/>
      </w:pPr>
      <w:r>
        <w:rPr>
          <w:rFonts w:ascii="Times New Roman" w:hAnsi="Times New Roman"/>
          <w:b/>
          <w:i w:val="0"/>
          <w:color w:val="000000"/>
          <w:sz w:val="24"/>
        </w:rPr>
        <w:t>Table 1. Institutional Role-to-Module Access Matrix</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40" w:line="240" w:lineRule="auto"/>
              <w:jc w:val="left"/>
            </w:pPr>
            <w:r>
              <w:rPr>
                <w:rFonts w:ascii="Times New Roman" w:hAnsi="Times New Roman"/>
                <w:b/>
                <w:sz w:val="20"/>
              </w:rPr>
              <w:t>Functional Module</w:t>
            </w:r>
          </w:p>
        </w:tc>
        <w:tc>
          <w:tcPr>
            <w:tcW w:type="dxa" w:w="1337"/>
          </w:tcPr>
          <w:p>
            <w:pPr>
              <w:spacing w:after="40" w:line="240" w:lineRule="auto"/>
              <w:jc w:val="center"/>
            </w:pPr>
            <w:r>
              <w:rPr>
                <w:rFonts w:ascii="Times New Roman" w:hAnsi="Times New Roman"/>
                <w:b/>
                <w:sz w:val="20"/>
              </w:rPr>
              <w:t>Student</w:t>
            </w:r>
          </w:p>
        </w:tc>
        <w:tc>
          <w:tcPr>
            <w:tcW w:type="dxa" w:w="1337"/>
          </w:tcPr>
          <w:p>
            <w:pPr>
              <w:spacing w:after="40" w:line="240" w:lineRule="auto"/>
              <w:jc w:val="center"/>
            </w:pPr>
            <w:r>
              <w:rPr>
                <w:rFonts w:ascii="Times New Roman" w:hAnsi="Times New Roman"/>
                <w:b/>
                <w:sz w:val="20"/>
              </w:rPr>
              <w:t>Adviser</w:t>
            </w:r>
          </w:p>
        </w:tc>
        <w:tc>
          <w:tcPr>
            <w:tcW w:type="dxa" w:w="1337"/>
          </w:tcPr>
          <w:p>
            <w:pPr>
              <w:spacing w:after="40" w:line="240" w:lineRule="auto"/>
              <w:jc w:val="center"/>
            </w:pPr>
            <w:r>
              <w:rPr>
                <w:rFonts w:ascii="Times New Roman" w:hAnsi="Times New Roman"/>
                <w:b/>
                <w:sz w:val="20"/>
              </w:rPr>
              <w:t>Panelist</w:t>
            </w:r>
          </w:p>
        </w:tc>
        <w:tc>
          <w:tcPr>
            <w:tcW w:type="dxa" w:w="1337"/>
          </w:tcPr>
          <w:p>
            <w:pPr>
              <w:spacing w:after="40" w:line="240" w:lineRule="auto"/>
              <w:jc w:val="center"/>
            </w:pPr>
            <w:r>
              <w:rPr>
                <w:rFonts w:ascii="Times New Roman" w:hAnsi="Times New Roman"/>
                <w:b/>
                <w:sz w:val="20"/>
              </w:rPr>
              <w:t>Coordinator</w:t>
            </w:r>
          </w:p>
        </w:tc>
        <w:tc>
          <w:tcPr>
            <w:tcW w:type="dxa" w:w="1337"/>
          </w:tcPr>
          <w:p>
            <w:pPr>
              <w:spacing w:after="40" w:line="240" w:lineRule="auto"/>
              <w:jc w:val="center"/>
            </w:pPr>
            <w:r>
              <w:rPr>
                <w:rFonts w:ascii="Times New Roman" w:hAnsi="Times New Roman"/>
                <w:b/>
                <w:sz w:val="20"/>
              </w:rPr>
              <w:t>College Dean</w:t>
            </w:r>
          </w:p>
        </w:tc>
        <w:tc>
          <w:tcPr>
            <w:tcW w:type="dxa" w:w="1337"/>
          </w:tcPr>
          <w:p>
            <w:pPr>
              <w:spacing w:after="40" w:line="240" w:lineRule="auto"/>
              <w:jc w:val="center"/>
            </w:pPr>
            <w:r>
              <w:rPr>
                <w:rFonts w:ascii="Times New Roman" w:hAnsi="Times New Roman"/>
                <w:b/>
                <w:sz w:val="20"/>
              </w:rPr>
              <w:t>Sys Admin</w:t>
            </w:r>
          </w:p>
        </w:tc>
      </w:tr>
      <w:tr>
        <w:tc>
          <w:tcPr>
            <w:tcW w:type="dxa" w:w="1337"/>
          </w:tcPr>
          <w:p>
            <w:pPr>
              <w:spacing w:after="40" w:line="240" w:lineRule="auto"/>
              <w:jc w:val="left"/>
            </w:pPr>
            <w:r>
              <w:rPr>
                <w:rFonts w:ascii="Times New Roman" w:hAnsi="Times New Roman"/>
                <w:sz w:val="20"/>
              </w:rPr>
              <w:t>User &amp; Identity Management</w:t>
            </w:r>
          </w:p>
        </w:tc>
        <w:tc>
          <w:tcPr>
            <w:tcW w:type="dxa" w:w="1337"/>
          </w:tcPr>
          <w:p>
            <w:pPr>
              <w:spacing w:after="40" w:line="240" w:lineRule="auto"/>
              <w:jc w:val="center"/>
            </w:pPr>
            <w:r>
              <w:rPr>
                <w:rFonts w:ascii="Times New Roman" w:hAnsi="Times New Roman"/>
                <w:sz w:val="20"/>
              </w:rPr>
              <w:t>Self</w:t>
            </w:r>
          </w:p>
        </w:tc>
        <w:tc>
          <w:tcPr>
            <w:tcW w:type="dxa" w:w="1337"/>
          </w:tcPr>
          <w:p>
            <w:pPr>
              <w:spacing w:after="40" w:line="240" w:lineRule="auto"/>
              <w:jc w:val="center"/>
            </w:pPr>
            <w:r>
              <w:rPr>
                <w:rFonts w:ascii="Times New Roman" w:hAnsi="Times New Roman"/>
                <w:sz w:val="20"/>
              </w:rPr>
              <w:t>Self</w:t>
            </w:r>
          </w:p>
        </w:tc>
        <w:tc>
          <w:tcPr>
            <w:tcW w:type="dxa" w:w="1337"/>
          </w:tcPr>
          <w:p>
            <w:pPr>
              <w:spacing w:after="40" w:line="240" w:lineRule="auto"/>
              <w:jc w:val="center"/>
            </w:pPr>
            <w:r>
              <w:rPr>
                <w:rFonts w:ascii="Times New Roman" w:hAnsi="Times New Roman"/>
                <w:sz w:val="20"/>
              </w:rPr>
              <w:t>Self</w:t>
            </w:r>
          </w:p>
        </w:tc>
        <w:tc>
          <w:tcPr>
            <w:tcW w:type="dxa" w:w="1337"/>
          </w:tcPr>
          <w:p>
            <w:pPr>
              <w:spacing w:after="40" w:line="240" w:lineRule="auto"/>
              <w:jc w:val="center"/>
            </w:pPr>
            <w:r>
              <w:rPr>
                <w:rFonts w:ascii="Times New Roman" w:hAnsi="Times New Roman"/>
                <w:sz w:val="20"/>
              </w:rPr>
              <w:t>Dept</w:t>
            </w:r>
          </w:p>
        </w:tc>
        <w:tc>
          <w:tcPr>
            <w:tcW w:type="dxa" w:w="1337"/>
          </w:tcPr>
          <w:p>
            <w:pPr>
              <w:spacing w:after="40" w:line="240" w:lineRule="auto"/>
              <w:jc w:val="center"/>
            </w:pPr>
            <w:r>
              <w:rPr>
                <w:rFonts w:ascii="Times New Roman" w:hAnsi="Times New Roman"/>
                <w:sz w:val="20"/>
              </w:rPr>
              <w:t>College</w:t>
            </w:r>
          </w:p>
        </w:tc>
        <w:tc>
          <w:tcPr>
            <w:tcW w:type="dxa" w:w="1337"/>
          </w:tcPr>
          <w:p>
            <w:pPr>
              <w:spacing w:after="40" w:line="240" w:lineRule="auto"/>
              <w:jc w:val="center"/>
            </w:pPr>
            <w:r>
              <w:rPr>
                <w:rFonts w:ascii="Times New Roman" w:hAnsi="Times New Roman"/>
                <w:sz w:val="20"/>
              </w:rPr>
              <w:t>Full</w:t>
            </w:r>
          </w:p>
        </w:tc>
      </w:tr>
      <w:tr>
        <w:tc>
          <w:tcPr>
            <w:tcW w:type="dxa" w:w="1337"/>
          </w:tcPr>
          <w:p>
            <w:pPr>
              <w:spacing w:after="40" w:line="240" w:lineRule="auto"/>
              <w:jc w:val="left"/>
            </w:pPr>
            <w:r>
              <w:rPr>
                <w:rFonts w:ascii="Times New Roman" w:hAnsi="Times New Roman"/>
                <w:sz w:val="20"/>
              </w:rPr>
              <w:t>Manuscript &amp; Document Handling</w:t>
            </w:r>
          </w:p>
        </w:tc>
        <w:tc>
          <w:tcPr>
            <w:tcW w:type="dxa" w:w="1337"/>
          </w:tcPr>
          <w:p>
            <w:pPr>
              <w:spacing w:after="40" w:line="240" w:lineRule="auto"/>
              <w:jc w:val="center"/>
            </w:pPr>
            <w:r>
              <w:rPr>
                <w:rFonts w:ascii="Times New Roman" w:hAnsi="Times New Roman"/>
                <w:sz w:val="20"/>
              </w:rPr>
              <w:t>Upload / View</w:t>
            </w:r>
          </w:p>
        </w:tc>
        <w:tc>
          <w:tcPr>
            <w:tcW w:type="dxa" w:w="1337"/>
          </w:tcPr>
          <w:p>
            <w:pPr>
              <w:spacing w:after="40" w:line="240" w:lineRule="auto"/>
              <w:jc w:val="center"/>
            </w:pPr>
            <w:r>
              <w:rPr>
                <w:rFonts w:ascii="Times New Roman" w:hAnsi="Times New Roman"/>
                <w:sz w:val="20"/>
              </w:rPr>
              <w:t>Review / Endorse</w:t>
            </w:r>
          </w:p>
        </w:tc>
        <w:tc>
          <w:tcPr>
            <w:tcW w:type="dxa" w:w="1337"/>
          </w:tcPr>
          <w:p>
            <w:pPr>
              <w:spacing w:after="40" w:line="240" w:lineRule="auto"/>
              <w:jc w:val="center"/>
            </w:pPr>
            <w:r>
              <w:rPr>
                <w:rFonts w:ascii="Times New Roman" w:hAnsi="Times New Roman"/>
                <w:sz w:val="20"/>
              </w:rPr>
              <w:t>Examine</w:t>
            </w:r>
          </w:p>
        </w:tc>
        <w:tc>
          <w:tcPr>
            <w:tcW w:type="dxa" w:w="1337"/>
          </w:tcPr>
          <w:p>
            <w:pPr>
              <w:spacing w:after="40" w:line="240" w:lineRule="auto"/>
              <w:jc w:val="center"/>
            </w:pPr>
            <w:r>
              <w:rPr>
                <w:rFonts w:ascii="Times New Roman" w:hAnsi="Times New Roman"/>
                <w:sz w:val="20"/>
              </w:rPr>
              <w:t>Audit</w:t>
            </w:r>
          </w:p>
        </w:tc>
        <w:tc>
          <w:tcPr>
            <w:tcW w:type="dxa" w:w="1337"/>
          </w:tcPr>
          <w:p>
            <w:pPr>
              <w:spacing w:after="40" w:line="240" w:lineRule="auto"/>
              <w:jc w:val="center"/>
            </w:pPr>
            <w:r>
              <w:rPr>
                <w:rFonts w:ascii="Times New Roman" w:hAnsi="Times New Roman"/>
                <w:sz w:val="20"/>
              </w:rPr>
              <w:t>Oversight</w:t>
            </w:r>
          </w:p>
        </w:tc>
        <w:tc>
          <w:tcPr>
            <w:tcW w:type="dxa" w:w="1337"/>
          </w:tcPr>
          <w:p>
            <w:pPr>
              <w:spacing w:after="40" w:line="240" w:lineRule="auto"/>
              <w:jc w:val="center"/>
            </w:pPr>
            <w:r>
              <w:rPr>
                <w:rFonts w:ascii="Times New Roman" w:hAnsi="Times New Roman"/>
                <w:sz w:val="20"/>
              </w:rPr>
              <w:t>Storage Admin</w:t>
            </w:r>
          </w:p>
        </w:tc>
      </w:tr>
      <w:tr>
        <w:tc>
          <w:tcPr>
            <w:tcW w:type="dxa" w:w="1337"/>
          </w:tcPr>
          <w:p>
            <w:pPr>
              <w:spacing w:after="40" w:line="240" w:lineRule="auto"/>
              <w:jc w:val="left"/>
            </w:pPr>
            <w:r>
              <w:rPr>
                <w:rFonts w:ascii="Times New Roman" w:hAnsi="Times New Roman"/>
                <w:sz w:val="20"/>
              </w:rPr>
              <w:t>Split-Screen Review &amp; Annotations</w:t>
            </w:r>
          </w:p>
        </w:tc>
        <w:tc>
          <w:tcPr>
            <w:tcW w:type="dxa" w:w="1337"/>
          </w:tcPr>
          <w:p>
            <w:pPr>
              <w:spacing w:after="40" w:line="240" w:lineRule="auto"/>
              <w:jc w:val="center"/>
            </w:pPr>
            <w:r>
              <w:rPr>
                <w:rFonts w:ascii="Times New Roman" w:hAnsi="Times New Roman"/>
                <w:sz w:val="20"/>
              </w:rPr>
              <w:t>Reply / Address</w:t>
            </w:r>
          </w:p>
        </w:tc>
        <w:tc>
          <w:tcPr>
            <w:tcW w:type="dxa" w:w="1337"/>
          </w:tcPr>
          <w:p>
            <w:pPr>
              <w:spacing w:after="40" w:line="240" w:lineRule="auto"/>
              <w:jc w:val="center"/>
            </w:pPr>
            <w:r>
              <w:rPr>
                <w:rFonts w:ascii="Times New Roman" w:hAnsi="Times New Roman"/>
                <w:sz w:val="20"/>
              </w:rPr>
              <w:t>Annotate / Resolve</w:t>
            </w:r>
          </w:p>
        </w:tc>
        <w:tc>
          <w:tcPr>
            <w:tcW w:type="dxa" w:w="1337"/>
          </w:tcPr>
          <w:p>
            <w:pPr>
              <w:spacing w:after="40" w:line="240" w:lineRule="auto"/>
              <w:jc w:val="center"/>
            </w:pPr>
            <w:r>
              <w:rPr>
                <w:rFonts w:ascii="Times New Roman" w:hAnsi="Times New Roman"/>
                <w:sz w:val="20"/>
              </w:rPr>
              <w:t>Annotate / Grade</w:t>
            </w:r>
          </w:p>
        </w:tc>
        <w:tc>
          <w:tcPr>
            <w:tcW w:type="dxa" w:w="1337"/>
          </w:tcPr>
          <w:p>
            <w:pPr>
              <w:spacing w:after="40" w:line="240" w:lineRule="auto"/>
              <w:jc w:val="center"/>
            </w:pPr>
            <w:r>
              <w:rPr>
                <w:rFonts w:ascii="Times New Roman" w:hAnsi="Times New Roman"/>
                <w:sz w:val="20"/>
              </w:rPr>
              <w:t>Audit</w:t>
            </w:r>
          </w:p>
        </w:tc>
        <w:tc>
          <w:tcPr>
            <w:tcW w:type="dxa" w:w="1337"/>
          </w:tcPr>
          <w:p>
            <w:pPr>
              <w:spacing w:after="40" w:line="240" w:lineRule="auto"/>
              <w:jc w:val="center"/>
            </w:pPr>
            <w:r>
              <w:rPr>
                <w:rFonts w:ascii="Times New Roman" w:hAnsi="Times New Roman"/>
                <w:sz w:val="20"/>
              </w:rPr>
              <w:t>View Only</w:t>
            </w:r>
          </w:p>
        </w:tc>
        <w:tc>
          <w:tcPr>
            <w:tcW w:type="dxa" w:w="1337"/>
          </w:tcPr>
          <w:p>
            <w:pPr>
              <w:spacing w:after="40" w:line="240" w:lineRule="auto"/>
              <w:jc w:val="center"/>
            </w:pPr>
            <w:r>
              <w:rPr>
                <w:rFonts w:ascii="Times New Roman" w:hAnsi="Times New Roman"/>
                <w:sz w:val="20"/>
              </w:rPr>
              <w:t>Full</w:t>
            </w:r>
          </w:p>
        </w:tc>
      </w:tr>
      <w:tr>
        <w:tc>
          <w:tcPr>
            <w:tcW w:type="dxa" w:w="1337"/>
          </w:tcPr>
          <w:p>
            <w:pPr>
              <w:spacing w:after="40" w:line="240" w:lineRule="auto"/>
              <w:jc w:val="left"/>
            </w:pPr>
            <w:r>
              <w:rPr>
                <w:rFonts w:ascii="Times New Roman" w:hAnsi="Times New Roman"/>
                <w:sz w:val="20"/>
              </w:rPr>
              <w:t>Defense Workflow &amp; Scheduling</w:t>
            </w:r>
          </w:p>
        </w:tc>
        <w:tc>
          <w:tcPr>
            <w:tcW w:type="dxa" w:w="1337"/>
          </w:tcPr>
          <w:p>
            <w:pPr>
              <w:spacing w:after="40" w:line="240" w:lineRule="auto"/>
              <w:jc w:val="center"/>
            </w:pPr>
            <w:r>
              <w:rPr>
                <w:rFonts w:ascii="Times New Roman" w:hAnsi="Times New Roman"/>
                <w:sz w:val="20"/>
              </w:rPr>
              <w:t>View Schedule</w:t>
            </w:r>
          </w:p>
        </w:tc>
        <w:tc>
          <w:tcPr>
            <w:tcW w:type="dxa" w:w="1337"/>
          </w:tcPr>
          <w:p>
            <w:pPr>
              <w:spacing w:after="40" w:line="240" w:lineRule="auto"/>
              <w:jc w:val="center"/>
            </w:pPr>
            <w:r>
              <w:rPr>
                <w:rFonts w:ascii="Times New Roman" w:hAnsi="Times New Roman"/>
                <w:sz w:val="20"/>
              </w:rPr>
              <w:t>Consultation Gate</w:t>
            </w:r>
          </w:p>
        </w:tc>
        <w:tc>
          <w:tcPr>
            <w:tcW w:type="dxa" w:w="1337"/>
          </w:tcPr>
          <w:p>
            <w:pPr>
              <w:spacing w:after="40" w:line="240" w:lineRule="auto"/>
              <w:jc w:val="center"/>
            </w:pPr>
            <w:r>
              <w:rPr>
                <w:rFonts w:ascii="Times New Roman" w:hAnsi="Times New Roman"/>
                <w:sz w:val="20"/>
              </w:rPr>
              <w:t>Defense Hearing</w:t>
            </w:r>
          </w:p>
        </w:tc>
        <w:tc>
          <w:tcPr>
            <w:tcW w:type="dxa" w:w="1337"/>
          </w:tcPr>
          <w:p>
            <w:pPr>
              <w:spacing w:after="40" w:line="240" w:lineRule="auto"/>
              <w:jc w:val="center"/>
            </w:pPr>
            <w:r>
              <w:rPr>
                <w:rFonts w:ascii="Times New Roman" w:hAnsi="Times New Roman"/>
                <w:sz w:val="20"/>
              </w:rPr>
              <w:t>Manage / Schedule</w:t>
            </w:r>
          </w:p>
        </w:tc>
        <w:tc>
          <w:tcPr>
            <w:tcW w:type="dxa" w:w="1337"/>
          </w:tcPr>
          <w:p>
            <w:pPr>
              <w:spacing w:after="40" w:line="240" w:lineRule="auto"/>
              <w:jc w:val="center"/>
            </w:pPr>
            <w:r>
              <w:rPr>
                <w:rFonts w:ascii="Times New Roman" w:hAnsi="Times New Roman"/>
                <w:sz w:val="20"/>
              </w:rPr>
              <w:t>Oversight</w:t>
            </w:r>
          </w:p>
        </w:tc>
        <w:tc>
          <w:tcPr>
            <w:tcW w:type="dxa" w:w="1337"/>
          </w:tcPr>
          <w:p>
            <w:pPr>
              <w:spacing w:after="40" w:line="240" w:lineRule="auto"/>
              <w:jc w:val="center"/>
            </w:pPr>
            <w:r>
              <w:rPr>
                <w:rFonts w:ascii="Times New Roman" w:hAnsi="Times New Roman"/>
                <w:sz w:val="20"/>
              </w:rPr>
              <w:t>Stage Config</w:t>
            </w:r>
          </w:p>
        </w:tc>
      </w:tr>
      <w:tr>
        <w:tc>
          <w:tcPr>
            <w:tcW w:type="dxa" w:w="1337"/>
          </w:tcPr>
          <w:p>
            <w:pPr>
              <w:spacing w:after="40" w:line="240" w:lineRule="auto"/>
              <w:jc w:val="left"/>
            </w:pPr>
            <w:r>
              <w:rPr>
                <w:rFonts w:ascii="Times New Roman" w:hAnsi="Times New Roman"/>
                <w:sz w:val="20"/>
              </w:rPr>
              <w:t>Evaluation &amp; Rubric Scoring</w:t>
            </w:r>
          </w:p>
        </w:tc>
        <w:tc>
          <w:tcPr>
            <w:tcW w:type="dxa" w:w="1337"/>
          </w:tcPr>
          <w:p>
            <w:pPr>
              <w:spacing w:after="40" w:line="240" w:lineRule="auto"/>
              <w:jc w:val="center"/>
            </w:pPr>
            <w:r>
              <w:rPr>
                <w:rFonts w:ascii="Times New Roman" w:hAnsi="Times New Roman"/>
                <w:sz w:val="20"/>
              </w:rPr>
              <w:t>View Grades</w:t>
            </w:r>
          </w:p>
        </w:tc>
        <w:tc>
          <w:tcPr>
            <w:tcW w:type="dxa" w:w="1337"/>
          </w:tcPr>
          <w:p>
            <w:pPr>
              <w:spacing w:after="40" w:line="240" w:lineRule="auto"/>
              <w:jc w:val="center"/>
            </w:pPr>
            <w:r>
              <w:rPr>
                <w:rFonts w:ascii="Times New Roman" w:hAnsi="Times New Roman"/>
                <w:sz w:val="20"/>
              </w:rPr>
              <w:t>View Endorsement</w:t>
            </w:r>
          </w:p>
        </w:tc>
        <w:tc>
          <w:tcPr>
            <w:tcW w:type="dxa" w:w="1337"/>
          </w:tcPr>
          <w:p>
            <w:pPr>
              <w:spacing w:after="40" w:line="240" w:lineRule="auto"/>
              <w:jc w:val="center"/>
            </w:pPr>
            <w:r>
              <w:rPr>
                <w:rFonts w:ascii="Times New Roman" w:hAnsi="Times New Roman"/>
                <w:sz w:val="20"/>
              </w:rPr>
              <w:t>Live Scoring / Sign</w:t>
            </w:r>
          </w:p>
        </w:tc>
        <w:tc>
          <w:tcPr>
            <w:tcW w:type="dxa" w:w="1337"/>
          </w:tcPr>
          <w:p>
            <w:pPr>
              <w:spacing w:after="40" w:line="240" w:lineRule="auto"/>
              <w:jc w:val="center"/>
            </w:pPr>
            <w:r>
              <w:rPr>
                <w:rFonts w:ascii="Times New Roman" w:hAnsi="Times New Roman"/>
                <w:sz w:val="20"/>
              </w:rPr>
              <w:t>Consolidate Verdict</w:t>
            </w:r>
          </w:p>
        </w:tc>
        <w:tc>
          <w:tcPr>
            <w:tcW w:type="dxa" w:w="1337"/>
          </w:tcPr>
          <w:p>
            <w:pPr>
              <w:spacing w:after="40" w:line="240" w:lineRule="auto"/>
              <w:jc w:val="center"/>
            </w:pPr>
            <w:r>
              <w:rPr>
                <w:rFonts w:ascii="Times New Roman" w:hAnsi="Times New Roman"/>
                <w:sz w:val="20"/>
              </w:rPr>
              <w:t>View Reports</w:t>
            </w:r>
          </w:p>
        </w:tc>
        <w:tc>
          <w:tcPr>
            <w:tcW w:type="dxa" w:w="1337"/>
          </w:tcPr>
          <w:p>
            <w:pPr>
              <w:spacing w:after="40" w:line="240" w:lineRule="auto"/>
              <w:jc w:val="center"/>
            </w:pPr>
            <w:r>
              <w:rPr>
                <w:rFonts w:ascii="Times New Roman" w:hAnsi="Times New Roman"/>
                <w:sz w:val="20"/>
              </w:rPr>
              <w:t>Template Config</w:t>
            </w:r>
          </w:p>
        </w:tc>
      </w:tr>
      <w:tr>
        <w:tc>
          <w:tcPr>
            <w:tcW w:type="dxa" w:w="1337"/>
          </w:tcPr>
          <w:p>
            <w:pPr>
              <w:spacing w:after="40" w:line="240" w:lineRule="auto"/>
              <w:jc w:val="left"/>
            </w:pPr>
            <w:r>
              <w:rPr>
                <w:rFonts w:ascii="Times New Roman" w:hAnsi="Times New Roman"/>
                <w:sz w:val="20"/>
              </w:rPr>
              <w:t>Cryptographic Clearance &amp; Cert.</w:t>
            </w:r>
          </w:p>
        </w:tc>
        <w:tc>
          <w:tcPr>
            <w:tcW w:type="dxa" w:w="1337"/>
          </w:tcPr>
          <w:p>
            <w:pPr>
              <w:spacing w:after="40" w:line="240" w:lineRule="auto"/>
              <w:jc w:val="center"/>
            </w:pPr>
            <w:r>
              <w:rPr>
                <w:rFonts w:ascii="Times New Roman" w:hAnsi="Times New Roman"/>
                <w:sz w:val="20"/>
              </w:rPr>
              <w:t>Download Cert</w:t>
            </w:r>
          </w:p>
        </w:tc>
        <w:tc>
          <w:tcPr>
            <w:tcW w:type="dxa" w:w="1337"/>
          </w:tcPr>
          <w:p>
            <w:pPr>
              <w:spacing w:after="40" w:line="240" w:lineRule="auto"/>
              <w:jc w:val="center"/>
            </w:pPr>
            <w:r>
              <w:rPr>
                <w:rFonts w:ascii="Times New Roman" w:hAnsi="Times New Roman"/>
                <w:sz w:val="20"/>
              </w:rPr>
              <w:t>Sign Endorsement</w:t>
            </w:r>
          </w:p>
        </w:tc>
        <w:tc>
          <w:tcPr>
            <w:tcW w:type="dxa" w:w="1337"/>
          </w:tcPr>
          <w:p>
            <w:pPr>
              <w:spacing w:after="40" w:line="240" w:lineRule="auto"/>
              <w:jc w:val="center"/>
            </w:pPr>
            <w:r>
              <w:rPr>
                <w:rFonts w:ascii="Times New Roman" w:hAnsi="Times New Roman"/>
                <w:sz w:val="20"/>
              </w:rPr>
              <w:t>Sign Evaluation</w:t>
            </w:r>
          </w:p>
        </w:tc>
        <w:tc>
          <w:tcPr>
            <w:tcW w:type="dxa" w:w="1337"/>
          </w:tcPr>
          <w:p>
            <w:pPr>
              <w:spacing w:after="40" w:line="240" w:lineRule="auto"/>
              <w:jc w:val="center"/>
            </w:pPr>
            <w:r>
              <w:rPr>
                <w:rFonts w:ascii="Times New Roman" w:hAnsi="Times New Roman"/>
                <w:sz w:val="20"/>
              </w:rPr>
              <w:t>Release Cert</w:t>
            </w:r>
          </w:p>
        </w:tc>
        <w:tc>
          <w:tcPr>
            <w:tcW w:type="dxa" w:w="1337"/>
          </w:tcPr>
          <w:p>
            <w:pPr>
              <w:spacing w:after="40" w:line="240" w:lineRule="auto"/>
              <w:jc w:val="center"/>
            </w:pPr>
            <w:r>
              <w:rPr>
                <w:rFonts w:ascii="Times New Roman" w:hAnsi="Times New Roman"/>
                <w:sz w:val="20"/>
              </w:rPr>
              <w:t>Executive Sign</w:t>
            </w:r>
          </w:p>
        </w:tc>
        <w:tc>
          <w:tcPr>
            <w:tcW w:type="dxa" w:w="1337"/>
          </w:tcPr>
          <w:p>
            <w:pPr>
              <w:spacing w:after="40" w:line="240" w:lineRule="auto"/>
              <w:jc w:val="center"/>
            </w:pPr>
            <w:r>
              <w:rPr>
                <w:rFonts w:ascii="Times New Roman" w:hAnsi="Times New Roman"/>
                <w:sz w:val="20"/>
              </w:rPr>
              <w:t>Audit Log</w:t>
            </w:r>
          </w:p>
        </w:tc>
      </w:tr>
      <w:tr>
        <w:tc>
          <w:tcPr>
            <w:tcW w:type="dxa" w:w="1337"/>
          </w:tcPr>
          <w:p>
            <w:pPr>
              <w:spacing w:after="40" w:line="240" w:lineRule="auto"/>
              <w:jc w:val="left"/>
            </w:pPr>
            <w:r>
              <w:rPr>
                <w:rFonts w:ascii="Times New Roman" w:hAnsi="Times New Roman"/>
                <w:sz w:val="20"/>
              </w:rPr>
              <w:t>Centralized Notification Engine</w:t>
            </w:r>
          </w:p>
        </w:tc>
        <w:tc>
          <w:tcPr>
            <w:tcW w:type="dxa" w:w="1337"/>
          </w:tcPr>
          <w:p>
            <w:pPr>
              <w:spacing w:after="40" w:line="240" w:lineRule="auto"/>
              <w:jc w:val="center"/>
            </w:pPr>
            <w:r>
              <w:rPr>
                <w:rFonts w:ascii="Times New Roman" w:hAnsi="Times New Roman"/>
                <w:sz w:val="20"/>
              </w:rPr>
              <w:t>Active Alerts</w:t>
            </w:r>
          </w:p>
        </w:tc>
        <w:tc>
          <w:tcPr>
            <w:tcW w:type="dxa" w:w="1337"/>
          </w:tcPr>
          <w:p>
            <w:pPr>
              <w:spacing w:after="40" w:line="240" w:lineRule="auto"/>
              <w:jc w:val="center"/>
            </w:pPr>
            <w:r>
              <w:rPr>
                <w:rFonts w:ascii="Times New Roman" w:hAnsi="Times New Roman"/>
                <w:sz w:val="20"/>
              </w:rPr>
              <w:t>Active Alerts</w:t>
            </w:r>
          </w:p>
        </w:tc>
        <w:tc>
          <w:tcPr>
            <w:tcW w:type="dxa" w:w="1337"/>
          </w:tcPr>
          <w:p>
            <w:pPr>
              <w:spacing w:after="40" w:line="240" w:lineRule="auto"/>
              <w:jc w:val="center"/>
            </w:pPr>
            <w:r>
              <w:rPr>
                <w:rFonts w:ascii="Times New Roman" w:hAnsi="Times New Roman"/>
                <w:sz w:val="20"/>
              </w:rPr>
              <w:t>Active Alerts</w:t>
            </w:r>
          </w:p>
        </w:tc>
        <w:tc>
          <w:tcPr>
            <w:tcW w:type="dxa" w:w="1337"/>
          </w:tcPr>
          <w:p>
            <w:pPr>
              <w:spacing w:after="40" w:line="240" w:lineRule="auto"/>
              <w:jc w:val="center"/>
            </w:pPr>
            <w:r>
              <w:rPr>
                <w:rFonts w:ascii="Times New Roman" w:hAnsi="Times New Roman"/>
                <w:sz w:val="20"/>
              </w:rPr>
              <w:t>Active Alerts</w:t>
            </w:r>
          </w:p>
        </w:tc>
        <w:tc>
          <w:tcPr>
            <w:tcW w:type="dxa" w:w="1337"/>
          </w:tcPr>
          <w:p>
            <w:pPr>
              <w:spacing w:after="40" w:line="240" w:lineRule="auto"/>
              <w:jc w:val="center"/>
            </w:pPr>
            <w:r>
              <w:rPr>
                <w:rFonts w:ascii="Times New Roman" w:hAnsi="Times New Roman"/>
                <w:sz w:val="20"/>
              </w:rPr>
              <w:t>Active Alerts</w:t>
            </w:r>
          </w:p>
        </w:tc>
        <w:tc>
          <w:tcPr>
            <w:tcW w:type="dxa" w:w="1337"/>
          </w:tcPr>
          <w:p>
            <w:pPr>
              <w:spacing w:after="40" w:line="240" w:lineRule="auto"/>
              <w:jc w:val="center"/>
            </w:pPr>
            <w:r>
              <w:rPr>
                <w:rFonts w:ascii="Times New Roman" w:hAnsi="Times New Roman"/>
                <w:sz w:val="20"/>
              </w:rPr>
              <w:t>System Broadcast</w:t>
            </w:r>
          </w:p>
        </w:tc>
      </w:tr>
      <w:tr>
        <w:tc>
          <w:tcPr>
            <w:tcW w:type="dxa" w:w="1337"/>
          </w:tcPr>
          <w:p>
            <w:pPr>
              <w:spacing w:after="40" w:line="240" w:lineRule="auto"/>
              <w:jc w:val="left"/>
            </w:pPr>
            <w:r>
              <w:rPr>
                <w:rFonts w:ascii="Times New Roman" w:hAnsi="Times New Roman"/>
                <w:sz w:val="20"/>
              </w:rPr>
              <w:t>Academic Analytics &amp; Reporting</w:t>
            </w:r>
          </w:p>
        </w:tc>
        <w:tc>
          <w:tcPr>
            <w:tcW w:type="dxa" w:w="1337"/>
          </w:tcPr>
          <w:p>
            <w:pPr>
              <w:spacing w:after="40" w:line="240" w:lineRule="auto"/>
              <w:jc w:val="center"/>
            </w:pPr>
            <w:r>
              <w:rPr>
                <w:rFonts w:ascii="Times New Roman" w:hAnsi="Times New Roman"/>
                <w:sz w:val="20"/>
              </w:rPr>
              <w:t>Personal Stats</w:t>
            </w:r>
          </w:p>
        </w:tc>
        <w:tc>
          <w:tcPr>
            <w:tcW w:type="dxa" w:w="1337"/>
          </w:tcPr>
          <w:p>
            <w:pPr>
              <w:spacing w:after="40" w:line="240" w:lineRule="auto"/>
              <w:jc w:val="center"/>
            </w:pPr>
            <w:r>
              <w:rPr>
                <w:rFonts w:ascii="Times New Roman" w:hAnsi="Times New Roman"/>
                <w:sz w:val="20"/>
              </w:rPr>
              <w:t>Advisee KPIs</w:t>
            </w:r>
          </w:p>
        </w:tc>
        <w:tc>
          <w:tcPr>
            <w:tcW w:type="dxa" w:w="1337"/>
          </w:tcPr>
          <w:p>
            <w:pPr>
              <w:spacing w:after="40" w:line="240" w:lineRule="auto"/>
              <w:jc w:val="center"/>
            </w:pPr>
            <w:r>
              <w:rPr>
                <w:rFonts w:ascii="Times New Roman" w:hAnsi="Times New Roman"/>
                <w:sz w:val="20"/>
              </w:rPr>
              <w:t>Panel Records</w:t>
            </w:r>
          </w:p>
        </w:tc>
        <w:tc>
          <w:tcPr>
            <w:tcW w:type="dxa" w:w="1337"/>
          </w:tcPr>
          <w:p>
            <w:pPr>
              <w:spacing w:after="40" w:line="240" w:lineRule="auto"/>
              <w:jc w:val="center"/>
            </w:pPr>
            <w:r>
              <w:rPr>
                <w:rFonts w:ascii="Times New Roman" w:hAnsi="Times New Roman"/>
                <w:sz w:val="20"/>
              </w:rPr>
              <w:t>Dept KPIs</w:t>
            </w:r>
          </w:p>
        </w:tc>
        <w:tc>
          <w:tcPr>
            <w:tcW w:type="dxa" w:w="1337"/>
          </w:tcPr>
          <w:p>
            <w:pPr>
              <w:spacing w:after="40" w:line="240" w:lineRule="auto"/>
              <w:jc w:val="center"/>
            </w:pPr>
            <w:r>
              <w:rPr>
                <w:rFonts w:ascii="Times New Roman" w:hAnsi="Times New Roman"/>
                <w:sz w:val="20"/>
              </w:rPr>
              <w:t>College Analytics</w:t>
            </w:r>
          </w:p>
        </w:tc>
        <w:tc>
          <w:tcPr>
            <w:tcW w:type="dxa" w:w="1337"/>
          </w:tcPr>
          <w:p>
            <w:pPr>
              <w:spacing w:after="40" w:line="240" w:lineRule="auto"/>
              <w:jc w:val="center"/>
            </w:pPr>
            <w:r>
              <w:rPr>
                <w:rFonts w:ascii="Times New Roman" w:hAnsi="Times New Roman"/>
                <w:sz w:val="20"/>
              </w:rPr>
              <w:t>Full Telemetry</w:t>
            </w:r>
          </w:p>
        </w:tc>
      </w:tr>
      <w:tr>
        <w:tc>
          <w:tcPr>
            <w:tcW w:type="dxa" w:w="1337"/>
          </w:tcPr>
          <w:p>
            <w:pPr>
              <w:spacing w:after="40" w:line="240" w:lineRule="auto"/>
              <w:jc w:val="left"/>
            </w:pPr>
            <w:r>
              <w:rPr>
                <w:rFonts w:ascii="Times New Roman" w:hAnsi="Times New Roman"/>
                <w:sz w:val="20"/>
              </w:rPr>
              <w:t>System Administration &amp; Config.</w:t>
            </w:r>
          </w:p>
        </w:tc>
        <w:tc>
          <w:tcPr>
            <w:tcW w:type="dxa" w:w="1337"/>
          </w:tcPr>
          <w:p>
            <w:pPr>
              <w:spacing w:after="40" w:line="240" w:lineRule="auto"/>
              <w:jc w:val="center"/>
            </w:pPr>
            <w:r>
              <w:rPr>
                <w:rFonts w:ascii="Times New Roman" w:hAnsi="Times New Roman"/>
                <w:sz w:val="20"/>
              </w:rPr>
              <w:t>None</w:t>
            </w:r>
          </w:p>
        </w:tc>
        <w:tc>
          <w:tcPr>
            <w:tcW w:type="dxa" w:w="1337"/>
          </w:tcPr>
          <w:p>
            <w:pPr>
              <w:spacing w:after="40" w:line="240" w:lineRule="auto"/>
              <w:jc w:val="center"/>
            </w:pPr>
            <w:r>
              <w:rPr>
                <w:rFonts w:ascii="Times New Roman" w:hAnsi="Times New Roman"/>
                <w:sz w:val="20"/>
              </w:rPr>
              <w:t>None</w:t>
            </w:r>
          </w:p>
        </w:tc>
        <w:tc>
          <w:tcPr>
            <w:tcW w:type="dxa" w:w="1337"/>
          </w:tcPr>
          <w:p>
            <w:pPr>
              <w:spacing w:after="40" w:line="240" w:lineRule="auto"/>
              <w:jc w:val="center"/>
            </w:pPr>
            <w:r>
              <w:rPr>
                <w:rFonts w:ascii="Times New Roman" w:hAnsi="Times New Roman"/>
                <w:sz w:val="20"/>
              </w:rPr>
              <w:t>None</w:t>
            </w:r>
          </w:p>
        </w:tc>
        <w:tc>
          <w:tcPr>
            <w:tcW w:type="dxa" w:w="1337"/>
          </w:tcPr>
          <w:p>
            <w:pPr>
              <w:spacing w:after="40" w:line="240" w:lineRule="auto"/>
              <w:jc w:val="center"/>
            </w:pPr>
            <w:r>
              <w:rPr>
                <w:rFonts w:ascii="Times New Roman" w:hAnsi="Times New Roman"/>
                <w:sz w:val="20"/>
              </w:rPr>
              <w:t>Dept Setup</w:t>
            </w:r>
          </w:p>
        </w:tc>
        <w:tc>
          <w:tcPr>
            <w:tcW w:type="dxa" w:w="1337"/>
          </w:tcPr>
          <w:p>
            <w:pPr>
              <w:spacing w:after="40" w:line="240" w:lineRule="auto"/>
              <w:jc w:val="center"/>
            </w:pPr>
            <w:r>
              <w:rPr>
                <w:rFonts w:ascii="Times New Roman" w:hAnsi="Times New Roman"/>
                <w:sz w:val="20"/>
              </w:rPr>
              <w:t>College Setup</w:t>
            </w:r>
          </w:p>
        </w:tc>
        <w:tc>
          <w:tcPr>
            <w:tcW w:type="dxa" w:w="1337"/>
          </w:tcPr>
          <w:p>
            <w:pPr>
              <w:spacing w:after="40" w:line="240" w:lineRule="auto"/>
              <w:jc w:val="center"/>
            </w:pPr>
            <w:r>
              <w:rPr>
                <w:rFonts w:ascii="Times New Roman" w:hAnsi="Times New Roman"/>
                <w:sz w:val="20"/>
              </w:rPr>
              <w:t>Full Admin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