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2060"/>
          <w:sz w:val="24"/>
        </w:rPr>
        <w:t>PARTIDO STATE UNIVERSITY</w:t>
      </w:r>
    </w:p>
    <w:p>
      <w:pPr>
        <w:spacing w:before="0" w:after="40"/>
        <w:jc w:val="center"/>
      </w:pPr>
      <w:r>
        <w:rPr>
          <w:rFonts w:ascii="Times New Roman" w:hAnsi="Times New Roman"/>
          <w:b/>
          <w:color w:val="334155"/>
          <w:sz w:val="20"/>
        </w:rPr>
        <w:t>COLLEGE OF ENGINEERING AND COMPUTATIONAL SCIENCES</w:t>
        <w:br/>
        <w:t>DEPARTMENT OF COMPUTATIONAL SCIENCES</w:t>
      </w:r>
    </w:p>
    <w:p>
      <w:pPr>
        <w:spacing w:before="0" w:after="280"/>
        <w:jc w:val="center"/>
      </w:pPr>
      <w:r>
        <w:rPr>
          <w:rFonts w:ascii="Times New Roman" w:hAnsi="Times New Roman"/>
          <w:i/>
          <w:color w:val="64748B"/>
          <w:sz w:val="19"/>
        </w:rPr>
        <w:t>Goa Campus, Goa, Camarines Sur</w:t>
      </w:r>
    </w:p>
    <w:p>
      <w:pPr>
        <w:spacing w:before="120" w:after="80"/>
        <w:jc w:val="center"/>
      </w:pPr>
      <w:r>
        <w:rPr>
          <w:rFonts w:ascii="Times New Roman" w:hAnsi="Times New Roman"/>
          <w:b/>
          <w:color w:val="002060"/>
          <w:sz w:val="28"/>
        </w:rPr>
        <w:t>TECHNICAL CODEBASE SPECIFICATION &amp;</w:t>
        <w:br/>
        <w:t>FILE-BY-FILE ARCHITECTURAL SUMMARY</w:t>
      </w:r>
    </w:p>
    <w:p>
      <w:pPr>
        <w:spacing w:before="0" w:after="280"/>
        <w:jc w:val="center"/>
      </w:pPr>
      <w:r>
        <w:rPr>
          <w:rFonts w:ascii="Times New Roman" w:hAnsi="Times New Roman"/>
          <w:i/>
          <w:color w:val="475569"/>
          <w:sz w:val="22"/>
        </w:rPr>
        <w:t>Comprehensive Defense Dossier for the Academic Defense Workflow System (AURORA)</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60" w:type="dxa"/>
              <w:bottom w:w="60" w:type="dxa"/>
              <w:left w:w="80" w:type="dxa"/>
              <w:right w:w="80" w:type="dxa"/>
            </w:tcMar>
          </w:tcPr>
          <w:p>
            <w:pPr>
              <w:spacing w:after="0"/>
            </w:pPr>
            <w:r>
              <w:rPr>
                <w:b/>
                <w:sz w:val="19"/>
              </w:rPr>
              <w:t>Project System:</w:t>
            </w:r>
          </w:p>
        </w:tc>
        <w:tc>
          <w:tcPr>
            <w:tcW w:type="dxa" w:w="6192"/>
            <w:shd w:fill="FFFFFF"/>
            <w:tcMar>
              <w:top w:w="60" w:type="dxa"/>
              <w:bottom w:w="60" w:type="dxa"/>
              <w:left w:w="80" w:type="dxa"/>
              <w:right w:w="80" w:type="dxa"/>
            </w:tcMar>
          </w:tcPr>
          <w:p>
            <w:pPr>
              <w:spacing w:after="0"/>
            </w:pPr>
            <w:r>
              <w:rPr>
                <w:sz w:val="19"/>
              </w:rPr>
              <w:t>Academic Unified Review, Observation, Rating, and Assessment (AURORA)</w:t>
            </w:r>
          </w:p>
        </w:tc>
      </w:tr>
      <w:tr>
        <w:tc>
          <w:tcPr>
            <w:tcW w:type="dxa" w:w="3168"/>
            <w:shd w:fill="F8FAFC"/>
            <w:tcMar>
              <w:top w:w="60" w:type="dxa"/>
              <w:bottom w:w="60" w:type="dxa"/>
              <w:left w:w="80" w:type="dxa"/>
              <w:right w:w="80" w:type="dxa"/>
            </w:tcMar>
          </w:tcPr>
          <w:p>
            <w:pPr>
              <w:spacing w:after="0"/>
            </w:pPr>
            <w:r>
              <w:rPr>
                <w:b/>
                <w:sz w:val="19"/>
              </w:rPr>
              <w:t>Institutional Scope:</w:t>
            </w:r>
          </w:p>
        </w:tc>
        <w:tc>
          <w:tcPr>
            <w:tcW w:type="dxa" w:w="6192"/>
            <w:shd w:fill="FFFFFF"/>
            <w:tcMar>
              <w:top w:w="60" w:type="dxa"/>
              <w:bottom w:w="60" w:type="dxa"/>
              <w:left w:w="80" w:type="dxa"/>
              <w:right w:w="80" w:type="dxa"/>
            </w:tcMar>
          </w:tcPr>
          <w:p>
            <w:pPr>
              <w:spacing w:after="0"/>
            </w:pPr>
            <w:r>
              <w:rPr>
                <w:sz w:val="19"/>
              </w:rPr>
              <w:t>Partido State University – Goa Campus (CECS, COE, COB, CAH, COS)</w:t>
            </w:r>
          </w:p>
        </w:tc>
      </w:tr>
      <w:tr>
        <w:tc>
          <w:tcPr>
            <w:tcW w:type="dxa" w:w="3168"/>
            <w:shd w:fill="F8FAFC"/>
            <w:tcMar>
              <w:top w:w="60" w:type="dxa"/>
              <w:bottom w:w="60" w:type="dxa"/>
              <w:left w:w="80" w:type="dxa"/>
              <w:right w:w="80" w:type="dxa"/>
            </w:tcMar>
          </w:tcPr>
          <w:p>
            <w:pPr>
              <w:spacing w:after="0"/>
            </w:pPr>
            <w:r>
              <w:rPr>
                <w:b/>
                <w:sz w:val="19"/>
              </w:rPr>
              <w:t>Proponents:</w:t>
            </w:r>
          </w:p>
        </w:tc>
        <w:tc>
          <w:tcPr>
            <w:tcW w:type="dxa" w:w="6192"/>
            <w:shd w:fill="FFFFFF"/>
            <w:tcMar>
              <w:top w:w="60" w:type="dxa"/>
              <w:bottom w:w="60" w:type="dxa"/>
              <w:left w:w="80" w:type="dxa"/>
              <w:right w:w="80" w:type="dxa"/>
            </w:tcMar>
          </w:tcPr>
          <w:p>
            <w:pPr>
              <w:spacing w:after="0"/>
            </w:pPr>
            <w:r>
              <w:rPr>
                <w:sz w:val="19"/>
              </w:rPr>
              <w:t>Gene Vincent D. Mañago, et al. (BS Information Technology)</w:t>
            </w:r>
          </w:p>
        </w:tc>
      </w:tr>
      <w:tr>
        <w:tc>
          <w:tcPr>
            <w:tcW w:type="dxa" w:w="3168"/>
            <w:shd w:fill="F8FAFC"/>
            <w:tcMar>
              <w:top w:w="60" w:type="dxa"/>
              <w:bottom w:w="60" w:type="dxa"/>
              <w:left w:w="80" w:type="dxa"/>
              <w:right w:w="80" w:type="dxa"/>
            </w:tcMar>
          </w:tcPr>
          <w:p>
            <w:pPr>
              <w:spacing w:after="0"/>
            </w:pPr>
            <w:r>
              <w:rPr>
                <w:b/>
                <w:sz w:val="19"/>
              </w:rPr>
              <w:t>Capstone Target:</w:t>
            </w:r>
          </w:p>
        </w:tc>
        <w:tc>
          <w:tcPr>
            <w:tcW w:type="dxa" w:w="6192"/>
            <w:shd w:fill="FFFFFF"/>
            <w:tcMar>
              <w:top w:w="60" w:type="dxa"/>
              <w:bottom w:w="60" w:type="dxa"/>
              <w:left w:w="80" w:type="dxa"/>
              <w:right w:w="80" w:type="dxa"/>
            </w:tcMar>
          </w:tcPr>
          <w:p>
            <w:pPr>
              <w:spacing w:after="0"/>
            </w:pPr>
            <w:r>
              <w:rPr>
                <w:sz w:val="19"/>
              </w:rPr>
              <w:t>Undergraduate Capstone Defense Panel Presentation (September 2026)</w:t>
            </w:r>
          </w:p>
        </w:tc>
      </w:tr>
    </w:tbl>
    <w:p>
      <w:pPr>
        <w:spacing w:before="160" w:after="80"/>
      </w:pPr>
    </w:p>
    <w:p>
      <w:pPr>
        <w:spacing w:line="276" w:lineRule="auto" w:after="200"/>
        <w:ind w:firstLine="720"/>
        <w:jc w:val="both"/>
      </w:pPr>
      <w:r>
        <w:t>This document provides a complete, granular, file-by-file technical summary of the entire AURORA software repository (aurora-parsu). Developed for Partido State University – Goa Campus, AURORA is a full-stack academic defense management platform engineered using Next.js 15 (App Router, Server Actions, and React Server Components), TypeScript 5, and Supabase PostgreSQL with strict Row-Level Security (RLS). This dossier documents every server action, review workspace component, application route, dashboard module, and database migration to serve as an authoritative technical reference during the capstone defense panel.</w:t>
      </w:r>
    </w:p>
    <w:p>
      <w:pPr>
        <w:keepNext/>
        <w:spacing w:before="320" w:after="40"/>
      </w:pPr>
      <w:r>
        <w:rPr>
          <w:rFonts w:ascii="Times New Roman" w:hAnsi="Times New Roman"/>
          <w:b/>
          <w:color w:val="002060"/>
          <w:sz w:val="26"/>
        </w:rPr>
        <w:t>1. Core Business Logic &amp; Server Actions (src/lib/)</w:t>
      </w:r>
    </w:p>
    <w:p>
      <w:pPr>
        <w:keepNext/>
        <w:spacing w:before="0" w:after="160"/>
      </w:pPr>
      <w:r>
        <w:rPr>
          <w:rFonts w:ascii="Times New Roman" w:hAnsi="Times New Roman"/>
          <w:i/>
          <w:color w:val="64748B"/>
          <w:sz w:val="19"/>
        </w:rPr>
        <w:t>Authoritative server-side operations executing validation, cryptographic hashing, and state transitions.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2592"/>
            <w:shd w:fill="002060"/>
            <w:tcMar>
              <w:top w:w="100" w:type="dxa"/>
              <w:bottom w:w="100" w:type="dxa"/>
              <w:left w:w="100" w:type="dxa"/>
              <w:right w:w="100" w:type="dxa"/>
            </w:tcMar>
          </w:tcPr>
          <w:p>
            <w:pPr>
              <w:spacing w:after="0"/>
              <w:jc w:val="left"/>
            </w:pPr>
            <w:r>
              <w:rPr>
                <w:rFonts w:ascii="Times New Roman" w:hAnsi="Times New Roman"/>
                <w:b/>
                <w:color w:val="FFFFFF"/>
                <w:sz w:val="19"/>
              </w:rPr>
              <w:t>File Path</w:t>
            </w:r>
          </w:p>
        </w:tc>
        <w:tc>
          <w:tcPr>
            <w:tcW w:type="dxa" w:w="1872"/>
            <w:shd w:fill="002060"/>
            <w:tcMar>
              <w:top w:w="100" w:type="dxa"/>
              <w:bottom w:w="100" w:type="dxa"/>
              <w:left w:w="100" w:type="dxa"/>
              <w:right w:w="100" w:type="dxa"/>
            </w:tcMar>
          </w:tcPr>
          <w:p>
            <w:pPr>
              <w:spacing w:after="0"/>
              <w:jc w:val="left"/>
            </w:pPr>
            <w:r>
              <w:rPr>
                <w:rFonts w:ascii="Times New Roman" w:hAnsi="Times New Roman"/>
                <w:b/>
                <w:color w:val="FFFFFF"/>
                <w:sz w:val="19"/>
              </w:rPr>
              <w:t>Module Name</w:t>
            </w:r>
          </w:p>
        </w:tc>
        <w:tc>
          <w:tcPr>
            <w:tcW w:type="dxa" w:w="2304"/>
            <w:shd w:fill="002060"/>
            <w:tcMar>
              <w:top w:w="100" w:type="dxa"/>
              <w:bottom w:w="100" w:type="dxa"/>
              <w:left w:w="100" w:type="dxa"/>
              <w:right w:w="100" w:type="dxa"/>
            </w:tcMar>
          </w:tcPr>
          <w:p>
            <w:pPr>
              <w:spacing w:after="0"/>
              <w:jc w:val="left"/>
            </w:pPr>
            <w:r>
              <w:rPr>
                <w:rFonts w:ascii="Times New Roman" w:hAnsi="Times New Roman"/>
                <w:b/>
                <w:color w:val="FFFFFF"/>
                <w:sz w:val="19"/>
              </w:rPr>
              <w:t>Exported Server Actions / Functions</w:t>
            </w:r>
          </w:p>
        </w:tc>
        <w:tc>
          <w:tcPr>
            <w:tcW w:type="dxa" w:w="2592"/>
            <w:shd w:fill="002060"/>
            <w:tcMar>
              <w:top w:w="100" w:type="dxa"/>
              <w:bottom w:w="100" w:type="dxa"/>
              <w:left w:w="100" w:type="dxa"/>
              <w:right w:w="100" w:type="dxa"/>
            </w:tcMar>
          </w:tcPr>
          <w:p>
            <w:pPr>
              <w:spacing w:after="0"/>
              <w:jc w:val="left"/>
            </w:pPr>
            <w:r>
              <w:rPr>
                <w:rFonts w:ascii="Times New Roman" w:hAnsi="Times New Roman"/>
                <w:b/>
                <w:color w:val="FFFFFF"/>
                <w:sz w:val="19"/>
              </w:rPr>
              <w:t>Architectural &amp; Defense Purpose</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src/lib/evaluations/actions.ts</w:t>
            </w:r>
          </w:p>
        </w:tc>
        <w:tc>
          <w:tcPr>
            <w:tcW w:type="dxa" w:w="1872"/>
            <w:shd w:fill="FFFFFF"/>
            <w:tcMar>
              <w:top w:w="70" w:type="dxa"/>
              <w:bottom w:w="70" w:type="dxa"/>
              <w:left w:w="90" w:type="dxa"/>
              <w:right w:w="90" w:type="dxa"/>
            </w:tcMar>
          </w:tcPr>
          <w:p>
            <w:pPr>
              <w:spacing w:after="0" w:line="276" w:lineRule="auto"/>
            </w:pPr>
            <w:r>
              <w:rPr>
                <w:rFonts w:ascii="Times New Roman" w:hAnsi="Times New Roman"/>
                <w:sz w:val="18"/>
              </w:rPr>
              <w:t>Evaluation &amp; Grading Engine</w:t>
            </w:r>
          </w:p>
        </w:tc>
        <w:tc>
          <w:tcPr>
            <w:tcW w:type="dxa" w:w="2304"/>
            <w:shd w:fill="FFFFFF"/>
            <w:tcMar>
              <w:top w:w="70" w:type="dxa"/>
              <w:bottom w:w="70" w:type="dxa"/>
              <w:left w:w="90" w:type="dxa"/>
              <w:right w:w="90" w:type="dxa"/>
            </w:tcMar>
          </w:tcPr>
          <w:p>
            <w:pPr>
              <w:spacing w:after="0" w:line="276" w:lineRule="auto"/>
            </w:pPr>
            <w:r>
              <w:rPr>
                <w:rFonts w:ascii="Times New Roman" w:hAnsi="Times New Roman"/>
                <w:sz w:val="18"/>
              </w:rPr>
              <w:t>signEvaluationAction, saveEvaluationDraftAction, createNewEvaluationVersionAction</w:t>
            </w:r>
          </w:p>
        </w:tc>
        <w:tc>
          <w:tcPr>
            <w:tcW w:type="dxa" w:w="2592"/>
            <w:shd w:fill="FFFFFF"/>
            <w:tcMar>
              <w:top w:w="70" w:type="dxa"/>
              <w:bottom w:w="70" w:type="dxa"/>
              <w:left w:w="90" w:type="dxa"/>
              <w:right w:w="90" w:type="dxa"/>
            </w:tcMar>
          </w:tcPr>
          <w:p>
            <w:pPr>
              <w:spacing w:after="0" w:line="276" w:lineRule="auto"/>
            </w:pPr>
            <w:r>
              <w:rPr>
                <w:rFonts w:ascii="Times New Roman" w:hAnsi="Times New Roman"/>
                <w:sz w:val="18"/>
              </w:rPr>
              <w:t>Manages scoring rubrics, calculates authoritative weighted scores, executes Step-Up Password Re-Authentication before signing under RA 8792, locks evaluations upon submission, and inserts audit logs.</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src/lib/signatures/actions.ts</w:t>
            </w:r>
          </w:p>
        </w:tc>
        <w:tc>
          <w:tcPr>
            <w:tcW w:type="dxa" w:w="1872"/>
            <w:shd w:fill="F8FAFC"/>
            <w:tcMar>
              <w:top w:w="70" w:type="dxa"/>
              <w:bottom w:w="70" w:type="dxa"/>
              <w:left w:w="90" w:type="dxa"/>
              <w:right w:w="90" w:type="dxa"/>
            </w:tcMar>
          </w:tcPr>
          <w:p>
            <w:pPr>
              <w:spacing w:after="0" w:line="276" w:lineRule="auto"/>
            </w:pPr>
            <w:r>
              <w:rPr>
                <w:rFonts w:ascii="Times New Roman" w:hAnsi="Times New Roman"/>
                <w:sz w:val="18"/>
              </w:rPr>
              <w:t>Cryptographic Signature Engine</w:t>
            </w:r>
          </w:p>
        </w:tc>
        <w:tc>
          <w:tcPr>
            <w:tcW w:type="dxa" w:w="2304"/>
            <w:shd w:fill="F8FAFC"/>
            <w:tcMar>
              <w:top w:w="70" w:type="dxa"/>
              <w:bottom w:w="70" w:type="dxa"/>
              <w:left w:w="90" w:type="dxa"/>
              <w:right w:w="90" w:type="dxa"/>
            </w:tcMar>
          </w:tcPr>
          <w:p>
            <w:pPr>
              <w:spacing w:after="0" w:line="276" w:lineRule="auto"/>
            </w:pPr>
            <w:r>
              <w:rPr>
                <w:rFonts w:ascii="Times New Roman" w:hAnsi="Times New Roman"/>
                <w:sz w:val="18"/>
              </w:rPr>
              <w:t>signEvaluationV2Action, saveSignatureProfileAction, getSignatureProfileAction</w:t>
            </w:r>
          </w:p>
        </w:tc>
        <w:tc>
          <w:tcPr>
            <w:tcW w:type="dxa" w:w="2592"/>
            <w:shd w:fill="F8FAFC"/>
            <w:tcMar>
              <w:top w:w="70" w:type="dxa"/>
              <w:bottom w:w="70" w:type="dxa"/>
              <w:left w:w="90" w:type="dxa"/>
              <w:right w:w="90" w:type="dxa"/>
            </w:tcMar>
          </w:tcPr>
          <w:p>
            <w:pPr>
              <w:spacing w:after="0" w:line="276" w:lineRule="auto"/>
            </w:pPr>
            <w:r>
              <w:rPr>
                <w:rFonts w:ascii="Times New Roman" w:hAnsi="Times New Roman"/>
                <w:sz w:val="18"/>
              </w:rPr>
              <w:t>Constructs deterministic JSON signing payloads, computes SHA-256 hashes, generates certificate serials (AURORA-YYYY-XXXXX), and uploads signature image snapshots to Supabase Storage.</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src/lib/scheduler/actions.ts</w:t>
            </w:r>
          </w:p>
        </w:tc>
        <w:tc>
          <w:tcPr>
            <w:tcW w:type="dxa" w:w="1872"/>
            <w:shd w:fill="FFFFFF"/>
            <w:tcMar>
              <w:top w:w="70" w:type="dxa"/>
              <w:bottom w:w="70" w:type="dxa"/>
              <w:left w:w="90" w:type="dxa"/>
              <w:right w:w="90" w:type="dxa"/>
            </w:tcMar>
          </w:tcPr>
          <w:p>
            <w:pPr>
              <w:spacing w:after="0" w:line="276" w:lineRule="auto"/>
            </w:pPr>
            <w:r>
              <w:rPr>
                <w:rFonts w:ascii="Times New Roman" w:hAnsi="Times New Roman"/>
                <w:sz w:val="18"/>
              </w:rPr>
              <w:t>Defense Scheduling &amp; Allocation</w:t>
            </w:r>
          </w:p>
        </w:tc>
        <w:tc>
          <w:tcPr>
            <w:tcW w:type="dxa" w:w="2304"/>
            <w:shd w:fill="FFFFFF"/>
            <w:tcMar>
              <w:top w:w="70" w:type="dxa"/>
              <w:bottom w:w="70" w:type="dxa"/>
              <w:left w:w="90" w:type="dxa"/>
              <w:right w:w="90" w:type="dxa"/>
            </w:tcMar>
          </w:tcPr>
          <w:p>
            <w:pPr>
              <w:spacing w:after="0" w:line="276" w:lineRule="auto"/>
            </w:pPr>
            <w:r>
              <w:rPr>
                <w:rFonts w:ascii="Times New Roman" w:hAnsi="Times New Roman"/>
                <w:sz w:val="18"/>
              </w:rPr>
              <w:t>scheduleDefenseAction, updateDefenseScheduleAction, getEligibleProjectsForDefenseAction</w:t>
            </w:r>
          </w:p>
        </w:tc>
        <w:tc>
          <w:tcPr>
            <w:tcW w:type="dxa" w:w="2592"/>
            <w:shd w:fill="FFFFFF"/>
            <w:tcMar>
              <w:top w:w="70" w:type="dxa"/>
              <w:bottom w:w="70" w:type="dxa"/>
              <w:left w:w="90" w:type="dxa"/>
              <w:right w:w="90" w:type="dxa"/>
            </w:tcMar>
          </w:tcPr>
          <w:p>
            <w:pPr>
              <w:spacing w:after="0" w:line="276" w:lineRule="auto"/>
            </w:pPr>
            <w:r>
              <w:rPr>
                <w:rFonts w:ascii="Times New Roman" w:hAnsi="Times New Roman"/>
                <w:sz w:val="18"/>
              </w:rPr>
              <w:t>Schedules defense time slots and venues, assigns defense committee members, and enforces the Conflict of Interest (COI) guard preventing advisers from evaluating their own advisees.</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src/lib/annotations/actions.ts</w:t>
            </w:r>
          </w:p>
        </w:tc>
        <w:tc>
          <w:tcPr>
            <w:tcW w:type="dxa" w:w="1872"/>
            <w:shd w:fill="F8FAFC"/>
            <w:tcMar>
              <w:top w:w="70" w:type="dxa"/>
              <w:bottom w:w="70" w:type="dxa"/>
              <w:left w:w="90" w:type="dxa"/>
              <w:right w:w="90" w:type="dxa"/>
            </w:tcMar>
          </w:tcPr>
          <w:p>
            <w:pPr>
              <w:spacing w:after="0" w:line="276" w:lineRule="auto"/>
            </w:pPr>
            <w:r>
              <w:rPr>
                <w:rFonts w:ascii="Times New Roman" w:hAnsi="Times New Roman"/>
                <w:sz w:val="18"/>
              </w:rPr>
              <w:t>PDF Inline Annotation Engine</w:t>
            </w:r>
          </w:p>
        </w:tc>
        <w:tc>
          <w:tcPr>
            <w:tcW w:type="dxa" w:w="2304"/>
            <w:shd w:fill="F8FAFC"/>
            <w:tcMar>
              <w:top w:w="70" w:type="dxa"/>
              <w:bottom w:w="70" w:type="dxa"/>
              <w:left w:w="90" w:type="dxa"/>
              <w:right w:w="90" w:type="dxa"/>
            </w:tcMar>
          </w:tcPr>
          <w:p>
            <w:pPr>
              <w:spacing w:after="0" w:line="276" w:lineRule="auto"/>
            </w:pPr>
            <w:r>
              <w:rPr>
                <w:rFonts w:ascii="Times New Roman" w:hAnsi="Times New Roman"/>
                <w:sz w:val="18"/>
              </w:rPr>
              <w:t>createAnnotationAction, updateAnnotationStatusAction, createAnnotationReplyAction</w:t>
            </w:r>
          </w:p>
        </w:tc>
        <w:tc>
          <w:tcPr>
            <w:tcW w:type="dxa" w:w="2592"/>
            <w:shd w:fill="F8FAFC"/>
            <w:tcMar>
              <w:top w:w="70" w:type="dxa"/>
              <w:bottom w:w="70" w:type="dxa"/>
              <w:left w:w="90" w:type="dxa"/>
              <w:right w:w="90" w:type="dxa"/>
            </w:tcMar>
          </w:tcPr>
          <w:p>
            <w:pPr>
              <w:spacing w:after="0" w:line="276" w:lineRule="auto"/>
            </w:pPr>
            <w:r>
              <w:rPr>
                <w:rFonts w:ascii="Times New Roman" w:hAnsi="Times New Roman"/>
                <w:sz w:val="18"/>
              </w:rPr>
              <w:t>Coordinates inline text annotations, severity levels (minor/major/critical), status lifecycles (open/addressed/resolved), threaded discussions, and denies student annotation creation.</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src/lib/workflow/actions.ts</w:t>
            </w:r>
          </w:p>
        </w:tc>
        <w:tc>
          <w:tcPr>
            <w:tcW w:type="dxa" w:w="1872"/>
            <w:shd w:fill="FFFFFF"/>
            <w:tcMar>
              <w:top w:w="70" w:type="dxa"/>
              <w:bottom w:w="70" w:type="dxa"/>
              <w:left w:w="90" w:type="dxa"/>
              <w:right w:w="90" w:type="dxa"/>
            </w:tcMar>
          </w:tcPr>
          <w:p>
            <w:pPr>
              <w:spacing w:after="0" w:line="276" w:lineRule="auto"/>
            </w:pPr>
            <w:r>
              <w:rPr>
                <w:rFonts w:ascii="Times New Roman" w:hAnsi="Times New Roman"/>
                <w:sz w:val="18"/>
              </w:rPr>
              <w:t>Workflow State &amp; Adviser Gate</w:t>
            </w:r>
          </w:p>
        </w:tc>
        <w:tc>
          <w:tcPr>
            <w:tcW w:type="dxa" w:w="2304"/>
            <w:shd w:fill="FFFFFF"/>
            <w:tcMar>
              <w:top w:w="70" w:type="dxa"/>
              <w:bottom w:w="70" w:type="dxa"/>
              <w:left w:w="90" w:type="dxa"/>
              <w:right w:w="90" w:type="dxa"/>
            </w:tcMar>
          </w:tcPr>
          <w:p>
            <w:pPr>
              <w:spacing w:after="0" w:line="276" w:lineRule="auto"/>
            </w:pPr>
            <w:r>
              <w:rPr>
                <w:rFonts w:ascii="Times New Roman" w:hAnsi="Times New Roman"/>
                <w:sz w:val="18"/>
              </w:rPr>
              <w:t>adviserApproveDocumentAction, transitionProjectStageAction</w:t>
            </w:r>
          </w:p>
        </w:tc>
        <w:tc>
          <w:tcPr>
            <w:tcW w:type="dxa" w:w="2592"/>
            <w:shd w:fill="FFFFFF"/>
            <w:tcMar>
              <w:top w:w="70" w:type="dxa"/>
              <w:bottom w:w="70" w:type="dxa"/>
              <w:left w:w="90" w:type="dxa"/>
              <w:right w:w="90" w:type="dxa"/>
            </w:tcMar>
          </w:tcPr>
          <w:p>
            <w:pPr>
              <w:spacing w:after="0" w:line="276" w:lineRule="auto"/>
            </w:pPr>
            <w:r>
              <w:rPr>
                <w:rFonts w:ascii="Times New Roman" w:hAnsi="Times New Roman"/>
                <w:sz w:val="18"/>
              </w:rPr>
              <w:t>Enforces the Adviser Endorsement Gate ('pending' -&gt; 'approved' / 'rejected'), unlocks defense eligibility upon adviser sign-off, and handles stage milestone progression.</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src/lib/workflow/history.ts</w:t>
            </w:r>
          </w:p>
        </w:tc>
        <w:tc>
          <w:tcPr>
            <w:tcW w:type="dxa" w:w="1872"/>
            <w:shd w:fill="F8FAFC"/>
            <w:tcMar>
              <w:top w:w="70" w:type="dxa"/>
              <w:bottom w:w="70" w:type="dxa"/>
              <w:left w:w="90" w:type="dxa"/>
              <w:right w:w="90" w:type="dxa"/>
            </w:tcMar>
          </w:tcPr>
          <w:p>
            <w:pPr>
              <w:spacing w:after="0" w:line="276" w:lineRule="auto"/>
            </w:pPr>
            <w:r>
              <w:rPr>
                <w:rFonts w:ascii="Times New Roman" w:hAnsi="Times New Roman"/>
                <w:sz w:val="18"/>
              </w:rPr>
              <w:t>Workflow Audit Ledger</w:t>
            </w:r>
          </w:p>
        </w:tc>
        <w:tc>
          <w:tcPr>
            <w:tcW w:type="dxa" w:w="2304"/>
            <w:shd w:fill="F8FAFC"/>
            <w:tcMar>
              <w:top w:w="70" w:type="dxa"/>
              <w:bottom w:w="70" w:type="dxa"/>
              <w:left w:w="90" w:type="dxa"/>
              <w:right w:w="90" w:type="dxa"/>
            </w:tcMar>
          </w:tcPr>
          <w:p>
            <w:pPr>
              <w:spacing w:after="0" w:line="276" w:lineRule="auto"/>
            </w:pPr>
            <w:r>
              <w:rPr>
                <w:rFonts w:ascii="Times New Roman" w:hAnsi="Times New Roman"/>
                <w:sz w:val="18"/>
              </w:rPr>
              <w:t>recordWorkflowTransition</w:t>
            </w:r>
          </w:p>
        </w:tc>
        <w:tc>
          <w:tcPr>
            <w:tcW w:type="dxa" w:w="2592"/>
            <w:shd w:fill="F8FAFC"/>
            <w:tcMar>
              <w:top w:w="70" w:type="dxa"/>
              <w:bottom w:w="70" w:type="dxa"/>
              <w:left w:w="90" w:type="dxa"/>
              <w:right w:w="90" w:type="dxa"/>
            </w:tcMar>
          </w:tcPr>
          <w:p>
            <w:pPr>
              <w:spacing w:after="0" w:line="276" w:lineRule="auto"/>
            </w:pPr>
            <w:r>
              <w:rPr>
                <w:rFonts w:ascii="Times New Roman" w:hAnsi="Times New Roman"/>
                <w:sz w:val="18"/>
              </w:rPr>
              <w:t>Inserts immutable records into the workflow_transitions table, tracking previous status, new status, performing actor, role, and execution rationale.</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src/lib/notifications/emit.ts</w:t>
            </w:r>
          </w:p>
        </w:tc>
        <w:tc>
          <w:tcPr>
            <w:tcW w:type="dxa" w:w="1872"/>
            <w:shd w:fill="FFFFFF"/>
            <w:tcMar>
              <w:top w:w="70" w:type="dxa"/>
              <w:bottom w:w="70" w:type="dxa"/>
              <w:left w:w="90" w:type="dxa"/>
              <w:right w:w="90" w:type="dxa"/>
            </w:tcMar>
          </w:tcPr>
          <w:p>
            <w:pPr>
              <w:spacing w:after="0" w:line="276" w:lineRule="auto"/>
            </w:pPr>
            <w:r>
              <w:rPr>
                <w:rFonts w:ascii="Times New Roman" w:hAnsi="Times New Roman"/>
                <w:sz w:val="18"/>
              </w:rPr>
              <w:t>Notification Dispatcher</w:t>
            </w:r>
          </w:p>
        </w:tc>
        <w:tc>
          <w:tcPr>
            <w:tcW w:type="dxa" w:w="2304"/>
            <w:shd w:fill="FFFFFF"/>
            <w:tcMar>
              <w:top w:w="70" w:type="dxa"/>
              <w:bottom w:w="70" w:type="dxa"/>
              <w:left w:w="90" w:type="dxa"/>
              <w:right w:w="90" w:type="dxa"/>
            </w:tcMar>
          </w:tcPr>
          <w:p>
            <w:pPr>
              <w:spacing w:after="0" w:line="276" w:lineRule="auto"/>
            </w:pPr>
            <w:r>
              <w:rPr>
                <w:rFonts w:ascii="Times New Roman" w:hAnsi="Times New Roman"/>
                <w:sz w:val="18"/>
              </w:rPr>
              <w:t>emitNotification</w:t>
            </w:r>
          </w:p>
        </w:tc>
        <w:tc>
          <w:tcPr>
            <w:tcW w:type="dxa" w:w="2592"/>
            <w:shd w:fill="FFFFFF"/>
            <w:tcMar>
              <w:top w:w="70" w:type="dxa"/>
              <w:bottom w:w="70" w:type="dxa"/>
              <w:left w:w="90" w:type="dxa"/>
              <w:right w:w="90" w:type="dxa"/>
            </w:tcMar>
          </w:tcPr>
          <w:p>
            <w:pPr>
              <w:spacing w:after="0" w:line="276" w:lineRule="auto"/>
            </w:pPr>
            <w:r>
              <w:rPr>
                <w:rFonts w:ascii="Times New Roman" w:hAnsi="Times New Roman"/>
                <w:sz w:val="18"/>
              </w:rPr>
              <w:t>Centralized real-time notification engine emitting alerts for scheduled defenses, document returns, verdict releases, and signature completions.</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src/lib/rubric/scoring.ts</w:t>
            </w:r>
          </w:p>
        </w:tc>
        <w:tc>
          <w:tcPr>
            <w:tcW w:type="dxa" w:w="1872"/>
            <w:shd w:fill="F8FAFC"/>
            <w:tcMar>
              <w:top w:w="70" w:type="dxa"/>
              <w:bottom w:w="70" w:type="dxa"/>
              <w:left w:w="90" w:type="dxa"/>
              <w:right w:w="90" w:type="dxa"/>
            </w:tcMar>
          </w:tcPr>
          <w:p>
            <w:pPr>
              <w:spacing w:after="0" w:line="276" w:lineRule="auto"/>
            </w:pPr>
            <w:r>
              <w:rPr>
                <w:rFonts w:ascii="Times New Roman" w:hAnsi="Times New Roman"/>
                <w:sz w:val="18"/>
              </w:rPr>
              <w:t>Mathematical Scoring Logic</w:t>
            </w:r>
          </w:p>
        </w:tc>
        <w:tc>
          <w:tcPr>
            <w:tcW w:type="dxa" w:w="2304"/>
            <w:shd w:fill="F8FAFC"/>
            <w:tcMar>
              <w:top w:w="70" w:type="dxa"/>
              <w:bottom w:w="70" w:type="dxa"/>
              <w:left w:w="90" w:type="dxa"/>
              <w:right w:w="90" w:type="dxa"/>
            </w:tcMar>
          </w:tcPr>
          <w:p>
            <w:pPr>
              <w:spacing w:after="0" w:line="276" w:lineRule="auto"/>
            </w:pPr>
            <w:r>
              <w:rPr>
                <w:rFonts w:ascii="Times New Roman" w:hAnsi="Times New Roman"/>
                <w:sz w:val="18"/>
              </w:rPr>
              <w:t>computeWeightedScore</w:t>
            </w:r>
          </w:p>
        </w:tc>
        <w:tc>
          <w:tcPr>
            <w:tcW w:type="dxa" w:w="2592"/>
            <w:shd w:fill="F8FAFC"/>
            <w:tcMar>
              <w:top w:w="70" w:type="dxa"/>
              <w:bottom w:w="70" w:type="dxa"/>
              <w:left w:w="90" w:type="dxa"/>
              <w:right w:w="90" w:type="dxa"/>
            </w:tcMar>
          </w:tcPr>
          <w:p>
            <w:pPr>
              <w:spacing w:after="0" w:line="276" w:lineRule="auto"/>
            </w:pPr>
            <w:r>
              <w:rPr>
                <w:rFonts w:ascii="Times New Roman" w:hAnsi="Times New Roman"/>
                <w:sz w:val="18"/>
              </w:rPr>
              <w:t>Calculates weighted composite scores across dynamic criteria arrays: Total = Sum(Score_i * Weight_i) / Sum(Weights), verifying passing and honors thresholds.</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src/lib/rubrics/actions.ts</w:t>
            </w:r>
          </w:p>
        </w:tc>
        <w:tc>
          <w:tcPr>
            <w:tcW w:type="dxa" w:w="1872"/>
            <w:shd w:fill="FFFFFF"/>
            <w:tcMar>
              <w:top w:w="70" w:type="dxa"/>
              <w:bottom w:w="70" w:type="dxa"/>
              <w:left w:w="90" w:type="dxa"/>
              <w:right w:w="90" w:type="dxa"/>
            </w:tcMar>
          </w:tcPr>
          <w:p>
            <w:pPr>
              <w:spacing w:after="0" w:line="276" w:lineRule="auto"/>
            </w:pPr>
            <w:r>
              <w:rPr>
                <w:rFonts w:ascii="Times New Roman" w:hAnsi="Times New Roman"/>
                <w:sz w:val="18"/>
              </w:rPr>
              <w:t>Rubric Template Management</w:t>
            </w:r>
          </w:p>
        </w:tc>
        <w:tc>
          <w:tcPr>
            <w:tcW w:type="dxa" w:w="2304"/>
            <w:shd w:fill="FFFFFF"/>
            <w:tcMar>
              <w:top w:w="70" w:type="dxa"/>
              <w:bottom w:w="70" w:type="dxa"/>
              <w:left w:w="90" w:type="dxa"/>
              <w:right w:w="90" w:type="dxa"/>
            </w:tcMar>
          </w:tcPr>
          <w:p>
            <w:pPr>
              <w:spacing w:after="0" w:line="276" w:lineRule="auto"/>
            </w:pPr>
            <w:r>
              <w:rPr>
                <w:rFonts w:ascii="Times New Roman" w:hAnsi="Times New Roman"/>
                <w:sz w:val="18"/>
              </w:rPr>
              <w:t>createRubricTemplateAction, updateRubricTemplateAction</w:t>
            </w:r>
          </w:p>
        </w:tc>
        <w:tc>
          <w:tcPr>
            <w:tcW w:type="dxa" w:w="2592"/>
            <w:shd w:fill="FFFFFF"/>
            <w:tcMar>
              <w:top w:w="70" w:type="dxa"/>
              <w:bottom w:w="70" w:type="dxa"/>
              <w:left w:w="90" w:type="dxa"/>
              <w:right w:w="90" w:type="dxa"/>
            </w:tcMar>
          </w:tcPr>
          <w:p>
            <w:pPr>
              <w:spacing w:after="0" w:line="276" w:lineRule="auto"/>
            </w:pPr>
            <w:r>
              <w:rPr>
                <w:rFonts w:ascii="Times New Roman" w:hAnsi="Times New Roman"/>
                <w:sz w:val="18"/>
              </w:rPr>
              <w:t>Allows administrators and coordinators to configure criteria descriptions, percentage weights, passing benchmarks, and stage bindings.</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src/lib/projects/actions.ts</w:t>
            </w:r>
          </w:p>
        </w:tc>
        <w:tc>
          <w:tcPr>
            <w:tcW w:type="dxa" w:w="1872"/>
            <w:shd w:fill="F8FAFC"/>
            <w:tcMar>
              <w:top w:w="70" w:type="dxa"/>
              <w:bottom w:w="70" w:type="dxa"/>
              <w:left w:w="90" w:type="dxa"/>
              <w:right w:w="90" w:type="dxa"/>
            </w:tcMar>
          </w:tcPr>
          <w:p>
            <w:pPr>
              <w:spacing w:after="0" w:line="276" w:lineRule="auto"/>
            </w:pPr>
            <w:r>
              <w:rPr>
                <w:rFonts w:ascii="Times New Roman" w:hAnsi="Times New Roman"/>
                <w:sz w:val="18"/>
              </w:rPr>
              <w:t>Project Lifecycle Actions</w:t>
            </w:r>
          </w:p>
        </w:tc>
        <w:tc>
          <w:tcPr>
            <w:tcW w:type="dxa" w:w="2304"/>
            <w:shd w:fill="F8FAFC"/>
            <w:tcMar>
              <w:top w:w="70" w:type="dxa"/>
              <w:bottom w:w="70" w:type="dxa"/>
              <w:left w:w="90" w:type="dxa"/>
              <w:right w:w="90" w:type="dxa"/>
            </w:tcMar>
          </w:tcPr>
          <w:p>
            <w:pPr>
              <w:spacing w:after="0" w:line="276" w:lineRule="auto"/>
            </w:pPr>
            <w:r>
              <w:rPr>
                <w:rFonts w:ascii="Times New Roman" w:hAnsi="Times New Roman"/>
                <w:sz w:val="18"/>
              </w:rPr>
              <w:t>createProjectAction, joinProjectAction, updateProjectAction</w:t>
            </w:r>
          </w:p>
        </w:tc>
        <w:tc>
          <w:tcPr>
            <w:tcW w:type="dxa" w:w="2592"/>
            <w:shd w:fill="F8FAFC"/>
            <w:tcMar>
              <w:top w:w="70" w:type="dxa"/>
              <w:bottom w:w="70" w:type="dxa"/>
              <w:left w:w="90" w:type="dxa"/>
              <w:right w:w="90" w:type="dxa"/>
            </w:tcMar>
          </w:tcPr>
          <w:p>
            <w:pPr>
              <w:spacing w:after="0" w:line="276" w:lineRule="auto"/>
            </w:pPr>
            <w:r>
              <w:rPr>
                <w:rFonts w:ascii="Times New Roman" w:hAnsi="Times New Roman"/>
                <w:sz w:val="18"/>
              </w:rPr>
              <w:t>Manages research project creation, student invite codes, team membership assignments, and project status archival.</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src/lib/projects/queries.ts</w:t>
            </w:r>
          </w:p>
        </w:tc>
        <w:tc>
          <w:tcPr>
            <w:tcW w:type="dxa" w:w="1872"/>
            <w:shd w:fill="FFFFFF"/>
            <w:tcMar>
              <w:top w:w="70" w:type="dxa"/>
              <w:bottom w:w="70" w:type="dxa"/>
              <w:left w:w="90" w:type="dxa"/>
              <w:right w:w="90" w:type="dxa"/>
            </w:tcMar>
          </w:tcPr>
          <w:p>
            <w:pPr>
              <w:spacing w:after="0" w:line="276" w:lineRule="auto"/>
            </w:pPr>
            <w:r>
              <w:rPr>
                <w:rFonts w:ascii="Times New Roman" w:hAnsi="Times New Roman"/>
                <w:sz w:val="18"/>
              </w:rPr>
              <w:t>Project Data Queries</w:t>
            </w:r>
          </w:p>
        </w:tc>
        <w:tc>
          <w:tcPr>
            <w:tcW w:type="dxa" w:w="2304"/>
            <w:shd w:fill="FFFFFF"/>
            <w:tcMar>
              <w:top w:w="70" w:type="dxa"/>
              <w:bottom w:w="70" w:type="dxa"/>
              <w:left w:w="90" w:type="dxa"/>
              <w:right w:w="90" w:type="dxa"/>
            </w:tcMar>
          </w:tcPr>
          <w:p>
            <w:pPr>
              <w:spacing w:after="0" w:line="276" w:lineRule="auto"/>
            </w:pPr>
            <w:r>
              <w:rPr>
                <w:rFonts w:ascii="Times New Roman" w:hAnsi="Times New Roman"/>
                <w:sz w:val="18"/>
              </w:rPr>
              <w:t>getProjectWithMembers, getProjectByStudentId</w:t>
            </w:r>
          </w:p>
        </w:tc>
        <w:tc>
          <w:tcPr>
            <w:tcW w:type="dxa" w:w="2592"/>
            <w:shd w:fill="FFFFFF"/>
            <w:tcMar>
              <w:top w:w="70" w:type="dxa"/>
              <w:bottom w:w="70" w:type="dxa"/>
              <w:left w:w="90" w:type="dxa"/>
              <w:right w:w="90" w:type="dxa"/>
            </w:tcMar>
          </w:tcPr>
          <w:p>
            <w:pPr>
              <w:spacing w:after="0" w:line="276" w:lineRule="auto"/>
            </w:pPr>
            <w:r>
              <w:rPr>
                <w:rFonts w:ascii="Times New Roman" w:hAnsi="Times New Roman"/>
                <w:sz w:val="18"/>
              </w:rPr>
              <w:t>Performs high-performance database reads fetching project titles, active stages, team members, and adviser profiles.</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src/lib/analytics/queries.ts</w:t>
            </w:r>
          </w:p>
        </w:tc>
        <w:tc>
          <w:tcPr>
            <w:tcW w:type="dxa" w:w="1872"/>
            <w:shd w:fill="F8FAFC"/>
            <w:tcMar>
              <w:top w:w="70" w:type="dxa"/>
              <w:bottom w:w="70" w:type="dxa"/>
              <w:left w:w="90" w:type="dxa"/>
              <w:right w:w="90" w:type="dxa"/>
            </w:tcMar>
          </w:tcPr>
          <w:p>
            <w:pPr>
              <w:spacing w:after="0" w:line="276" w:lineRule="auto"/>
            </w:pPr>
            <w:r>
              <w:rPr>
                <w:rFonts w:ascii="Times New Roman" w:hAnsi="Times New Roman"/>
                <w:sz w:val="18"/>
              </w:rPr>
              <w:t>Institutional Defense Analytics</w:t>
            </w:r>
          </w:p>
        </w:tc>
        <w:tc>
          <w:tcPr>
            <w:tcW w:type="dxa" w:w="2304"/>
            <w:shd w:fill="F8FAFC"/>
            <w:tcMar>
              <w:top w:w="70" w:type="dxa"/>
              <w:bottom w:w="70" w:type="dxa"/>
              <w:left w:w="90" w:type="dxa"/>
              <w:right w:w="90" w:type="dxa"/>
            </w:tcMar>
          </w:tcPr>
          <w:p>
            <w:pPr>
              <w:spacing w:after="0" w:line="276" w:lineRule="auto"/>
            </w:pPr>
            <w:r>
              <w:rPr>
                <w:rFonts w:ascii="Times New Roman" w:hAnsi="Times New Roman"/>
                <w:sz w:val="18"/>
              </w:rPr>
              <w:t>getDefenseAnalyticsSummary, getDepartmentalKpiMetrics</w:t>
            </w:r>
          </w:p>
        </w:tc>
        <w:tc>
          <w:tcPr>
            <w:tcW w:type="dxa" w:w="2592"/>
            <w:shd w:fill="F8FAFC"/>
            <w:tcMar>
              <w:top w:w="70" w:type="dxa"/>
              <w:bottom w:w="70" w:type="dxa"/>
              <w:left w:w="90" w:type="dxa"/>
              <w:right w:w="90" w:type="dxa"/>
            </w:tcMar>
          </w:tcPr>
          <w:p>
            <w:pPr>
              <w:spacing w:after="0" w:line="276" w:lineRule="auto"/>
            </w:pPr>
            <w:r>
              <w:rPr>
                <w:rFonts w:ascii="Times New Roman" w:hAnsi="Times New Roman"/>
                <w:sz w:val="18"/>
              </w:rPr>
              <w:t>Aggregates defense passing rates, revision turnaround durations, grade distributions, and stage bottlenecks across the five colleges.</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src/lib/auth/permissions.ts</w:t>
            </w:r>
          </w:p>
        </w:tc>
        <w:tc>
          <w:tcPr>
            <w:tcW w:type="dxa" w:w="1872"/>
            <w:shd w:fill="FFFFFF"/>
            <w:tcMar>
              <w:top w:w="70" w:type="dxa"/>
              <w:bottom w:w="70" w:type="dxa"/>
              <w:left w:w="90" w:type="dxa"/>
              <w:right w:w="90" w:type="dxa"/>
            </w:tcMar>
          </w:tcPr>
          <w:p>
            <w:pPr>
              <w:spacing w:after="0" w:line="276" w:lineRule="auto"/>
            </w:pPr>
            <w:r>
              <w:rPr>
                <w:rFonts w:ascii="Times New Roman" w:hAnsi="Times New Roman"/>
                <w:sz w:val="18"/>
              </w:rPr>
              <w:t>NIST RBAC Authorization</w:t>
            </w:r>
          </w:p>
        </w:tc>
        <w:tc>
          <w:tcPr>
            <w:tcW w:type="dxa" w:w="2304"/>
            <w:shd w:fill="FFFFFF"/>
            <w:tcMar>
              <w:top w:w="70" w:type="dxa"/>
              <w:bottom w:w="70" w:type="dxa"/>
              <w:left w:w="90" w:type="dxa"/>
              <w:right w:w="90" w:type="dxa"/>
            </w:tcMar>
          </w:tcPr>
          <w:p>
            <w:pPr>
              <w:spacing w:after="0" w:line="276" w:lineRule="auto"/>
            </w:pPr>
            <w:r>
              <w:rPr>
                <w:rFonts w:ascii="Times New Roman" w:hAnsi="Times New Roman"/>
                <w:sz w:val="18"/>
              </w:rPr>
              <w:t>hasPermission, getRolePermissions</w:t>
            </w:r>
          </w:p>
        </w:tc>
        <w:tc>
          <w:tcPr>
            <w:tcW w:type="dxa" w:w="2592"/>
            <w:shd w:fill="FFFFFF"/>
            <w:tcMar>
              <w:top w:w="70" w:type="dxa"/>
              <w:bottom w:w="70" w:type="dxa"/>
              <w:left w:w="90" w:type="dxa"/>
              <w:right w:w="90" w:type="dxa"/>
            </w:tcMar>
          </w:tcPr>
          <w:p>
            <w:pPr>
              <w:spacing w:after="0" w:line="276" w:lineRule="auto"/>
            </w:pPr>
            <w:r>
              <w:rPr>
                <w:rFonts w:ascii="Times New Roman" w:hAnsi="Times New Roman"/>
                <w:sz w:val="18"/>
              </w:rPr>
              <w:t>Defines granular permission matrices mapped to the 6 primary roles (Student, Adviser, Panelist, Coordinator, Dean, Admin).</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src/lib/supabase/server.ts</w:t>
            </w:r>
          </w:p>
        </w:tc>
        <w:tc>
          <w:tcPr>
            <w:tcW w:type="dxa" w:w="1872"/>
            <w:shd w:fill="F8FAFC"/>
            <w:tcMar>
              <w:top w:w="70" w:type="dxa"/>
              <w:bottom w:w="70" w:type="dxa"/>
              <w:left w:w="90" w:type="dxa"/>
              <w:right w:w="90" w:type="dxa"/>
            </w:tcMar>
          </w:tcPr>
          <w:p>
            <w:pPr>
              <w:spacing w:after="0" w:line="276" w:lineRule="auto"/>
            </w:pPr>
            <w:r>
              <w:rPr>
                <w:rFonts w:ascii="Times New Roman" w:hAnsi="Times New Roman"/>
                <w:sz w:val="18"/>
              </w:rPr>
              <w:t>SSR Supabase Client Factory</w:t>
            </w:r>
          </w:p>
        </w:tc>
        <w:tc>
          <w:tcPr>
            <w:tcW w:type="dxa" w:w="2304"/>
            <w:shd w:fill="F8FAFC"/>
            <w:tcMar>
              <w:top w:w="70" w:type="dxa"/>
              <w:bottom w:w="70" w:type="dxa"/>
              <w:left w:w="90" w:type="dxa"/>
              <w:right w:w="90" w:type="dxa"/>
            </w:tcMar>
          </w:tcPr>
          <w:p>
            <w:pPr>
              <w:spacing w:after="0" w:line="276" w:lineRule="auto"/>
            </w:pPr>
            <w:r>
              <w:rPr>
                <w:rFonts w:ascii="Times New Roman" w:hAnsi="Times New Roman"/>
                <w:sz w:val="18"/>
              </w:rPr>
              <w:t>createClient, createServiceClient</w:t>
            </w:r>
          </w:p>
        </w:tc>
        <w:tc>
          <w:tcPr>
            <w:tcW w:type="dxa" w:w="2592"/>
            <w:shd w:fill="F8FAFC"/>
            <w:tcMar>
              <w:top w:w="70" w:type="dxa"/>
              <w:bottom w:w="70" w:type="dxa"/>
              <w:left w:w="90" w:type="dxa"/>
              <w:right w:w="90" w:type="dxa"/>
            </w:tcMar>
          </w:tcPr>
          <w:p>
            <w:pPr>
              <w:spacing w:after="0" w:line="276" w:lineRule="auto"/>
            </w:pPr>
            <w:r>
              <w:rPr>
                <w:rFonts w:ascii="Times New Roman" w:hAnsi="Times New Roman"/>
                <w:sz w:val="18"/>
              </w:rPr>
              <w:t>Initializes authenticated cookie-based clients for Server Actions and unauthenticated service-role clients for public certificate verification.</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src/lib/supabase/client.ts</w:t>
            </w:r>
          </w:p>
        </w:tc>
        <w:tc>
          <w:tcPr>
            <w:tcW w:type="dxa" w:w="1872"/>
            <w:shd w:fill="FFFFFF"/>
            <w:tcMar>
              <w:top w:w="70" w:type="dxa"/>
              <w:bottom w:w="70" w:type="dxa"/>
              <w:left w:w="90" w:type="dxa"/>
              <w:right w:w="90" w:type="dxa"/>
            </w:tcMar>
          </w:tcPr>
          <w:p>
            <w:pPr>
              <w:spacing w:after="0" w:line="276" w:lineRule="auto"/>
            </w:pPr>
            <w:r>
              <w:rPr>
                <w:rFonts w:ascii="Times New Roman" w:hAnsi="Times New Roman"/>
                <w:sz w:val="18"/>
              </w:rPr>
              <w:t>Browser Supabase Singleton</w:t>
            </w:r>
          </w:p>
        </w:tc>
        <w:tc>
          <w:tcPr>
            <w:tcW w:type="dxa" w:w="2304"/>
            <w:shd w:fill="FFFFFF"/>
            <w:tcMar>
              <w:top w:w="70" w:type="dxa"/>
              <w:bottom w:w="70" w:type="dxa"/>
              <w:left w:w="90" w:type="dxa"/>
              <w:right w:w="90" w:type="dxa"/>
            </w:tcMar>
          </w:tcPr>
          <w:p>
            <w:pPr>
              <w:spacing w:after="0" w:line="276" w:lineRule="auto"/>
            </w:pPr>
            <w:r>
              <w:rPr>
                <w:rFonts w:ascii="Times New Roman" w:hAnsi="Times New Roman"/>
                <w:sz w:val="18"/>
              </w:rPr>
              <w:t>createClient</w:t>
            </w:r>
          </w:p>
        </w:tc>
        <w:tc>
          <w:tcPr>
            <w:tcW w:type="dxa" w:w="2592"/>
            <w:shd w:fill="FFFFFF"/>
            <w:tcMar>
              <w:top w:w="70" w:type="dxa"/>
              <w:bottom w:w="70" w:type="dxa"/>
              <w:left w:w="90" w:type="dxa"/>
              <w:right w:w="90" w:type="dxa"/>
            </w:tcMar>
          </w:tcPr>
          <w:p>
            <w:pPr>
              <w:spacing w:after="0" w:line="276" w:lineRule="auto"/>
            </w:pPr>
            <w:r>
              <w:rPr>
                <w:rFonts w:ascii="Times New Roman" w:hAnsi="Times New Roman"/>
                <w:sz w:val="18"/>
              </w:rPr>
              <w:t>Provides client-side Supabase client singleton for Realtime Postgres subscriptions and client auth listener.</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src/lib/utils/academic-year.ts</w:t>
            </w:r>
          </w:p>
        </w:tc>
        <w:tc>
          <w:tcPr>
            <w:tcW w:type="dxa" w:w="1872"/>
            <w:shd w:fill="F8FAFC"/>
            <w:tcMar>
              <w:top w:w="70" w:type="dxa"/>
              <w:bottom w:w="70" w:type="dxa"/>
              <w:left w:w="90" w:type="dxa"/>
              <w:right w:w="90" w:type="dxa"/>
            </w:tcMar>
          </w:tcPr>
          <w:p>
            <w:pPr>
              <w:spacing w:after="0" w:line="276" w:lineRule="auto"/>
            </w:pPr>
            <w:r>
              <w:rPr>
                <w:rFonts w:ascii="Times New Roman" w:hAnsi="Times New Roman"/>
                <w:sz w:val="18"/>
              </w:rPr>
              <w:t>Academic Calendar Resolver</w:t>
            </w:r>
          </w:p>
        </w:tc>
        <w:tc>
          <w:tcPr>
            <w:tcW w:type="dxa" w:w="2304"/>
            <w:shd w:fill="F8FAFC"/>
            <w:tcMar>
              <w:top w:w="70" w:type="dxa"/>
              <w:bottom w:w="70" w:type="dxa"/>
              <w:left w:w="90" w:type="dxa"/>
              <w:right w:w="90" w:type="dxa"/>
            </w:tcMar>
          </w:tcPr>
          <w:p>
            <w:pPr>
              <w:spacing w:after="0" w:line="276" w:lineRule="auto"/>
            </w:pPr>
            <w:r>
              <w:rPr>
                <w:rFonts w:ascii="Times New Roman" w:hAnsi="Times New Roman"/>
                <w:sz w:val="18"/>
              </w:rPr>
              <w:t>currentAcademicYear, getAcademicPeriod</w:t>
            </w:r>
          </w:p>
        </w:tc>
        <w:tc>
          <w:tcPr>
            <w:tcW w:type="dxa" w:w="2592"/>
            <w:shd w:fill="F8FAFC"/>
            <w:tcMar>
              <w:top w:w="70" w:type="dxa"/>
              <w:bottom w:w="70" w:type="dxa"/>
              <w:left w:w="90" w:type="dxa"/>
              <w:right w:w="90" w:type="dxa"/>
            </w:tcMar>
          </w:tcPr>
          <w:p>
            <w:pPr>
              <w:spacing w:after="0" w:line="276" w:lineRule="auto"/>
            </w:pPr>
            <w:r>
              <w:rPr>
                <w:rFonts w:ascii="Times New Roman" w:hAnsi="Times New Roman"/>
                <w:sz w:val="18"/>
              </w:rPr>
              <w:t>Determines current academic year (e.g. 2026-2027) and semester dynamically based on the official Partido State University calendar.</w:t>
            </w:r>
          </w:p>
        </w:tc>
      </w:tr>
    </w:tbl>
    <w:p>
      <w:pPr>
        <w:spacing w:before="80" w:after="160"/>
      </w:pPr>
    </w:p>
    <w:p>
      <w:pPr>
        <w:keepNext/>
        <w:spacing w:before="320" w:after="40"/>
      </w:pPr>
      <w:r>
        <w:rPr>
          <w:rFonts w:ascii="Times New Roman" w:hAnsi="Times New Roman"/>
          <w:b/>
          <w:color w:val="002060"/>
          <w:sz w:val="26"/>
        </w:rPr>
        <w:t>2. Review Workspace &amp; Split-Screen Canvas Engine (src/components/workspace/)</w:t>
      </w:r>
    </w:p>
    <w:p>
      <w:pPr>
        <w:keepNext/>
        <w:spacing w:before="0" w:after="160"/>
      </w:pPr>
      <w:r>
        <w:rPr>
          <w:rFonts w:ascii="Times New Roman" w:hAnsi="Times New Roman"/>
          <w:i/>
          <w:color w:val="64748B"/>
          <w:sz w:val="19"/>
        </w:rPr>
        <w:t>Interactive dual-pane paperless workspace allowing synchronized PDF annotation and rubric evaluation.</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002060"/>
            <w:tcMar>
              <w:top w:w="100" w:type="dxa"/>
              <w:bottom w:w="100" w:type="dxa"/>
              <w:left w:w="100" w:type="dxa"/>
              <w:right w:w="100" w:type="dxa"/>
            </w:tcMar>
          </w:tcPr>
          <w:p>
            <w:pPr>
              <w:spacing w:after="0"/>
              <w:jc w:val="left"/>
            </w:pPr>
            <w:r>
              <w:rPr>
                <w:rFonts w:ascii="Times New Roman" w:hAnsi="Times New Roman"/>
                <w:b/>
                <w:color w:val="FFFFFF"/>
                <w:sz w:val="19"/>
              </w:rPr>
              <w:t>Component File</w:t>
            </w:r>
          </w:p>
        </w:tc>
        <w:tc>
          <w:tcPr>
            <w:tcW w:type="dxa" w:w="2448"/>
            <w:shd w:fill="002060"/>
            <w:tcMar>
              <w:top w:w="100" w:type="dxa"/>
              <w:bottom w:w="100" w:type="dxa"/>
              <w:left w:w="100" w:type="dxa"/>
              <w:right w:w="100" w:type="dxa"/>
            </w:tcMar>
          </w:tcPr>
          <w:p>
            <w:pPr>
              <w:spacing w:after="0"/>
              <w:jc w:val="left"/>
            </w:pPr>
            <w:r>
              <w:rPr>
                <w:rFonts w:ascii="Times New Roman" w:hAnsi="Times New Roman"/>
                <w:b/>
                <w:color w:val="FFFFFF"/>
                <w:sz w:val="19"/>
              </w:rPr>
              <w:t>Subsystem Name</w:t>
            </w:r>
          </w:p>
        </w:tc>
        <w:tc>
          <w:tcPr>
            <w:tcW w:type="dxa" w:w="4032"/>
            <w:shd w:fill="002060"/>
            <w:tcMar>
              <w:top w:w="100" w:type="dxa"/>
              <w:bottom w:w="100" w:type="dxa"/>
              <w:left w:w="100" w:type="dxa"/>
              <w:right w:w="100" w:type="dxa"/>
            </w:tcMar>
          </w:tcPr>
          <w:p>
            <w:pPr>
              <w:spacing w:after="0"/>
              <w:jc w:val="left"/>
            </w:pPr>
            <w:r>
              <w:rPr>
                <w:rFonts w:ascii="Times New Roman" w:hAnsi="Times New Roman"/>
                <w:b/>
                <w:color w:val="FFFFFF"/>
                <w:sz w:val="19"/>
              </w:rPr>
              <w:t>Technical Implementation &amp; Defense Purpose</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interactive-pdf-viewer.tsx</w:t>
            </w:r>
          </w:p>
        </w:tc>
        <w:tc>
          <w:tcPr>
            <w:tcW w:type="dxa" w:w="2448"/>
            <w:shd w:fill="FFFFFF"/>
            <w:tcMar>
              <w:top w:w="70" w:type="dxa"/>
              <w:bottom w:w="70" w:type="dxa"/>
              <w:left w:w="90" w:type="dxa"/>
              <w:right w:w="90" w:type="dxa"/>
            </w:tcMar>
          </w:tcPr>
          <w:p>
            <w:pPr>
              <w:spacing w:after="0" w:line="276" w:lineRule="auto"/>
            </w:pPr>
            <w:r>
              <w:rPr>
                <w:rFonts w:ascii="Times New Roman" w:hAnsi="Times New Roman"/>
                <w:sz w:val="18"/>
              </w:rPr>
              <w:t>Google Docs-Style Canvas Engine</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Renders multi-page PDF documents via PDF.js with interactive text selection layer. Maps highlighted text to percentage-based coordinates (left, top, width, height) to ensure device-independent overlay positioning. Suppresses comment composer for students while enabling threaded replies.</w:t>
            </w:r>
          </w:p>
        </w:tc>
      </w:tr>
      <w:tr>
        <w:tc>
          <w:tcPr>
            <w:tcW w:type="dxa" w:w="2880"/>
            <w:shd w:fill="F8FAFC"/>
            <w:tcMar>
              <w:top w:w="70" w:type="dxa"/>
              <w:bottom w:w="70" w:type="dxa"/>
              <w:left w:w="90" w:type="dxa"/>
              <w:right w:w="90" w:type="dxa"/>
            </w:tcMar>
          </w:tcPr>
          <w:p>
            <w:pPr>
              <w:spacing w:after="0" w:line="276" w:lineRule="auto"/>
            </w:pPr>
            <w:r>
              <w:rPr>
                <w:rFonts w:ascii="Times New Roman" w:hAnsi="Times New Roman"/>
                <w:b/>
                <w:sz w:val="18"/>
              </w:rPr>
              <w:t>pdf-viewer-panel.tsx</w:t>
            </w:r>
          </w:p>
        </w:tc>
        <w:tc>
          <w:tcPr>
            <w:tcW w:type="dxa" w:w="2448"/>
            <w:shd w:fill="F8FAFC"/>
            <w:tcMar>
              <w:top w:w="70" w:type="dxa"/>
              <w:bottom w:w="70" w:type="dxa"/>
              <w:left w:w="90" w:type="dxa"/>
              <w:right w:w="90" w:type="dxa"/>
            </w:tcMar>
          </w:tcPr>
          <w:p>
            <w:pPr>
              <w:spacing w:after="0" w:line="276" w:lineRule="auto"/>
            </w:pPr>
            <w:r>
              <w:rPr>
                <w:rFonts w:ascii="Times New Roman" w:hAnsi="Times New Roman"/>
                <w:sz w:val="18"/>
              </w:rPr>
              <w:t>Document Viewer Container</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Hosts the left workspace panel. Supports switching between Google Docs interactive mode and Native Browser PDF iframe. Features zoom scaling (100% to 200%), downloadable PDF links, and a General Remarks slide-out drawer.</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grading-panel.tsx</w:t>
            </w:r>
          </w:p>
        </w:tc>
        <w:tc>
          <w:tcPr>
            <w:tcW w:type="dxa" w:w="2448"/>
            <w:shd w:fill="FFFFFF"/>
            <w:tcMar>
              <w:top w:w="70" w:type="dxa"/>
              <w:bottom w:w="70" w:type="dxa"/>
              <w:left w:w="90" w:type="dxa"/>
              <w:right w:w="90" w:type="dxa"/>
            </w:tcMar>
          </w:tcPr>
          <w:p>
            <w:pPr>
              <w:spacing w:after="0" w:line="276" w:lineRule="auto"/>
            </w:pPr>
            <w:r>
              <w:rPr>
                <w:rFonts w:ascii="Times New Roman" w:hAnsi="Times New Roman"/>
                <w:sz w:val="18"/>
              </w:rPr>
              <w:t>Dynamic Rubric &amp; Scoring Engine</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Hosts the right workspace panel. Renders dynamic rubric criteria, validates input score ranges (0 to 100), calculates real-time weighted composite scores, presents the Adviser Endorsement Gate Card, and launches the E-Signature modal.</w:t>
            </w:r>
          </w:p>
        </w:tc>
      </w:tr>
      <w:tr>
        <w:tc>
          <w:tcPr>
            <w:tcW w:type="dxa" w:w="2880"/>
            <w:shd w:fill="F8FAFC"/>
            <w:tcMar>
              <w:top w:w="70" w:type="dxa"/>
              <w:bottom w:w="70" w:type="dxa"/>
              <w:left w:w="90" w:type="dxa"/>
              <w:right w:w="90" w:type="dxa"/>
            </w:tcMar>
          </w:tcPr>
          <w:p>
            <w:pPr>
              <w:spacing w:after="0" w:line="276" w:lineRule="auto"/>
            </w:pPr>
            <w:r>
              <w:rPr>
                <w:rFonts w:ascii="Times New Roman" w:hAnsi="Times New Roman"/>
                <w:b/>
                <w:sz w:val="18"/>
              </w:rPr>
              <w:t>signature-dialog.tsx</w:t>
            </w:r>
          </w:p>
        </w:tc>
        <w:tc>
          <w:tcPr>
            <w:tcW w:type="dxa" w:w="2448"/>
            <w:shd w:fill="F8FAFC"/>
            <w:tcMar>
              <w:top w:w="70" w:type="dxa"/>
              <w:bottom w:w="70" w:type="dxa"/>
              <w:left w:w="90" w:type="dxa"/>
              <w:right w:w="90" w:type="dxa"/>
            </w:tcMar>
          </w:tcPr>
          <w:p>
            <w:pPr>
              <w:spacing w:after="0" w:line="276" w:lineRule="auto"/>
            </w:pPr>
            <w:r>
              <w:rPr>
                <w:rFonts w:ascii="Times New Roman" w:hAnsi="Times New Roman"/>
                <w:sz w:val="18"/>
              </w:rPr>
              <w:t>RA 8792 Electronic Signature Modal</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Captures signatures via HTML5 Canvas (drawn), text stylization (typed), or scanned image upload. Enforces canvas stroke entropy validation (&gt;= 12 coordinate points) and requires ParSU account password re-authentication for non-repudiation.</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certificate-dialog.tsx</w:t>
            </w:r>
          </w:p>
        </w:tc>
        <w:tc>
          <w:tcPr>
            <w:tcW w:type="dxa" w:w="2448"/>
            <w:shd w:fill="FFFFFF"/>
            <w:tcMar>
              <w:top w:w="70" w:type="dxa"/>
              <w:bottom w:w="70" w:type="dxa"/>
              <w:left w:w="90" w:type="dxa"/>
              <w:right w:w="90" w:type="dxa"/>
            </w:tcMar>
          </w:tcPr>
          <w:p>
            <w:pPr>
              <w:spacing w:after="0" w:line="276" w:lineRule="auto"/>
            </w:pPr>
            <w:r>
              <w:rPr>
                <w:rFonts w:ascii="Times New Roman" w:hAnsi="Times New Roman"/>
                <w:sz w:val="18"/>
              </w:rPr>
              <w:t>Official Defense Certificate Modal</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Displays the printable institutional score sheet certificate formatted to Partido State University standards with official university header, grade breakdown, verdict badge, panelist signature stamp, and verification QR code.</w:t>
            </w:r>
          </w:p>
        </w:tc>
      </w:tr>
      <w:tr>
        <w:tc>
          <w:tcPr>
            <w:tcW w:type="dxa" w:w="2880"/>
            <w:shd w:fill="F8FAFC"/>
            <w:tcMar>
              <w:top w:w="70" w:type="dxa"/>
              <w:bottom w:w="70" w:type="dxa"/>
              <w:left w:w="90" w:type="dxa"/>
              <w:right w:w="90" w:type="dxa"/>
            </w:tcMar>
          </w:tcPr>
          <w:p>
            <w:pPr>
              <w:spacing w:after="0" w:line="276" w:lineRule="auto"/>
            </w:pPr>
            <w:r>
              <w:rPr>
                <w:rFonts w:ascii="Times New Roman" w:hAnsi="Times New Roman"/>
                <w:b/>
                <w:sz w:val="18"/>
              </w:rPr>
              <w:t>verification-qr-code.tsx</w:t>
            </w:r>
          </w:p>
        </w:tc>
        <w:tc>
          <w:tcPr>
            <w:tcW w:type="dxa" w:w="2448"/>
            <w:shd w:fill="F8FAFC"/>
            <w:tcMar>
              <w:top w:w="70" w:type="dxa"/>
              <w:bottom w:w="70" w:type="dxa"/>
              <w:left w:w="90" w:type="dxa"/>
              <w:right w:w="90" w:type="dxa"/>
            </w:tcMar>
          </w:tcPr>
          <w:p>
            <w:pPr>
              <w:spacing w:after="0" w:line="276" w:lineRule="auto"/>
            </w:pPr>
            <w:r>
              <w:rPr>
                <w:rFonts w:ascii="Times New Roman" w:hAnsi="Times New Roman"/>
                <w:sz w:val="18"/>
              </w:rPr>
              <w:t>Cryptographic QR Code Generator</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Generates clean, high-contrast QR codes embedding the public document verification URI (https://aurora.parsu.edu.ph/verify/[serial]) for instant mobile scanning.</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version-comparison.tsx</w:t>
            </w:r>
          </w:p>
        </w:tc>
        <w:tc>
          <w:tcPr>
            <w:tcW w:type="dxa" w:w="2448"/>
            <w:shd w:fill="FFFFFF"/>
            <w:tcMar>
              <w:top w:w="70" w:type="dxa"/>
              <w:bottom w:w="70" w:type="dxa"/>
              <w:left w:w="90" w:type="dxa"/>
              <w:right w:w="90" w:type="dxa"/>
            </w:tcMar>
          </w:tcPr>
          <w:p>
            <w:pPr>
              <w:spacing w:after="0" w:line="276" w:lineRule="auto"/>
            </w:pPr>
            <w:r>
              <w:rPr>
                <w:rFonts w:ascii="Times New Roman" w:hAnsi="Times New Roman"/>
                <w:sz w:val="18"/>
              </w:rPr>
              <w:t>Manuscript Version Diff Viewer</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Allows faculty and students to compare manuscript revisions side-by-side, displaying version timestamps, file checksums, author change summaries, and revision turnarounds.</w:t>
            </w:r>
          </w:p>
        </w:tc>
      </w:tr>
      <w:tr>
        <w:tc>
          <w:tcPr>
            <w:tcW w:type="dxa" w:w="2880"/>
            <w:shd w:fill="F8FAFC"/>
            <w:tcMar>
              <w:top w:w="70" w:type="dxa"/>
              <w:bottom w:w="70" w:type="dxa"/>
              <w:left w:w="90" w:type="dxa"/>
              <w:right w:w="90" w:type="dxa"/>
            </w:tcMar>
          </w:tcPr>
          <w:p>
            <w:pPr>
              <w:spacing w:after="0" w:line="276" w:lineRule="auto"/>
            </w:pPr>
            <w:r>
              <w:rPr>
                <w:rFonts w:ascii="Times New Roman" w:hAnsi="Times New Roman"/>
                <w:b/>
                <w:sz w:val="18"/>
              </w:rPr>
              <w:t>signature-profile-setup.tsx</w:t>
            </w:r>
          </w:p>
        </w:tc>
        <w:tc>
          <w:tcPr>
            <w:tcW w:type="dxa" w:w="2448"/>
            <w:shd w:fill="F8FAFC"/>
            <w:tcMar>
              <w:top w:w="70" w:type="dxa"/>
              <w:bottom w:w="70" w:type="dxa"/>
              <w:left w:w="90" w:type="dxa"/>
              <w:right w:w="90" w:type="dxa"/>
            </w:tcMar>
          </w:tcPr>
          <w:p>
            <w:pPr>
              <w:spacing w:after="0" w:line="276" w:lineRule="auto"/>
            </w:pPr>
            <w:r>
              <w:rPr>
                <w:rFonts w:ascii="Times New Roman" w:hAnsi="Times New Roman"/>
                <w:sz w:val="18"/>
              </w:rPr>
              <w:t>Faculty Specimen Onboarding</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Wizard allowing faculty to register their official academic rank, employee ID number, and baseline signature image into signature_profiles for institutional verification.</w:t>
            </w:r>
          </w:p>
        </w:tc>
      </w:tr>
    </w:tbl>
    <w:p>
      <w:pPr>
        <w:spacing w:before="80" w:after="160"/>
      </w:pPr>
    </w:p>
    <w:p>
      <w:pPr>
        <w:keepNext/>
        <w:spacing w:before="320" w:after="40"/>
      </w:pPr>
      <w:r>
        <w:rPr>
          <w:rFonts w:ascii="Times New Roman" w:hAnsi="Times New Roman"/>
          <w:b/>
          <w:color w:val="002060"/>
          <w:sz w:val="26"/>
        </w:rPr>
        <w:t>3. Application Routes &amp; Navigation Controller Architecture (src/app/)</w:t>
      </w:r>
    </w:p>
    <w:p>
      <w:pPr>
        <w:keepNext/>
        <w:spacing w:before="0" w:after="160"/>
      </w:pPr>
      <w:r>
        <w:rPr>
          <w:rFonts w:ascii="Times New Roman" w:hAnsi="Times New Roman"/>
          <w:i/>
          <w:color w:val="64748B"/>
          <w:sz w:val="19"/>
        </w:rPr>
        <w:t>Next.js 15 App Router structure separating public portals, role dashboards, workspace consoles, and admin tools.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312"/>
            <w:shd w:fill="002060"/>
            <w:tcMar>
              <w:top w:w="100" w:type="dxa"/>
              <w:bottom w:w="100" w:type="dxa"/>
              <w:left w:w="100" w:type="dxa"/>
              <w:right w:w="100" w:type="dxa"/>
            </w:tcMar>
          </w:tcPr>
          <w:p>
            <w:pPr>
              <w:spacing w:after="0"/>
              <w:jc w:val="left"/>
            </w:pPr>
            <w:r>
              <w:rPr>
                <w:rFonts w:ascii="Times New Roman" w:hAnsi="Times New Roman"/>
                <w:b/>
                <w:color w:val="FFFFFF"/>
                <w:sz w:val="19"/>
              </w:rPr>
              <w:t>Route Path</w:t>
            </w:r>
          </w:p>
        </w:tc>
        <w:tc>
          <w:tcPr>
            <w:tcW w:type="dxa" w:w="1728"/>
            <w:shd w:fill="002060"/>
            <w:tcMar>
              <w:top w:w="100" w:type="dxa"/>
              <w:bottom w:w="100" w:type="dxa"/>
              <w:left w:w="100" w:type="dxa"/>
              <w:right w:w="100" w:type="dxa"/>
            </w:tcMar>
          </w:tcPr>
          <w:p>
            <w:pPr>
              <w:spacing w:after="0"/>
              <w:jc w:val="left"/>
            </w:pPr>
            <w:r>
              <w:rPr>
                <w:rFonts w:ascii="Times New Roman" w:hAnsi="Times New Roman"/>
                <w:b/>
                <w:color w:val="FFFFFF"/>
                <w:sz w:val="19"/>
              </w:rPr>
              <w:t>Access Level</w:t>
            </w:r>
          </w:p>
        </w:tc>
        <w:tc>
          <w:tcPr>
            <w:tcW w:type="dxa" w:w="4320"/>
            <w:shd w:fill="002060"/>
            <w:tcMar>
              <w:top w:w="100" w:type="dxa"/>
              <w:bottom w:w="100" w:type="dxa"/>
              <w:left w:w="100" w:type="dxa"/>
              <w:right w:w="100" w:type="dxa"/>
            </w:tcMar>
          </w:tcPr>
          <w:p>
            <w:pPr>
              <w:spacing w:after="0"/>
              <w:jc w:val="left"/>
            </w:pPr>
            <w:r>
              <w:rPr>
                <w:rFonts w:ascii="Times New Roman" w:hAnsi="Times New Roman"/>
                <w:b/>
                <w:color w:val="FFFFFF"/>
                <w:sz w:val="19"/>
              </w:rPr>
              <w:t>Architectural Function &amp; User Role</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Public</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Official institutional landing page presenting paperless defense features, accreditation compliance, and quick login links.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src/app/login/page.tsx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Public</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Unified institutional authentication portal with email/password validation and role-aware dashboard redirection.</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src/app/verify/[serial]/page.tsx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Public (No Auth)</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Public document verification portal allowing external accreditors, CHED, or registrars to verify defense certificates by serial.</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src/app/workspace/[projectId]/[stageId]/page.tsx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Protected</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Production split-screen defense workspace binding live Supabase projects, stages, manuscript versions, and rubric templates.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src/app/workspace/demo/page.tsx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Protected</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Interactive sandbox workspace running on mock seeded data for panelist training and simulated defense sessions.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src/app/(app)/dashboard/page.tsx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Protected</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Role-aware dispatcher that inspects user roles and mounts the appropriate dashboard (Student, Adviser, Panelist, Coordinator, Admin).</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src/app/(app)/dashboard/my-project/page.tsx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Student</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Student project command center managing manuscript uploads, version history, co-author management, and stage progression.</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src/app/(app)/dashboard/defenses/schedule/page.tsx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Coordinator</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Defense scheduling console managing panel allocation, time slots, defense venues, and Conflict of Interest warnings.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src/app/(app)/dashboard/defenses/page.tsx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All Roles</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Institutional defense calendar and itinerary table listing upcoming, active, and completed defense sessions.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src/app/(app)/dashboard/grades/page.tsx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Faculty/Student</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Official defense grade sheets displaying composite weighted marks, panelist scores, remarks, and certificate serials.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src/app/(app)/dashboard/submissions/page.tsx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All Roles</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Manuscript submission repository displaying uploaded PDF files, SHA-256 checksums, and version branches.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src/app/(app)/dashboard/annotations/page.tsx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All Roles</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Universal revision tracker listing all open, addressed, and resolved revision items across manuscript drafts.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src/app/(app)/dashboard/analytics/page.tsx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Dean/Admin</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Executive defense metrics displaying passing rates, rubric variance, revision turnaround times, and college KPIs.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src/app/(app)/admin/users/page.tsx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Sys Admin</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User RBAC management console for assigning roles, approving faculty accounts, and setting departmental affiliations.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src/app/(app)/admin/rubrics/page.tsx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Admin/Coord</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Rubric lifecycle builder for configuring criteria descriptions, percentage weights, passing scores, and stage bindings.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src/app/(app)/admin/stages/page.tsx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Admin/Coord</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Defense stage configurator defining milestone sequences (Title, Proposal, Pre-Oral, Final Defense).</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src/app/(app)/admin/audit/page.tsx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Sys Admin</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Forensic audit trail viewer displaying immutable log records (IP address, user agent, action type, timestamp).</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src/app/(app)/admin/system-health/page.tsx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Sys Admin</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Diagnostic dashboard monitoring database latency, connection pooling, and Supabase Storage bucket status.</w:t>
            </w:r>
          </w:p>
        </w:tc>
      </w:tr>
    </w:tbl>
    <w:p>
      <w:pPr>
        <w:spacing w:before="80" w:after="160"/>
      </w:pPr>
    </w:p>
    <w:p>
      <w:pPr>
        <w:keepNext/>
        <w:spacing w:before="320" w:after="40"/>
      </w:pPr>
      <w:r>
        <w:rPr>
          <w:rFonts w:ascii="Times New Roman" w:hAnsi="Times New Roman"/>
          <w:b/>
          <w:color w:val="002060"/>
          <w:sz w:val="26"/>
        </w:rPr>
        <w:t>4. Role-Based Dashboard Architecture (src/components/dashboard/)</w:t>
      </w:r>
    </w:p>
    <w:p>
      <w:pPr>
        <w:keepNext/>
        <w:spacing w:before="0" w:after="160"/>
      </w:pPr>
      <w:r>
        <w:rPr>
          <w:rFonts w:ascii="Times New Roman" w:hAnsi="Times New Roman"/>
          <w:i/>
          <w:color w:val="64748B"/>
          <w:sz w:val="19"/>
        </w:rPr>
        <w:t>Role-tailored dashboard interfaces providing distinct telemetry and actions for each of the 6 institutional roles.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880"/>
            <w:shd w:fill="002060"/>
            <w:tcMar>
              <w:top w:w="100" w:type="dxa"/>
              <w:bottom w:w="100" w:type="dxa"/>
              <w:left w:w="100" w:type="dxa"/>
              <w:right w:w="100" w:type="dxa"/>
            </w:tcMar>
          </w:tcPr>
          <w:p>
            <w:pPr>
              <w:spacing w:after="0"/>
              <w:jc w:val="left"/>
            </w:pPr>
            <w:r>
              <w:rPr>
                <w:rFonts w:ascii="Times New Roman" w:hAnsi="Times New Roman"/>
                <w:b/>
                <w:color w:val="FFFFFF"/>
                <w:sz w:val="19"/>
              </w:rPr>
              <w:t>Component File</w:t>
            </w:r>
          </w:p>
        </w:tc>
        <w:tc>
          <w:tcPr>
            <w:tcW w:type="dxa" w:w="2160"/>
            <w:shd w:fill="002060"/>
            <w:tcMar>
              <w:top w:w="100" w:type="dxa"/>
              <w:bottom w:w="100" w:type="dxa"/>
              <w:left w:w="100" w:type="dxa"/>
              <w:right w:w="100" w:type="dxa"/>
            </w:tcMar>
          </w:tcPr>
          <w:p>
            <w:pPr>
              <w:spacing w:after="0"/>
              <w:jc w:val="left"/>
            </w:pPr>
            <w:r>
              <w:rPr>
                <w:rFonts w:ascii="Times New Roman" w:hAnsi="Times New Roman"/>
                <w:b/>
                <w:color w:val="FFFFFF"/>
                <w:sz w:val="19"/>
              </w:rPr>
              <w:t>Primary Target Role</w:t>
            </w:r>
          </w:p>
        </w:tc>
        <w:tc>
          <w:tcPr>
            <w:tcW w:type="dxa" w:w="4320"/>
            <w:shd w:fill="002060"/>
            <w:tcMar>
              <w:top w:w="100" w:type="dxa"/>
              <w:bottom w:w="100" w:type="dxa"/>
              <w:left w:w="100" w:type="dxa"/>
              <w:right w:w="100" w:type="dxa"/>
            </w:tcMar>
          </w:tcPr>
          <w:p>
            <w:pPr>
              <w:spacing w:after="0"/>
              <w:jc w:val="left"/>
            </w:pPr>
            <w:r>
              <w:rPr>
                <w:rFonts w:ascii="Times New Roman" w:hAnsi="Times New Roman"/>
                <w:b/>
                <w:color w:val="FFFFFF"/>
                <w:sz w:val="19"/>
              </w:rPr>
              <w:t>Key Metrics, Visualizations &amp; Actions Rendered</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student-dashboard.tsx</w:t>
            </w:r>
          </w:p>
        </w:tc>
        <w:tc>
          <w:tcPr>
            <w:tcW w:type="dxa" w:w="2160"/>
            <w:shd w:fill="FFFFFF"/>
            <w:tcMar>
              <w:top w:w="70" w:type="dxa"/>
              <w:bottom w:w="70" w:type="dxa"/>
              <w:left w:w="90" w:type="dxa"/>
              <w:right w:w="90" w:type="dxa"/>
            </w:tcMar>
          </w:tcPr>
          <w:p>
            <w:pPr>
              <w:spacing w:after="0" w:line="276" w:lineRule="auto"/>
            </w:pPr>
            <w:r>
              <w:rPr>
                <w:rFonts w:ascii="Times New Roman" w:hAnsi="Times New Roman"/>
                <w:sz w:val="18"/>
              </w:rPr>
              <w:t>Student</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Displays current defense stage milestone, adviser endorsement status ('Under Consultation' vs 'Endorsed'), open revision counter, and quick-launch button to the review workspace.</w:t>
            </w:r>
          </w:p>
        </w:tc>
      </w:tr>
      <w:tr>
        <w:tc>
          <w:tcPr>
            <w:tcW w:type="dxa" w:w="2880"/>
            <w:shd w:fill="F8FAFC"/>
            <w:tcMar>
              <w:top w:w="70" w:type="dxa"/>
              <w:bottom w:w="70" w:type="dxa"/>
              <w:left w:w="90" w:type="dxa"/>
              <w:right w:w="90" w:type="dxa"/>
            </w:tcMar>
          </w:tcPr>
          <w:p>
            <w:pPr>
              <w:spacing w:after="0" w:line="276" w:lineRule="auto"/>
            </w:pPr>
            <w:r>
              <w:rPr>
                <w:rFonts w:ascii="Times New Roman" w:hAnsi="Times New Roman"/>
                <w:b/>
                <w:sz w:val="18"/>
              </w:rPr>
              <w:t>adviser-dashboard.tsx</w:t>
            </w:r>
          </w:p>
        </w:tc>
        <w:tc>
          <w:tcPr>
            <w:tcW w:type="dxa" w:w="2160"/>
            <w:shd w:fill="F8FAFC"/>
            <w:tcMar>
              <w:top w:w="70" w:type="dxa"/>
              <w:bottom w:w="70" w:type="dxa"/>
              <w:left w:w="90" w:type="dxa"/>
              <w:right w:w="90" w:type="dxa"/>
            </w:tcMar>
          </w:tcPr>
          <w:p>
            <w:pPr>
              <w:spacing w:after="0" w:line="276" w:lineRule="auto"/>
            </w:pPr>
            <w:r>
              <w:rPr>
                <w:rFonts w:ascii="Times New Roman" w:hAnsi="Times New Roman"/>
                <w:sz w:val="18"/>
              </w:rPr>
              <w:t>Research Adviser</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Displays advisee consultation queue, manuscripts pending endorsement, inline revision items, and direct review workspace shortcuts.</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panelist-dashboard.tsx</w:t>
            </w:r>
          </w:p>
        </w:tc>
        <w:tc>
          <w:tcPr>
            <w:tcW w:type="dxa" w:w="2160"/>
            <w:shd w:fill="FFFFFF"/>
            <w:tcMar>
              <w:top w:w="70" w:type="dxa"/>
              <w:bottom w:w="70" w:type="dxa"/>
              <w:left w:w="90" w:type="dxa"/>
              <w:right w:w="90" w:type="dxa"/>
            </w:tcMar>
          </w:tcPr>
          <w:p>
            <w:pPr>
              <w:spacing w:after="0" w:line="276" w:lineRule="auto"/>
            </w:pPr>
            <w:r>
              <w:rPr>
                <w:rFonts w:ascii="Times New Roman" w:hAnsi="Times New Roman"/>
                <w:sz w:val="18"/>
              </w:rPr>
              <w:t>Defense Panelist</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Displays assigned defense schedule, unread manuscripts, pending evaluation score sheets, and 1-click review workspace access.</w:t>
            </w:r>
          </w:p>
        </w:tc>
      </w:tr>
      <w:tr>
        <w:tc>
          <w:tcPr>
            <w:tcW w:type="dxa" w:w="2880"/>
            <w:shd w:fill="F8FAFC"/>
            <w:tcMar>
              <w:top w:w="70" w:type="dxa"/>
              <w:bottom w:w="70" w:type="dxa"/>
              <w:left w:w="90" w:type="dxa"/>
              <w:right w:w="90" w:type="dxa"/>
            </w:tcMar>
          </w:tcPr>
          <w:p>
            <w:pPr>
              <w:spacing w:after="0" w:line="276" w:lineRule="auto"/>
            </w:pPr>
            <w:r>
              <w:rPr>
                <w:rFonts w:ascii="Times New Roman" w:hAnsi="Times New Roman"/>
                <w:b/>
                <w:sz w:val="18"/>
              </w:rPr>
              <w:t>coordinator-dashboard.tsx</w:t>
            </w:r>
          </w:p>
        </w:tc>
        <w:tc>
          <w:tcPr>
            <w:tcW w:type="dxa" w:w="2160"/>
            <w:shd w:fill="F8FAFC"/>
            <w:tcMar>
              <w:top w:w="70" w:type="dxa"/>
              <w:bottom w:w="70" w:type="dxa"/>
              <w:left w:w="90" w:type="dxa"/>
              <w:right w:w="90" w:type="dxa"/>
            </w:tcMar>
          </w:tcPr>
          <w:p>
            <w:pPr>
              <w:spacing w:after="0" w:line="276" w:lineRule="auto"/>
            </w:pPr>
            <w:r>
              <w:rPr>
                <w:rFonts w:ascii="Times New Roman" w:hAnsi="Times New Roman"/>
                <w:sz w:val="18"/>
              </w:rPr>
              <w:t>Research Coordinator</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Displays campus defense pipeline funnel (Proposal -&gt; Pre-Oral -&gt; Final), manuscripts eligible for scheduling, and panel pool availability.</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admin-dashboard.tsx</w:t>
            </w:r>
          </w:p>
        </w:tc>
        <w:tc>
          <w:tcPr>
            <w:tcW w:type="dxa" w:w="2160"/>
            <w:shd w:fill="FFFFFF"/>
            <w:tcMar>
              <w:top w:w="70" w:type="dxa"/>
              <w:bottom w:w="70" w:type="dxa"/>
              <w:left w:w="90" w:type="dxa"/>
              <w:right w:w="90" w:type="dxa"/>
            </w:tcMar>
          </w:tcPr>
          <w:p>
            <w:pPr>
              <w:spacing w:after="0" w:line="276" w:lineRule="auto"/>
            </w:pPr>
            <w:r>
              <w:rPr>
                <w:rFonts w:ascii="Times New Roman" w:hAnsi="Times New Roman"/>
                <w:sz w:val="18"/>
              </w:rPr>
              <w:t>System Administrator</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Displays institution-wide statistics (active projects, enrolled students, faculty panelists), system audit alerts, and database metrics.</w:t>
            </w:r>
          </w:p>
        </w:tc>
      </w:tr>
      <w:tr>
        <w:tc>
          <w:tcPr>
            <w:tcW w:type="dxa" w:w="2880"/>
            <w:shd w:fill="F8FAFC"/>
            <w:tcMar>
              <w:top w:w="70" w:type="dxa"/>
              <w:bottom w:w="70" w:type="dxa"/>
              <w:left w:w="90" w:type="dxa"/>
              <w:right w:w="90" w:type="dxa"/>
            </w:tcMar>
          </w:tcPr>
          <w:p>
            <w:pPr>
              <w:spacing w:after="0" w:line="276" w:lineRule="auto"/>
            </w:pPr>
            <w:r>
              <w:rPr>
                <w:rFonts w:ascii="Times New Roman" w:hAnsi="Times New Roman"/>
                <w:b/>
                <w:sz w:val="18"/>
              </w:rPr>
              <w:t>defense-pipeline.tsx</w:t>
            </w:r>
          </w:p>
        </w:tc>
        <w:tc>
          <w:tcPr>
            <w:tcW w:type="dxa" w:w="2160"/>
            <w:shd w:fill="F8FAFC"/>
            <w:tcMar>
              <w:top w:w="70" w:type="dxa"/>
              <w:bottom w:w="70" w:type="dxa"/>
              <w:left w:w="90" w:type="dxa"/>
              <w:right w:w="90" w:type="dxa"/>
            </w:tcMar>
          </w:tcPr>
          <w:p>
            <w:pPr>
              <w:spacing w:after="0" w:line="276" w:lineRule="auto"/>
            </w:pPr>
            <w:r>
              <w:rPr>
                <w:rFonts w:ascii="Times New Roman" w:hAnsi="Times New Roman"/>
                <w:sz w:val="18"/>
              </w:rPr>
              <w:t>Shared Component</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Visual Kanban / funnel stepper displaying real-time project distribution across defense stages at Partido State University – Goa Campus.</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consensus-dashboard.tsx</w:t>
            </w:r>
          </w:p>
        </w:tc>
        <w:tc>
          <w:tcPr>
            <w:tcW w:type="dxa" w:w="2160"/>
            <w:shd w:fill="FFFFFF"/>
            <w:tcMar>
              <w:top w:w="70" w:type="dxa"/>
              <w:bottom w:w="70" w:type="dxa"/>
              <w:left w:w="90" w:type="dxa"/>
              <w:right w:w="90" w:type="dxa"/>
            </w:tcMar>
          </w:tcPr>
          <w:p>
            <w:pPr>
              <w:spacing w:after="0" w:line="276" w:lineRule="auto"/>
            </w:pPr>
            <w:r>
              <w:rPr>
                <w:rFonts w:ascii="Times New Roman" w:hAnsi="Times New Roman"/>
                <w:sz w:val="18"/>
              </w:rPr>
              <w:t>Coordinator / Dean</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Evaluation variance matrix comparing individual panelist marks to detect score discrepancies (&gt; 15 pts) before final verdict release.</w:t>
            </w:r>
          </w:p>
        </w:tc>
      </w:tr>
      <w:tr>
        <w:tc>
          <w:tcPr>
            <w:tcW w:type="dxa" w:w="2880"/>
            <w:shd w:fill="F8FAFC"/>
            <w:tcMar>
              <w:top w:w="70" w:type="dxa"/>
              <w:bottom w:w="70" w:type="dxa"/>
              <w:left w:w="90" w:type="dxa"/>
              <w:right w:w="90" w:type="dxa"/>
            </w:tcMar>
          </w:tcPr>
          <w:p>
            <w:pPr>
              <w:spacing w:after="0" w:line="276" w:lineRule="auto"/>
            </w:pPr>
            <w:r>
              <w:rPr>
                <w:rFonts w:ascii="Times New Roman" w:hAnsi="Times New Roman"/>
                <w:b/>
                <w:sz w:val="18"/>
              </w:rPr>
              <w:t>activity-feed.tsx</w:t>
            </w:r>
          </w:p>
        </w:tc>
        <w:tc>
          <w:tcPr>
            <w:tcW w:type="dxa" w:w="2160"/>
            <w:shd w:fill="F8FAFC"/>
            <w:tcMar>
              <w:top w:w="70" w:type="dxa"/>
              <w:bottom w:w="70" w:type="dxa"/>
              <w:left w:w="90" w:type="dxa"/>
              <w:right w:w="90" w:type="dxa"/>
            </w:tcMar>
          </w:tcPr>
          <w:p>
            <w:pPr>
              <w:spacing w:after="0" w:line="276" w:lineRule="auto"/>
            </w:pPr>
            <w:r>
              <w:rPr>
                <w:rFonts w:ascii="Times New Roman" w:hAnsi="Times New Roman"/>
                <w:sz w:val="18"/>
              </w:rPr>
              <w:t>Shared Component</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Real-time chronological feed logging recent manuscript uploads, adviser endorsements, defense schedules, and signed evaluations.</w:t>
            </w:r>
          </w:p>
        </w:tc>
      </w:tr>
      <w:tr>
        <w:tc>
          <w:tcPr>
            <w:tcW w:type="dxa" w:w="2880"/>
            <w:shd w:fill="FFFFFF"/>
            <w:tcMar>
              <w:top w:w="70" w:type="dxa"/>
              <w:bottom w:w="70" w:type="dxa"/>
              <w:left w:w="90" w:type="dxa"/>
              <w:right w:w="90" w:type="dxa"/>
            </w:tcMar>
          </w:tcPr>
          <w:p>
            <w:pPr>
              <w:spacing w:after="0" w:line="276" w:lineRule="auto"/>
            </w:pPr>
            <w:r>
              <w:rPr>
                <w:rFonts w:ascii="Times New Roman" w:hAnsi="Times New Roman"/>
                <w:b/>
                <w:sz w:val="18"/>
              </w:rPr>
              <w:t>calendar-view.tsx</w:t>
            </w:r>
          </w:p>
        </w:tc>
        <w:tc>
          <w:tcPr>
            <w:tcW w:type="dxa" w:w="2160"/>
            <w:shd w:fill="FFFFFF"/>
            <w:tcMar>
              <w:top w:w="70" w:type="dxa"/>
              <w:bottom w:w="70" w:type="dxa"/>
              <w:left w:w="90" w:type="dxa"/>
              <w:right w:w="90" w:type="dxa"/>
            </w:tcMar>
          </w:tcPr>
          <w:p>
            <w:pPr>
              <w:spacing w:after="0" w:line="276" w:lineRule="auto"/>
            </w:pPr>
            <w:r>
              <w:rPr>
                <w:rFonts w:ascii="Times New Roman" w:hAnsi="Times New Roman"/>
                <w:sz w:val="18"/>
              </w:rPr>
              <w:t>Shared Component</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Interactive monthly/weekly calendar rendering scheduled defense time slots, assigned rooms, and defense committee names.</w:t>
            </w:r>
          </w:p>
        </w:tc>
      </w:tr>
    </w:tbl>
    <w:p>
      <w:pPr>
        <w:spacing w:before="80" w:after="160"/>
      </w:pPr>
    </w:p>
    <w:p>
      <w:pPr>
        <w:keepNext/>
        <w:spacing w:before="320" w:after="40"/>
      </w:pPr>
      <w:r>
        <w:rPr>
          <w:rFonts w:ascii="Times New Roman" w:hAnsi="Times New Roman"/>
          <w:b/>
          <w:color w:val="002060"/>
          <w:sz w:val="26"/>
        </w:rPr>
        <w:t>5. Normalized Relational Database Schema &amp; Migrations (supabase/migrations/)</w:t>
      </w:r>
    </w:p>
    <w:p>
      <w:pPr>
        <w:keepNext/>
        <w:spacing w:before="0" w:after="160"/>
      </w:pPr>
      <w:r>
        <w:rPr>
          <w:rFonts w:ascii="Times New Roman" w:hAnsi="Times New Roman"/>
          <w:i/>
          <w:color w:val="64748B"/>
          <w:sz w:val="19"/>
        </w:rPr>
        <w:t>PostgreSQL relational schema implementing 26 tables, 1:1 Identity Subtyping, RLS, and stored procedures.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312"/>
            <w:shd w:fill="002060"/>
            <w:tcMar>
              <w:top w:w="100" w:type="dxa"/>
              <w:bottom w:w="100" w:type="dxa"/>
              <w:left w:w="100" w:type="dxa"/>
              <w:right w:w="100" w:type="dxa"/>
            </w:tcMar>
          </w:tcPr>
          <w:p>
            <w:pPr>
              <w:spacing w:after="0"/>
              <w:jc w:val="left"/>
            </w:pPr>
            <w:r>
              <w:rPr>
                <w:rFonts w:ascii="Times New Roman" w:hAnsi="Times New Roman"/>
                <w:b/>
                <w:color w:val="FFFFFF"/>
                <w:sz w:val="19"/>
              </w:rPr>
              <w:t>Migration File</w:t>
            </w:r>
          </w:p>
        </w:tc>
        <w:tc>
          <w:tcPr>
            <w:tcW w:type="dxa" w:w="2016"/>
            <w:shd w:fill="002060"/>
            <w:tcMar>
              <w:top w:w="100" w:type="dxa"/>
              <w:bottom w:w="100" w:type="dxa"/>
              <w:left w:w="100" w:type="dxa"/>
              <w:right w:w="100" w:type="dxa"/>
            </w:tcMar>
          </w:tcPr>
          <w:p>
            <w:pPr>
              <w:spacing w:after="0"/>
              <w:jc w:val="left"/>
            </w:pPr>
            <w:r>
              <w:rPr>
                <w:rFonts w:ascii="Times New Roman" w:hAnsi="Times New Roman"/>
                <w:b/>
                <w:color w:val="FFFFFF"/>
                <w:sz w:val="19"/>
              </w:rPr>
              <w:t>Schema Scope</w:t>
            </w:r>
          </w:p>
        </w:tc>
        <w:tc>
          <w:tcPr>
            <w:tcW w:type="dxa" w:w="4032"/>
            <w:shd w:fill="002060"/>
            <w:tcMar>
              <w:top w:w="100" w:type="dxa"/>
              <w:bottom w:w="100" w:type="dxa"/>
              <w:left w:w="100" w:type="dxa"/>
              <w:right w:w="100" w:type="dxa"/>
            </w:tcMar>
          </w:tcPr>
          <w:p>
            <w:pPr>
              <w:spacing w:after="0"/>
              <w:jc w:val="left"/>
            </w:pPr>
            <w:r>
              <w:rPr>
                <w:rFonts w:ascii="Times New Roman" w:hAnsi="Times New Roman"/>
                <w:b/>
                <w:color w:val="FFFFFF"/>
                <w:sz w:val="19"/>
              </w:rPr>
              <w:t>Key Tables, Constraints &amp; Stored Procedures Created</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20250609000001_initial_schema.sql</w:t>
            </w:r>
          </w:p>
        </w:tc>
        <w:tc>
          <w:tcPr>
            <w:tcW w:type="dxa" w:w="2016"/>
            <w:shd w:fill="FFFFFF"/>
            <w:tcMar>
              <w:top w:w="70" w:type="dxa"/>
              <w:bottom w:w="70" w:type="dxa"/>
              <w:left w:w="90" w:type="dxa"/>
              <w:right w:w="90" w:type="dxa"/>
            </w:tcMar>
          </w:tcPr>
          <w:p>
            <w:pPr>
              <w:spacing w:after="0" w:line="276" w:lineRule="auto"/>
            </w:pPr>
            <w:r>
              <w:rPr>
                <w:rFonts w:ascii="Times New Roman" w:hAnsi="Times New Roman"/>
                <w:sz w:val="18"/>
              </w:rPr>
              <w:t>Core Schema</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Creates campuses, departments, programs, profiles, students, faculty, projects, defense_stages, and evaluations.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20250609000002_storage_policies.sql</w:t>
            </w:r>
          </w:p>
        </w:tc>
        <w:tc>
          <w:tcPr>
            <w:tcW w:type="dxa" w:w="2016"/>
            <w:shd w:fill="F8FAFC"/>
            <w:tcMar>
              <w:top w:w="70" w:type="dxa"/>
              <w:bottom w:w="70" w:type="dxa"/>
              <w:left w:w="90" w:type="dxa"/>
              <w:right w:w="90" w:type="dxa"/>
            </w:tcMar>
          </w:tcPr>
          <w:p>
            <w:pPr>
              <w:spacing w:after="0" w:line="276" w:lineRule="auto"/>
            </w:pPr>
            <w:r>
              <w:rPr>
                <w:rFonts w:ascii="Times New Roman" w:hAnsi="Times New Roman"/>
                <w:sz w:val="18"/>
              </w:rPr>
              <w:t>Storage Security</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Configures Row-Level Security policies on the 'manuscripts' storage bucket restricting unauthorized downloads.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20260610000001_auth_roles_extension.sql</w:t>
            </w:r>
          </w:p>
        </w:tc>
        <w:tc>
          <w:tcPr>
            <w:tcW w:type="dxa" w:w="2016"/>
            <w:shd w:fill="FFFFFF"/>
            <w:tcMar>
              <w:top w:w="70" w:type="dxa"/>
              <w:bottom w:w="70" w:type="dxa"/>
              <w:left w:w="90" w:type="dxa"/>
              <w:right w:w="90" w:type="dxa"/>
            </w:tcMar>
          </w:tcPr>
          <w:p>
            <w:pPr>
              <w:spacing w:after="0" w:line="276" w:lineRule="auto"/>
            </w:pPr>
            <w:r>
              <w:rPr>
                <w:rFonts w:ascii="Times New Roman" w:hAnsi="Times New Roman"/>
                <w:sz w:val="18"/>
              </w:rPr>
              <w:t>NIST RBAC</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Creates roles, permissions, and user_roles supporting multi-role faculty appointments (e.g. faculty acting as both adviser and panelist).</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20260610000004_rubric_templates.sql</w:t>
            </w:r>
          </w:p>
        </w:tc>
        <w:tc>
          <w:tcPr>
            <w:tcW w:type="dxa" w:w="2016"/>
            <w:shd w:fill="F8FAFC"/>
            <w:tcMar>
              <w:top w:w="70" w:type="dxa"/>
              <w:bottom w:w="70" w:type="dxa"/>
              <w:left w:w="90" w:type="dxa"/>
              <w:right w:w="90" w:type="dxa"/>
            </w:tcMar>
          </w:tcPr>
          <w:p>
            <w:pPr>
              <w:spacing w:after="0" w:line="276" w:lineRule="auto"/>
            </w:pPr>
            <w:r>
              <w:rPr>
                <w:rFonts w:ascii="Times New Roman" w:hAnsi="Times New Roman"/>
                <w:sz w:val="18"/>
              </w:rPr>
              <w:t>Rubric Engine</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Creates rubric_templates table storing dynamic criteria arrays, passing scores, honors thresholds, and revision limits.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20260707000001_rbac_and_signature_module.sql</w:t>
            </w:r>
          </w:p>
        </w:tc>
        <w:tc>
          <w:tcPr>
            <w:tcW w:type="dxa" w:w="2016"/>
            <w:shd w:fill="FFFFFF"/>
            <w:tcMar>
              <w:top w:w="70" w:type="dxa"/>
              <w:bottom w:w="70" w:type="dxa"/>
              <w:left w:w="90" w:type="dxa"/>
              <w:right w:w="90" w:type="dxa"/>
            </w:tcMar>
          </w:tcPr>
          <w:p>
            <w:pPr>
              <w:spacing w:after="0" w:line="276" w:lineRule="auto"/>
            </w:pPr>
            <w:r>
              <w:rPr>
                <w:rFonts w:ascii="Times New Roman" w:hAnsi="Times New Roman"/>
                <w:sz w:val="18"/>
              </w:rPr>
              <w:t>Signatures Prep</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Extends user_roles and creates preliminary schemas for digital certificate issuance and cryptographic signatures.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20260707000005_notifications_engine.sql</w:t>
            </w:r>
          </w:p>
        </w:tc>
        <w:tc>
          <w:tcPr>
            <w:tcW w:type="dxa" w:w="2016"/>
            <w:shd w:fill="F8FAFC"/>
            <w:tcMar>
              <w:top w:w="70" w:type="dxa"/>
              <w:bottom w:w="70" w:type="dxa"/>
              <w:left w:w="90" w:type="dxa"/>
              <w:right w:w="90" w:type="dxa"/>
            </w:tcMar>
          </w:tcPr>
          <w:p>
            <w:pPr>
              <w:spacing w:after="0" w:line="276" w:lineRule="auto"/>
            </w:pPr>
            <w:r>
              <w:rPr>
                <w:rFonts w:ascii="Times New Roman" w:hAnsi="Times New Roman"/>
                <w:sz w:val="18"/>
              </w:rPr>
              <w:t>Notifications</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Creates notifications table with delivery channels, event types, read status, and indexes for real-time delivery.</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003_certificate_serial_sequence.sql</w:t>
            </w:r>
          </w:p>
        </w:tc>
        <w:tc>
          <w:tcPr>
            <w:tcW w:type="dxa" w:w="2016"/>
            <w:shd w:fill="FFFFFF"/>
            <w:tcMar>
              <w:top w:w="70" w:type="dxa"/>
              <w:bottom w:w="70" w:type="dxa"/>
              <w:left w:w="90" w:type="dxa"/>
              <w:right w:w="90" w:type="dxa"/>
            </w:tcMar>
          </w:tcPr>
          <w:p>
            <w:pPr>
              <w:spacing w:after="0" w:line="276" w:lineRule="auto"/>
            </w:pPr>
            <w:r>
              <w:rPr>
                <w:rFonts w:ascii="Times New Roman" w:hAnsi="Times New Roman"/>
                <w:sz w:val="18"/>
              </w:rPr>
              <w:t>Stored Procedure</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Creates PostgreSQL sequence and generate_certificate_serial() procedure producing sequential identifiers (AURORA-YYYY-XXXXX).</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007_adviser_approval_status_check.sql</w:t>
            </w:r>
          </w:p>
        </w:tc>
        <w:tc>
          <w:tcPr>
            <w:tcW w:type="dxa" w:w="2016"/>
            <w:shd w:fill="F8FAFC"/>
            <w:tcMar>
              <w:top w:w="70" w:type="dxa"/>
              <w:bottom w:w="70" w:type="dxa"/>
              <w:left w:w="90" w:type="dxa"/>
              <w:right w:w="90" w:type="dxa"/>
            </w:tcMar>
          </w:tcPr>
          <w:p>
            <w:pPr>
              <w:spacing w:after="0" w:line="276" w:lineRule="auto"/>
            </w:pPr>
            <w:r>
              <w:rPr>
                <w:rFonts w:ascii="Times New Roman" w:hAnsi="Times New Roman"/>
                <w:sz w:val="18"/>
              </w:rPr>
              <w:t>Integrity Constraint</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Adds CHECK constraint enforcing adviser_approval_status IN ('pending', 'approved', 'rejected') on the documents table.</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009_college_dean_role.sql</w:t>
            </w:r>
          </w:p>
        </w:tc>
        <w:tc>
          <w:tcPr>
            <w:tcW w:type="dxa" w:w="2016"/>
            <w:shd w:fill="FFFFFF"/>
            <w:tcMar>
              <w:top w:w="70" w:type="dxa"/>
              <w:bottom w:w="70" w:type="dxa"/>
              <w:left w:w="90" w:type="dxa"/>
              <w:right w:w="90" w:type="dxa"/>
            </w:tcMar>
          </w:tcPr>
          <w:p>
            <w:pPr>
              <w:spacing w:after="0" w:line="276" w:lineRule="auto"/>
            </w:pPr>
            <w:r>
              <w:rPr>
                <w:rFonts w:ascii="Times New Roman" w:hAnsi="Times New Roman"/>
                <w:sz w:val="18"/>
              </w:rPr>
              <w:t>Executive Oversight</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Adds college_dean role with collegiate oversight permissions across CECS, COE, COB, CAH, and COS.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010_workflow_history.sql</w:t>
            </w:r>
          </w:p>
        </w:tc>
        <w:tc>
          <w:tcPr>
            <w:tcW w:type="dxa" w:w="2016"/>
            <w:shd w:fill="F8FAFC"/>
            <w:tcMar>
              <w:top w:w="70" w:type="dxa"/>
              <w:bottom w:w="70" w:type="dxa"/>
              <w:left w:w="90" w:type="dxa"/>
              <w:right w:w="90" w:type="dxa"/>
            </w:tcMar>
          </w:tcPr>
          <w:p>
            <w:pPr>
              <w:spacing w:after="0" w:line="276" w:lineRule="auto"/>
            </w:pPr>
            <w:r>
              <w:rPr>
                <w:rFonts w:ascii="Times New Roman" w:hAnsi="Times New Roman"/>
                <w:sz w:val="18"/>
              </w:rPr>
              <w:t>Audit Trail</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Creates workflow_transitions table recording immutable history of all project stage transitions and rationale.</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011_signature_profiles.sql</w:t>
            </w:r>
          </w:p>
        </w:tc>
        <w:tc>
          <w:tcPr>
            <w:tcW w:type="dxa" w:w="2016"/>
            <w:shd w:fill="FFFFFF"/>
            <w:tcMar>
              <w:top w:w="70" w:type="dxa"/>
              <w:bottom w:w="70" w:type="dxa"/>
              <w:left w:w="90" w:type="dxa"/>
              <w:right w:w="90" w:type="dxa"/>
            </w:tcMar>
          </w:tcPr>
          <w:p>
            <w:pPr>
              <w:spacing w:after="0" w:line="276" w:lineRule="auto"/>
            </w:pPr>
            <w:r>
              <w:rPr>
                <w:rFonts w:ascii="Times New Roman" w:hAnsi="Times New Roman"/>
                <w:sz w:val="18"/>
              </w:rPr>
              <w:t>Specimen Ledger</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Creates signature_profiles table for one-time faculty specimen registration with SHA-256 fingerprint hashing.</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012_digital_signatures.sql</w:t>
            </w:r>
          </w:p>
        </w:tc>
        <w:tc>
          <w:tcPr>
            <w:tcW w:type="dxa" w:w="2016"/>
            <w:shd w:fill="F8FAFC"/>
            <w:tcMar>
              <w:top w:w="70" w:type="dxa"/>
              <w:bottom w:w="70" w:type="dxa"/>
              <w:left w:w="90" w:type="dxa"/>
              <w:right w:w="90" w:type="dxa"/>
            </w:tcMar>
          </w:tcPr>
          <w:p>
            <w:pPr>
              <w:spacing w:after="0" w:line="276" w:lineRule="auto"/>
            </w:pPr>
            <w:r>
              <w:rPr>
                <w:rFonts w:ascii="Times New Roman" w:hAnsi="Times New Roman"/>
                <w:sz w:val="18"/>
              </w:rPr>
              <w:t>Signature Ledger</w:t>
            </w:r>
          </w:p>
        </w:tc>
        <w:tc>
          <w:tcPr>
            <w:tcW w:type="dxa" w:w="4032"/>
            <w:shd w:fill="F8FAFC"/>
            <w:tcMar>
              <w:top w:w="70" w:type="dxa"/>
              <w:bottom w:w="70" w:type="dxa"/>
              <w:left w:w="90" w:type="dxa"/>
              <w:right w:w="90" w:type="dxa"/>
            </w:tcMar>
          </w:tcPr>
          <w:p>
            <w:pPr>
              <w:spacing w:after="0" w:line="276" w:lineRule="auto"/>
            </w:pPr>
            <w:r>
              <w:rPr>
                <w:rFonts w:ascii="Times New Roman" w:hAnsi="Times New Roman"/>
                <w:sz w:val="18"/>
              </w:rPr>
              <w:t>Creates digital_signatures table storing deterministic payload SHA-256 hashes, certificate serials, IP addresses, and user agents.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013_fix_adviser_approval_default.sql</w:t>
            </w:r>
          </w:p>
        </w:tc>
        <w:tc>
          <w:tcPr>
            <w:tcW w:type="dxa" w:w="2016"/>
            <w:shd w:fill="FFFFFF"/>
            <w:tcMar>
              <w:top w:w="70" w:type="dxa"/>
              <w:bottom w:w="70" w:type="dxa"/>
              <w:left w:w="90" w:type="dxa"/>
              <w:right w:w="90" w:type="dxa"/>
            </w:tcMar>
          </w:tcPr>
          <w:p>
            <w:pPr>
              <w:spacing w:after="0" w:line="276" w:lineRule="auto"/>
            </w:pPr>
            <w:r>
              <w:rPr>
                <w:rFonts w:ascii="Times New Roman" w:hAnsi="Times New Roman"/>
                <w:sz w:val="18"/>
              </w:rPr>
              <w:t>Consultation Gate</w:t>
            </w:r>
          </w:p>
        </w:tc>
        <w:tc>
          <w:tcPr>
            <w:tcW w:type="dxa" w:w="4032"/>
            <w:shd w:fill="FFFFFF"/>
            <w:tcMar>
              <w:top w:w="70" w:type="dxa"/>
              <w:bottom w:w="70" w:type="dxa"/>
              <w:left w:w="90" w:type="dxa"/>
              <w:right w:w="90" w:type="dxa"/>
            </w:tcMar>
          </w:tcPr>
          <w:p>
            <w:pPr>
              <w:spacing w:after="0" w:line="276" w:lineRule="auto"/>
            </w:pPr>
            <w:r>
              <w:rPr>
                <w:rFonts w:ascii="Times New Roman" w:hAnsi="Times New Roman"/>
                <w:sz w:val="18"/>
              </w:rPr>
              <w:t>Sets documents.adviser_approval_status default to 'pending' and resets unendorsed records, enforcing adviser review.</w:t>
            </w:r>
          </w:p>
        </w:tc>
      </w:tr>
    </w:tbl>
    <w:p>
      <w:pPr>
        <w:spacing w:before="80" w:after="160"/>
      </w:pPr>
    </w:p>
    <w:p>
      <w:pPr>
        <w:keepNext/>
        <w:spacing w:before="320" w:after="40"/>
      </w:pPr>
      <w:r>
        <w:rPr>
          <w:rFonts w:ascii="Times New Roman" w:hAnsi="Times New Roman"/>
          <w:b/>
          <w:color w:val="002060"/>
          <w:sz w:val="26"/>
        </w:rPr>
        <w:t>6. Shared Layouts, UI Primitives, Types, Hooks &amp; Auth Providers</w:t>
      </w:r>
    </w:p>
    <w:p>
      <w:pPr>
        <w:keepNext/>
        <w:spacing w:before="0" w:after="160"/>
      </w:pPr>
      <w:r>
        <w:rPr>
          <w:rFonts w:ascii="Times New Roman" w:hAnsi="Times New Roman"/>
          <w:i/>
          <w:color w:val="64748B"/>
          <w:sz w:val="19"/>
        </w:rPr>
        <w:t>Supporting infrastructure providing responsive layouts, type safety, and global auth context.</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312"/>
            <w:shd w:fill="002060"/>
            <w:tcMar>
              <w:top w:w="100" w:type="dxa"/>
              <w:bottom w:w="100" w:type="dxa"/>
              <w:left w:w="100" w:type="dxa"/>
              <w:right w:w="100" w:type="dxa"/>
            </w:tcMar>
          </w:tcPr>
          <w:p>
            <w:pPr>
              <w:spacing w:after="0"/>
              <w:jc w:val="left"/>
            </w:pPr>
            <w:r>
              <w:rPr>
                <w:rFonts w:ascii="Times New Roman" w:hAnsi="Times New Roman"/>
                <w:b/>
                <w:color w:val="FFFFFF"/>
                <w:sz w:val="19"/>
              </w:rPr>
              <w:t>File / Folder Path</w:t>
            </w:r>
          </w:p>
        </w:tc>
        <w:tc>
          <w:tcPr>
            <w:tcW w:type="dxa" w:w="1728"/>
            <w:shd w:fill="002060"/>
            <w:tcMar>
              <w:top w:w="100" w:type="dxa"/>
              <w:bottom w:w="100" w:type="dxa"/>
              <w:left w:w="100" w:type="dxa"/>
              <w:right w:w="100" w:type="dxa"/>
            </w:tcMar>
          </w:tcPr>
          <w:p>
            <w:pPr>
              <w:spacing w:after="0"/>
              <w:jc w:val="left"/>
            </w:pPr>
            <w:r>
              <w:rPr>
                <w:rFonts w:ascii="Times New Roman" w:hAnsi="Times New Roman"/>
                <w:b/>
                <w:color w:val="FFFFFF"/>
                <w:sz w:val="19"/>
              </w:rPr>
              <w:t>Category</w:t>
            </w:r>
          </w:p>
        </w:tc>
        <w:tc>
          <w:tcPr>
            <w:tcW w:type="dxa" w:w="4320"/>
            <w:shd w:fill="002060"/>
            <w:tcMar>
              <w:top w:w="100" w:type="dxa"/>
              <w:bottom w:w="100" w:type="dxa"/>
              <w:left w:w="100" w:type="dxa"/>
              <w:right w:w="100" w:type="dxa"/>
            </w:tcMar>
          </w:tcPr>
          <w:p>
            <w:pPr>
              <w:spacing w:after="0"/>
              <w:jc w:val="left"/>
            </w:pPr>
            <w:r>
              <w:rPr>
                <w:rFonts w:ascii="Times New Roman" w:hAnsi="Times New Roman"/>
                <w:b/>
                <w:color w:val="FFFFFF"/>
                <w:sz w:val="19"/>
              </w:rPr>
              <w:t>Technical Implementation &amp; Architectural Function</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src/components/layout/app-shell.tsx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Layout</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Root application shell managing collapsible sidebar, mobile drawer, top navigation bar, and dark mode theme.</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src/components/layout/app-header.tsx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Layout</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Top header displaying ParSU institutional crest, active user role badge, notification bell popover, and profile menu.</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src/components/layout/app-sidebar.tsx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Layout</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Dynamic sidebar rendering role-tailored navigation links based on user permissions.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src/components/documents/pdf-uploader.tsx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Document</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Client-side manuscript uploader computing SHA-256 checksums before upload to prevent corrupted files.</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src/components/auth/role-guard.tsx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Security</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Higher-order wrapper component conditionally mounting UI elements based on active role permissions.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src/types/database.ts</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TypeScript</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Complete auto-generated and extended TypeScript interfaces matching every table, foreign key, and enum in PostgreSQL.</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src/types/enums.ts</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TypeScript</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Canonical enum definitions (RoleCode, DefenseStage, VerdictCode, RevisionStatus, AnnotationSeverity, AuditAction).</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src/hooks/use-auth.ts</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React Hook</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Custom client hook providing authenticated user profile, active role array, and institutional department data.</w:t>
            </w:r>
          </w:p>
        </w:tc>
      </w:tr>
      <w:tr>
        <w:tc>
          <w:tcPr>
            <w:tcW w:type="dxa" w:w="3312"/>
            <w:shd w:fill="FFFFFF"/>
            <w:tcMar>
              <w:top w:w="70" w:type="dxa"/>
              <w:bottom w:w="70" w:type="dxa"/>
              <w:left w:w="90" w:type="dxa"/>
              <w:right w:w="90" w:type="dxa"/>
            </w:tcMar>
          </w:tcPr>
          <w:p>
            <w:pPr>
              <w:spacing w:after="0" w:line="276" w:lineRule="auto"/>
            </w:pPr>
            <w:r>
              <w:rPr>
                <w:rFonts w:ascii="Times New Roman" w:hAnsi="Times New Roman"/>
                <w:b/>
                <w:sz w:val="18"/>
              </w:rPr>
              <w:t>src/providers/auth-provider.tsx</w:t>
            </w:r>
          </w:p>
        </w:tc>
        <w:tc>
          <w:tcPr>
            <w:tcW w:type="dxa" w:w="1728"/>
            <w:shd w:fill="FFFFFF"/>
            <w:tcMar>
              <w:top w:w="70" w:type="dxa"/>
              <w:bottom w:w="70" w:type="dxa"/>
              <w:left w:w="90" w:type="dxa"/>
              <w:right w:w="90" w:type="dxa"/>
            </w:tcMar>
          </w:tcPr>
          <w:p>
            <w:pPr>
              <w:spacing w:after="0" w:line="276" w:lineRule="auto"/>
            </w:pPr>
            <w:r>
              <w:rPr>
                <w:rFonts w:ascii="Times New Roman" w:hAnsi="Times New Roman"/>
                <w:sz w:val="18"/>
              </w:rPr>
              <w:t>React Context</w:t>
            </w:r>
          </w:p>
        </w:tc>
        <w:tc>
          <w:tcPr>
            <w:tcW w:type="dxa" w:w="4320"/>
            <w:shd w:fill="FFFFFF"/>
            <w:tcMar>
              <w:top w:w="70" w:type="dxa"/>
              <w:bottom w:w="70" w:type="dxa"/>
              <w:left w:w="90" w:type="dxa"/>
              <w:right w:w="90" w:type="dxa"/>
            </w:tcMar>
          </w:tcPr>
          <w:p>
            <w:pPr>
              <w:spacing w:after="0" w:line="276" w:lineRule="auto"/>
            </w:pPr>
            <w:r>
              <w:rPr>
                <w:rFonts w:ascii="Times New Roman" w:hAnsi="Times New Roman"/>
                <w:sz w:val="18"/>
              </w:rPr>
              <w:t>Global authentication context wrapper maintaining user session state and syncing auth events.</w:t>
            </w:r>
          </w:p>
        </w:tc>
      </w:tr>
      <w:tr>
        <w:tc>
          <w:tcPr>
            <w:tcW w:type="dxa" w:w="3312"/>
            <w:shd w:fill="F8FAFC"/>
            <w:tcMar>
              <w:top w:w="70" w:type="dxa"/>
              <w:bottom w:w="70" w:type="dxa"/>
              <w:left w:w="90" w:type="dxa"/>
              <w:right w:w="90" w:type="dxa"/>
            </w:tcMar>
          </w:tcPr>
          <w:p>
            <w:pPr>
              <w:spacing w:after="0" w:line="276" w:lineRule="auto"/>
            </w:pPr>
            <w:r>
              <w:rPr>
                <w:rFonts w:ascii="Times New Roman" w:hAnsi="Times New Roman"/>
                <w:b/>
                <w:sz w:val="18"/>
              </w:rPr>
              <w:t>src/providers/query-provider.tsx</w:t>
            </w:r>
          </w:p>
        </w:tc>
        <w:tc>
          <w:tcPr>
            <w:tcW w:type="dxa" w:w="1728"/>
            <w:shd w:fill="F8FAFC"/>
            <w:tcMar>
              <w:top w:w="70" w:type="dxa"/>
              <w:bottom w:w="70" w:type="dxa"/>
              <w:left w:w="90" w:type="dxa"/>
              <w:right w:w="90" w:type="dxa"/>
            </w:tcMar>
          </w:tcPr>
          <w:p>
            <w:pPr>
              <w:spacing w:after="0" w:line="276" w:lineRule="auto"/>
            </w:pPr>
            <w:r>
              <w:rPr>
                <w:rFonts w:ascii="Times New Roman" w:hAnsi="Times New Roman"/>
                <w:sz w:val="18"/>
              </w:rPr>
              <w:t>React Context</w:t>
            </w:r>
          </w:p>
        </w:tc>
        <w:tc>
          <w:tcPr>
            <w:tcW w:type="dxa" w:w="4320"/>
            <w:shd w:fill="F8FAFC"/>
            <w:tcMar>
              <w:top w:w="70" w:type="dxa"/>
              <w:bottom w:w="70" w:type="dxa"/>
              <w:left w:w="90" w:type="dxa"/>
              <w:right w:w="90" w:type="dxa"/>
            </w:tcMar>
          </w:tcPr>
          <w:p>
            <w:pPr>
              <w:spacing w:after="0" w:line="276" w:lineRule="auto"/>
            </w:pPr>
            <w:r>
              <w:rPr>
                <w:rFonts w:ascii="Times New Roman" w:hAnsi="Times New Roman"/>
                <w:sz w:val="18"/>
              </w:rPr>
              <w:t>TanStack React Query client provider enabling intelligent caching and background refetching.</w:t>
            </w:r>
          </w:p>
        </w:tc>
      </w:tr>
    </w:tbl>
    <w:p>
      <w:pPr>
        <w:spacing w:before="80" w:after="160"/>
      </w:pPr>
    </w:p>
    <w:p>
      <w:pPr>
        <w:keepNext/>
        <w:spacing w:before="320" w:after="40"/>
      </w:pPr>
      <w:r>
        <w:rPr>
          <w:rFonts w:ascii="Times New Roman" w:hAnsi="Times New Roman"/>
          <w:b/>
          <w:color w:val="002060"/>
          <w:sz w:val="26"/>
        </w:rPr>
        <w:t>7. Panelist Defense Verification Map (Defense Cheat Sheet)</w:t>
      </w:r>
    </w:p>
    <w:p>
      <w:pPr>
        <w:keepNext/>
        <w:spacing w:before="0" w:after="160"/>
      </w:pPr>
      <w:r>
        <w:rPr>
          <w:rFonts w:ascii="Times New Roman" w:hAnsi="Times New Roman"/>
          <w:i/>
          <w:color w:val="64748B"/>
          <w:sz w:val="19"/>
        </w:rPr>
        <w:t>Direct mapping of critical capstone panel inquiries to the exact files and lines of source code.</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293B"/>
            <w:tcMar>
              <w:top w:w="100" w:type="dxa"/>
              <w:bottom w:w="100" w:type="dxa"/>
              <w:left w:w="100" w:type="dxa"/>
              <w:right w:w="100" w:type="dxa"/>
            </w:tcMar>
          </w:tcPr>
          <w:p>
            <w:pPr>
              <w:spacing w:after="0"/>
              <w:jc w:val="left"/>
            </w:pPr>
            <w:r>
              <w:rPr>
                <w:rFonts w:ascii="Times New Roman" w:hAnsi="Times New Roman"/>
                <w:b/>
                <w:color w:val="FFFFFF"/>
                <w:sz w:val="19"/>
              </w:rPr>
              <w:t>Panelist Defense Inquiry</w:t>
            </w:r>
          </w:p>
        </w:tc>
        <w:tc>
          <w:tcPr>
            <w:tcW w:type="dxa" w:w="3888"/>
            <w:shd w:fill="1E293B"/>
            <w:tcMar>
              <w:top w:w="100" w:type="dxa"/>
              <w:bottom w:w="100" w:type="dxa"/>
              <w:left w:w="100" w:type="dxa"/>
              <w:right w:w="100" w:type="dxa"/>
            </w:tcMar>
          </w:tcPr>
          <w:p>
            <w:pPr>
              <w:spacing w:after="0"/>
              <w:jc w:val="left"/>
            </w:pPr>
            <w:r>
              <w:rPr>
                <w:rFonts w:ascii="Times New Roman" w:hAnsi="Times New Roman"/>
                <w:b/>
                <w:color w:val="FFFFFF"/>
                <w:sz w:val="19"/>
              </w:rPr>
              <w:t>Institutional &amp; Security Mechanism</w:t>
            </w:r>
          </w:p>
        </w:tc>
        <w:tc>
          <w:tcPr>
            <w:tcW w:type="dxa" w:w="2880"/>
            <w:shd w:fill="1E293B"/>
            <w:tcMar>
              <w:top w:w="100" w:type="dxa"/>
              <w:bottom w:w="100" w:type="dxa"/>
              <w:left w:w="100" w:type="dxa"/>
              <w:right w:w="100" w:type="dxa"/>
            </w:tcMar>
          </w:tcPr>
          <w:p>
            <w:pPr>
              <w:spacing w:after="0"/>
              <w:jc w:val="left"/>
            </w:pPr>
            <w:r>
              <w:rPr>
                <w:rFonts w:ascii="Times New Roman" w:hAnsi="Times New Roman"/>
                <w:b/>
                <w:color w:val="FFFFFF"/>
                <w:sz w:val="19"/>
              </w:rPr>
              <w:t>Source Code Verification Map</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Where is the Conflict of Interest check implemented?</w:t>
            </w:r>
          </w:p>
        </w:tc>
        <w:tc>
          <w:tcPr>
            <w:tcW w:type="dxa" w:w="3888"/>
            <w:shd w:fill="FFFFFF"/>
            <w:tcMar>
              <w:top w:w="70" w:type="dxa"/>
              <w:bottom w:w="70" w:type="dxa"/>
              <w:left w:w="90" w:type="dxa"/>
              <w:right w:w="90" w:type="dxa"/>
            </w:tcMar>
          </w:tcPr>
          <w:p>
            <w:pPr>
              <w:spacing w:after="0" w:line="276" w:lineRule="auto"/>
            </w:pPr>
            <w:r>
              <w:rPr>
                <w:rFonts w:ascii="Times New Roman" w:hAnsi="Times New Roman"/>
                <w:sz w:val="18"/>
              </w:rPr>
              <w:t>In the defense scheduler server action and UI. The system verifies whether any assigned panelist matches the project's adviser_profile_id. If a match is found, the system displays a ShieldAlert banner and rejects the schedule.</w:t>
            </w:r>
          </w:p>
        </w:tc>
        <w:tc>
          <w:tcPr>
            <w:tcW w:type="dxa" w:w="2880"/>
            <w:shd w:fill="FFFFFF"/>
            <w:tcMar>
              <w:top w:w="70" w:type="dxa"/>
              <w:bottom w:w="70" w:type="dxa"/>
              <w:left w:w="90" w:type="dxa"/>
              <w:right w:w="90" w:type="dxa"/>
            </w:tcMar>
          </w:tcPr>
          <w:p>
            <w:pPr>
              <w:spacing w:after="0" w:line="276" w:lineRule="auto"/>
            </w:pPr>
            <w:r>
              <w:rPr>
                <w:rFonts w:ascii="Times New Roman" w:hAnsi="Times New Roman"/>
                <w:sz w:val="18"/>
              </w:rPr>
              <w:t>src/lib/scheduler/actions.ts (Lines 75-85 &amp; 380-390)</w:t>
              <w:br/>
              <w:t>src/app/(app)/dashboard/defenses/schedule/page.tsx (Lines 996-1004)</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How does the system ensure non-repudiation of electronic signatures under RA 8792?</w:t>
            </w:r>
          </w:p>
        </w:tc>
        <w:tc>
          <w:tcPr>
            <w:tcW w:type="dxa" w:w="3888"/>
            <w:shd w:fill="F8FAFC"/>
            <w:tcMar>
              <w:top w:w="70" w:type="dxa"/>
              <w:bottom w:w="70" w:type="dxa"/>
              <w:left w:w="90" w:type="dxa"/>
              <w:right w:w="90" w:type="dxa"/>
            </w:tcMar>
          </w:tcPr>
          <w:p>
            <w:pPr>
              <w:spacing w:after="0" w:line="276" w:lineRule="auto"/>
            </w:pPr>
            <w:r>
              <w:rPr>
                <w:rFonts w:ascii="Times New Roman" w:hAnsi="Times New Roman"/>
                <w:sz w:val="18"/>
              </w:rPr>
              <w:t>At the moment of signing, the panelist must re-enter their ParSU account password. The server performs stateless credential verification. The scores and metadata are hashed via SHA-256, generating an immutable certificate serial.</w:t>
            </w:r>
          </w:p>
        </w:tc>
        <w:tc>
          <w:tcPr>
            <w:tcW w:type="dxa" w:w="2880"/>
            <w:shd w:fill="F8FAFC"/>
            <w:tcMar>
              <w:top w:w="70" w:type="dxa"/>
              <w:bottom w:w="70" w:type="dxa"/>
              <w:left w:w="90" w:type="dxa"/>
              <w:right w:w="90" w:type="dxa"/>
            </w:tcMar>
          </w:tcPr>
          <w:p>
            <w:pPr>
              <w:spacing w:after="0" w:line="276" w:lineRule="auto"/>
            </w:pPr>
            <w:r>
              <w:rPr>
                <w:rFonts w:ascii="Times New Roman" w:hAnsi="Times New Roman"/>
                <w:sz w:val="18"/>
              </w:rPr>
              <w:t>src/components/workspace/signature-dialog.tsx (Lines 498-530)</w:t>
              <w:br/>
              <w:t>src/lib/evaluations/actions.ts (Lines 195-225)</w:t>
              <w:br/>
              <w:t>src/lib/signatures/actions.ts (Lines 260-285)</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How does the system prevent premature defense scheduling before adviser endorsement?</w:t>
            </w:r>
          </w:p>
        </w:tc>
        <w:tc>
          <w:tcPr>
            <w:tcW w:type="dxa" w:w="3888"/>
            <w:shd w:fill="FFFFFF"/>
            <w:tcMar>
              <w:top w:w="70" w:type="dxa"/>
              <w:bottom w:w="70" w:type="dxa"/>
              <w:left w:w="90" w:type="dxa"/>
              <w:right w:w="90" w:type="dxa"/>
            </w:tcMar>
          </w:tcPr>
          <w:p>
            <w:pPr>
              <w:spacing w:after="0" w:line="276" w:lineRule="auto"/>
            </w:pPr>
            <w:r>
              <w:rPr>
                <w:rFonts w:ascii="Times New Roman" w:hAnsi="Times New Roman"/>
                <w:sz w:val="18"/>
              </w:rPr>
              <w:t>Documents default to adviser_approval_status = 'pending'. The scheduler query explicitly checks doc.adviser_approval_status === 'approved'. Projects remain in 'Under Consultation' until the adviser affirms endorsement.</w:t>
            </w:r>
          </w:p>
        </w:tc>
        <w:tc>
          <w:tcPr>
            <w:tcW w:type="dxa" w:w="2880"/>
            <w:shd w:fill="FFFFFF"/>
            <w:tcMar>
              <w:top w:w="70" w:type="dxa"/>
              <w:bottom w:w="70" w:type="dxa"/>
              <w:left w:w="90" w:type="dxa"/>
              <w:right w:w="90" w:type="dxa"/>
            </w:tcMar>
          </w:tcPr>
          <w:p>
            <w:pPr>
              <w:spacing w:after="0" w:line="276" w:lineRule="auto"/>
            </w:pPr>
            <w:r>
              <w:rPr>
                <w:rFonts w:ascii="Times New Roman" w:hAnsi="Times New Roman"/>
                <w:sz w:val="18"/>
              </w:rPr>
              <w:t>src/lib/scheduler/actions.ts (Lines 81-85 &amp; 385-390)</w:t>
              <w:br/>
              <w:t>src/components/workspace/grading-panel.tsx (Lines 1008-1025)</w:t>
              <w:br/>
              <w:t>supabase/migrations/013_fix_adviser_approval_default.sql</w:t>
            </w:r>
          </w:p>
        </w:tc>
      </w:tr>
      <w:tr>
        <w:tc>
          <w:tcPr>
            <w:tcW w:type="dxa" w:w="2592"/>
            <w:shd w:fill="F8FAFC"/>
            <w:tcMar>
              <w:top w:w="70" w:type="dxa"/>
              <w:bottom w:w="70" w:type="dxa"/>
              <w:left w:w="90" w:type="dxa"/>
              <w:right w:w="90" w:type="dxa"/>
            </w:tcMar>
          </w:tcPr>
          <w:p>
            <w:pPr>
              <w:spacing w:after="0" w:line="276" w:lineRule="auto"/>
            </w:pPr>
            <w:r>
              <w:rPr>
                <w:rFonts w:ascii="Times New Roman" w:hAnsi="Times New Roman"/>
                <w:b/>
                <w:sz w:val="18"/>
              </w:rPr>
              <w:t>How are coordinate-based annotations kept device-independent across zoom levels?</w:t>
            </w:r>
          </w:p>
        </w:tc>
        <w:tc>
          <w:tcPr>
            <w:tcW w:type="dxa" w:w="3888"/>
            <w:shd w:fill="F8FAFC"/>
            <w:tcMar>
              <w:top w:w="70" w:type="dxa"/>
              <w:bottom w:w="70" w:type="dxa"/>
              <w:left w:w="90" w:type="dxa"/>
              <w:right w:w="90" w:type="dxa"/>
            </w:tcMar>
          </w:tcPr>
          <w:p>
            <w:pPr>
              <w:spacing w:after="0" w:line="276" w:lineRule="auto"/>
            </w:pPr>
            <w:r>
              <w:rPr>
                <w:rFonts w:ascii="Times New Roman" w:hAnsi="Times New Roman"/>
                <w:sz w:val="18"/>
              </w:rPr>
              <w:t>Coordinates are computed as relative percentages: Left% = (PixelLeft / PageWidth) * 100, Top% = (PixelTop / PageHeight) * 100. Overlays dynamically re-scale regardless of viewport dimensions, zoom factors, or mobile screen sizes.</w:t>
            </w:r>
          </w:p>
        </w:tc>
        <w:tc>
          <w:tcPr>
            <w:tcW w:type="dxa" w:w="2880"/>
            <w:shd w:fill="F8FAFC"/>
            <w:tcMar>
              <w:top w:w="70" w:type="dxa"/>
              <w:bottom w:w="70" w:type="dxa"/>
              <w:left w:w="90" w:type="dxa"/>
              <w:right w:w="90" w:type="dxa"/>
            </w:tcMar>
          </w:tcPr>
          <w:p>
            <w:pPr>
              <w:spacing w:after="0" w:line="276" w:lineRule="auto"/>
            </w:pPr>
            <w:r>
              <w:rPr>
                <w:rFonts w:ascii="Times New Roman" w:hAnsi="Times New Roman"/>
                <w:sz w:val="18"/>
              </w:rPr>
              <w:t>src/components/workspace/interactive-pdf-viewer.tsx (Lines 300-340 &amp; 520-535)</w:t>
            </w:r>
          </w:p>
        </w:tc>
      </w:tr>
      <w:tr>
        <w:tc>
          <w:tcPr>
            <w:tcW w:type="dxa" w:w="2592"/>
            <w:shd w:fill="FFFFFF"/>
            <w:tcMar>
              <w:top w:w="70" w:type="dxa"/>
              <w:bottom w:w="70" w:type="dxa"/>
              <w:left w:w="90" w:type="dxa"/>
              <w:right w:w="90" w:type="dxa"/>
            </w:tcMar>
          </w:tcPr>
          <w:p>
            <w:pPr>
              <w:spacing w:after="0" w:line="276" w:lineRule="auto"/>
            </w:pPr>
            <w:r>
              <w:rPr>
                <w:rFonts w:ascii="Times New Roman" w:hAnsi="Times New Roman"/>
                <w:b/>
                <w:sz w:val="18"/>
              </w:rPr>
              <w:t>Where is the mathematical rubric score calculation performed?</w:t>
            </w:r>
          </w:p>
        </w:tc>
        <w:tc>
          <w:tcPr>
            <w:tcW w:type="dxa" w:w="3888"/>
            <w:shd w:fill="FFFFFF"/>
            <w:tcMar>
              <w:top w:w="70" w:type="dxa"/>
              <w:bottom w:w="70" w:type="dxa"/>
              <w:left w:w="90" w:type="dxa"/>
              <w:right w:w="90" w:type="dxa"/>
            </w:tcMar>
          </w:tcPr>
          <w:p>
            <w:pPr>
              <w:spacing w:after="0" w:line="276" w:lineRule="auto"/>
            </w:pPr>
            <w:r>
              <w:rPr>
                <w:rFonts w:ascii="Times New Roman" w:hAnsi="Times New Roman"/>
                <w:sz w:val="18"/>
              </w:rPr>
              <w:t>Authoritatively computed on the server tier. The server fetches criteria weights from rubric_templates and multiplies each score: Total = Sum(Score_i * Weight_i) / Sum(Weights). Client calculations are purely for UI preview.</w:t>
            </w:r>
          </w:p>
        </w:tc>
        <w:tc>
          <w:tcPr>
            <w:tcW w:type="dxa" w:w="2880"/>
            <w:shd w:fill="FFFFFF"/>
            <w:tcMar>
              <w:top w:w="70" w:type="dxa"/>
              <w:bottom w:w="70" w:type="dxa"/>
              <w:left w:w="90" w:type="dxa"/>
              <w:right w:w="90" w:type="dxa"/>
            </w:tcMar>
          </w:tcPr>
          <w:p>
            <w:pPr>
              <w:spacing w:after="0" w:line="276" w:lineRule="auto"/>
            </w:pPr>
            <w:r>
              <w:rPr>
                <w:rFonts w:ascii="Times New Roman" w:hAnsi="Times New Roman"/>
                <w:sz w:val="18"/>
              </w:rPr>
              <w:t>src/lib/evaluations/actions.ts (Lines 305-325)</w:t>
              <w:br/>
              <w:t>src/lib/rubric/scoring.ts (Lines 1-45)</w:t>
            </w:r>
          </w:p>
        </w:tc>
      </w:tr>
    </w:tbl>
    <w:p>
      <w:pPr>
        <w:spacing w:before="80" w:after="16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AURORA Technical Codebase Specification • ParSU CECS DCS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