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val="0"/>
          <w:sz w:val="24"/>
        </w:rPr>
        <w:t>Data Dictionary</w:t>
      </w:r>
    </w:p>
    <w:p>
      <w:pPr>
        <w:spacing w:line="360" w:lineRule="auto" w:after="280"/>
        <w:ind w:firstLine="720"/>
        <w:jc w:val="both"/>
      </w:pPr>
      <w:r>
        <w:t>This section presented the entities, attributes, and relationships that define the structure of the AURORA system. Each entity represented a core component of the system, such as user profiles, capstone projects, iterative manuscript versions, defense schedules, rubric evaluation templates, cryptographic digital signatures, and security audit logs, while attributes capture the specific details associated with these components. Relationships illustrate how entities interact, for example linking student researchers to their assigned advisers, isolating advisers from evaluation panels to prevent conflicts of interest, and associating panel deliberations with immutable cryptographic signatures. Together, these elements form the logical data model that ensures consistency, integrity, and traceability across the system. By clearly mapping entities and their connections, AURORA can support efficient workflows, enforce role-based permissions, and provide reliable institutional reporting. This structured representation also serves as the foundation for database design and future system enhancements.</w:t>
      </w:r>
    </w:p>
    <w:p>
      <w:pPr>
        <w:spacing w:before="280" w:after="40"/>
      </w:pPr>
      <w:r>
        <w:rPr>
          <w:rFonts w:ascii="Times New Roman" w:hAnsi="Times New Roman"/>
          <w:b w:val="0"/>
          <w:sz w:val="24"/>
        </w:rPr>
        <w:t>Table 5</w:t>
      </w:r>
    </w:p>
    <w:p>
      <w:pPr>
        <w:spacing w:before="0" w:after="120"/>
      </w:pPr>
      <w:r>
        <w:rPr>
          <w:rFonts w:ascii="Times New Roman" w:hAnsi="Times New Roman"/>
          <w:b w:val="0"/>
          <w:sz w:val="24"/>
        </w:rPr>
        <w:t>Data Dictionary for Colleges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academic college.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campus_id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college to the Goa Campus location.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Full descriptive name of the academic college.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Short, unique code or abbreviation for the college (e.g., CECS, COE, COB, CAH, COS).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is_active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flag indicating if the college is actively participating in capstone defense cycles.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the college record was provisioned in the database.</w:t>
            </w:r>
          </w:p>
        </w:tc>
      </w:tr>
    </w:tbl>
    <w:p>
      <w:pPr>
        <w:spacing w:line="360" w:lineRule="auto" w:before="160" w:after="240"/>
        <w:ind w:firstLine="720"/>
        <w:jc w:val="both"/>
      </w:pPr>
      <w:r>
        <w:rPr>
          <w:rFonts w:ascii="Times New Roman" w:hAnsi="Times New Roman"/>
          <w:sz w:val="24"/>
        </w:rPr>
        <w:t>Table 5, Colleges organizes the academic colleges situated within Partido State University – Goa Campus. It ensures that capstone defense workflows, faculty appointments, and degree programs are properly grouped under their respective collegiate authorities, supporting all five colleges of the campus.</w:t>
      </w:r>
    </w:p>
    <w:p>
      <w:pPr>
        <w:spacing w:before="280" w:after="40"/>
      </w:pPr>
      <w:r>
        <w:rPr>
          <w:rFonts w:ascii="Times New Roman" w:hAnsi="Times New Roman"/>
          <w:b w:val="0"/>
          <w:sz w:val="24"/>
        </w:rPr>
        <w:t>Table 6</w:t>
      </w:r>
    </w:p>
    <w:p>
      <w:pPr>
        <w:spacing w:before="0" w:after="120"/>
      </w:pPr>
      <w:r>
        <w:rPr>
          <w:rFonts w:ascii="Times New Roman" w:hAnsi="Times New Roman"/>
          <w:b w:val="0"/>
          <w:sz w:val="24"/>
        </w:rPr>
        <w:t>Data Dictionary for Departments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academic department.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department to its supervising parent college.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Full descriptive name of the department (e.g., Department of Computational Sciences).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Official short code for the department (e.g., DCS).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is_active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Flag indicating whether the department is active in the defense management cycle.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Timestamp when the department was registered in the system.</w:t>
            </w:r>
          </w:p>
        </w:tc>
      </w:tr>
    </w:tbl>
    <w:p>
      <w:pPr>
        <w:spacing w:line="360" w:lineRule="auto" w:before="160" w:after="240"/>
        <w:ind w:firstLine="720"/>
        <w:jc w:val="both"/>
      </w:pPr>
      <w:r>
        <w:rPr>
          <w:rFonts w:ascii="Times New Roman" w:hAnsi="Times New Roman"/>
          <w:sz w:val="24"/>
        </w:rPr>
        <w:t>Table 6, Departments maintains the department-level taxonomy under each college. It enables departmental research coordinators to schedule defense proceedings, assign local faculty evaluation panels, and administer degree-specific capstone requirements.</w:t>
      </w:r>
    </w:p>
    <w:p>
      <w:pPr>
        <w:spacing w:before="280" w:after="40"/>
      </w:pPr>
      <w:r>
        <w:rPr>
          <w:rFonts w:ascii="Times New Roman" w:hAnsi="Times New Roman"/>
          <w:b w:val="0"/>
          <w:sz w:val="24"/>
        </w:rPr>
        <w:t>Table 7</w:t>
      </w:r>
    </w:p>
    <w:p>
      <w:pPr>
        <w:spacing w:before="0" w:after="120"/>
      </w:pPr>
      <w:r>
        <w:rPr>
          <w:rFonts w:ascii="Times New Roman" w:hAnsi="Times New Roman"/>
          <w:b w:val="0"/>
          <w:sz w:val="24"/>
        </w:rPr>
        <w:t>Data Dictionary for Programs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program_id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degree program.</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degree program to its supervising academic department.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degree program to its parent college.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program_name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255</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Full descriptive title of the degree program (e.g., Bachelor of Science in Information Technology).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program_code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Short, unique curriculum code (e.g., BSIT, BSCS, BEED).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is_active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indicator for active curriculum offerings.</w:t>
            </w:r>
          </w:p>
        </w:tc>
      </w:tr>
    </w:tbl>
    <w:p>
      <w:pPr>
        <w:spacing w:line="360" w:lineRule="auto" w:before="160" w:after="240"/>
        <w:ind w:firstLine="720"/>
        <w:jc w:val="both"/>
      </w:pPr>
      <w:r>
        <w:rPr>
          <w:rFonts w:ascii="Times New Roman" w:hAnsi="Times New Roman"/>
          <w:sz w:val="24"/>
        </w:rPr>
        <w:t>Table 7, Programs contains the degree program catalog. Each program belongs to a specific department and college, allowing capstone studies and specialized grading rubrics to be partitioned by academic discipline.</w:t>
      </w:r>
    </w:p>
    <w:p>
      <w:pPr>
        <w:spacing w:before="280" w:after="40"/>
      </w:pPr>
      <w:r>
        <w:rPr>
          <w:rFonts w:ascii="Times New Roman" w:hAnsi="Times New Roman"/>
          <w:b w:val="0"/>
          <w:sz w:val="24"/>
        </w:rPr>
        <w:t>Table 8</w:t>
      </w:r>
    </w:p>
    <w:p>
      <w:pPr>
        <w:spacing w:before="0" w:after="120"/>
      </w:pPr>
      <w:r>
        <w:rPr>
          <w:rFonts w:ascii="Times New Roman" w:hAnsi="Times New Roman"/>
          <w:b w:val="0"/>
          <w:sz w:val="24"/>
        </w:rPr>
        <w:t>Data Dictionary for Roles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role_id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system role.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role_code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Programmatic key for the role: student, research_adviser, panelist, coordinator, college_dean, sys_admin.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role_name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Human-readable designation of the system role.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0</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hierarchy</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Numerical authority hierarchy level (10=student, 50=adviser, 70=coord, 80=dean, 100=admin).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description</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Functional description of permissions and responsibilities associated with the role.</w:t>
            </w:r>
          </w:p>
        </w:tc>
      </w:tr>
    </w:tbl>
    <w:p>
      <w:pPr>
        <w:spacing w:line="360" w:lineRule="auto" w:before="160" w:after="240"/>
        <w:ind w:firstLine="720"/>
        <w:jc w:val="both"/>
      </w:pPr>
      <w:r>
        <w:rPr>
          <w:rFonts w:ascii="Times New Roman" w:hAnsi="Times New Roman"/>
          <w:sz w:val="24"/>
        </w:rPr>
        <w:t>Table 8, Roles defines the standard Role-Based Access Control (RBAC) catalog. It establishes the six primary functional roles, decoupling user permissions from identity tables to support multi-role assignments.</w:t>
      </w:r>
    </w:p>
    <w:p>
      <w:pPr>
        <w:spacing w:before="280" w:after="40"/>
      </w:pPr>
      <w:r>
        <w:rPr>
          <w:rFonts w:ascii="Times New Roman" w:hAnsi="Times New Roman"/>
          <w:b w:val="0"/>
          <w:sz w:val="24"/>
        </w:rPr>
        <w:t>Table 9</w:t>
      </w:r>
    </w:p>
    <w:p>
      <w:pPr>
        <w:spacing w:before="0" w:after="120"/>
      </w:pPr>
      <w:r>
        <w:rPr>
          <w:rFonts w:ascii="Times New Roman" w:hAnsi="Times New Roman"/>
          <w:b w:val="0"/>
          <w:sz w:val="24"/>
        </w:rPr>
        <w:t>Data Dictionary for User Roles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user role mapping entry.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granted role to a specific user profile.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role_id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assignment to the assigned system role.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scope_type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Contextual scope level for the role (e.g., college, department, campus).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scope_id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Target UUID corresponding to the designated organizational scope.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assigned_at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when the role authorization was conferred.</w:t>
            </w:r>
          </w:p>
        </w:tc>
      </w:tr>
    </w:tbl>
    <w:p>
      <w:pPr>
        <w:spacing w:line="360" w:lineRule="auto" w:before="160" w:after="240"/>
        <w:ind w:firstLine="720"/>
        <w:jc w:val="both"/>
      </w:pPr>
      <w:r>
        <w:rPr>
          <w:rFonts w:ascii="Times New Roman" w:hAnsi="Times New Roman"/>
          <w:sz w:val="24"/>
        </w:rPr>
        <w:t>Table 9, User Roles serves as the junction table for dynamic role assignments. It allows a single faculty member to concurrently hold multiple duties—such as serving as an Adviser on one project and a Panelist on another—without identity duplication.</w:t>
      </w:r>
    </w:p>
    <w:p>
      <w:pPr>
        <w:spacing w:before="280" w:after="40"/>
      </w:pPr>
      <w:r>
        <w:rPr>
          <w:rFonts w:ascii="Times New Roman" w:hAnsi="Times New Roman"/>
          <w:b w:val="0"/>
          <w:sz w:val="24"/>
        </w:rPr>
        <w:t>Table 10</w:t>
      </w:r>
    </w:p>
    <w:p>
      <w:pPr>
        <w:spacing w:before="0" w:after="120"/>
      </w:pPr>
      <w:r>
        <w:rPr>
          <w:rFonts w:ascii="Times New Roman" w:hAnsi="Times New Roman"/>
          <w:b w:val="0"/>
          <w:sz w:val="24"/>
        </w:rPr>
        <w:t>Data Dictionary for Profiles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 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referencing the authenticated account in auth.users.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campus_id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ID linking the user profile to the Goa Campus.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Collegiate affiliation of the user account.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Departmental affiliation of the user account.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email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255</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Verified institutional email address ending with @parsu.edu.ph.</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first_name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Given first name of the user.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last_name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Family surname of the user.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phone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Mobile phone contact number.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'active'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User account status (active, pending, suspended).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mfa_enabled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Multi-Factor Authentication security enforcement flag.</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when the profile was registered.</w:t>
            </w:r>
          </w:p>
        </w:tc>
      </w:tr>
    </w:tbl>
    <w:p>
      <w:pPr>
        <w:spacing w:line="360" w:lineRule="auto" w:before="160" w:after="240"/>
        <w:ind w:firstLine="720"/>
        <w:jc w:val="both"/>
      </w:pPr>
      <w:r>
        <w:rPr>
          <w:rFonts w:ascii="Times New Roman" w:hAnsi="Times New Roman"/>
          <w:sz w:val="24"/>
        </w:rPr>
        <w:t>Table 10, Profiles serves as the central identity supertype for all system actors. It stores common demographic, authentication, and organizational details, ensuring a single source of truth across the university.</w:t>
      </w:r>
    </w:p>
    <w:p>
      <w:pPr>
        <w:spacing w:before="280" w:after="40"/>
      </w:pPr>
      <w:r>
        <w:rPr>
          <w:rFonts w:ascii="Times New Roman" w:hAnsi="Times New Roman"/>
          <w:b w:val="0"/>
          <w:sz w:val="24"/>
        </w:rPr>
        <w:t>Table 11</w:t>
      </w:r>
    </w:p>
    <w:p>
      <w:pPr>
        <w:spacing w:before="0" w:after="120"/>
      </w:pPr>
      <w:r>
        <w:rPr>
          <w:rFonts w:ascii="Times New Roman" w:hAnsi="Times New Roman"/>
          <w:b w:val="0"/>
          <w:sz w:val="24"/>
        </w:rPr>
        <w:t>Data Dictionary for Students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student_id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surrogate identifier for the student record.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 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1:1 foreign key referencing the user's primary profile.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student_number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Official university matriculation student ID (e.g., 2026-00123).</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program</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Academic degree program in which the student is enrolled.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CHECK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year_level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Curriculum standing year level (4 for graduating capstone proponents).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when the student record was created.</w:t>
            </w:r>
          </w:p>
        </w:tc>
      </w:tr>
    </w:tbl>
    <w:p>
      <w:pPr>
        <w:spacing w:line="360" w:lineRule="auto" w:before="160" w:after="240"/>
        <w:ind w:firstLine="720"/>
        <w:jc w:val="both"/>
      </w:pPr>
      <w:r>
        <w:rPr>
          <w:rFonts w:ascii="Times New Roman" w:hAnsi="Times New Roman"/>
          <w:sz w:val="24"/>
        </w:rPr>
        <w:t>Table 11, Students normalizes matriculation attributes exclusive to student researchers. It links student numbers and academic levels to user profiles, identifying researchers who author and submit capstone manuscripts.</w:t>
      </w:r>
    </w:p>
    <w:p>
      <w:pPr>
        <w:spacing w:before="280" w:after="40"/>
      </w:pPr>
      <w:r>
        <w:rPr>
          <w:rFonts w:ascii="Times New Roman" w:hAnsi="Times New Roman"/>
          <w:b w:val="0"/>
          <w:sz w:val="24"/>
        </w:rPr>
        <w:t>Table 12</w:t>
      </w:r>
    </w:p>
    <w:p>
      <w:pPr>
        <w:spacing w:before="0" w:after="120"/>
      </w:pPr>
      <w:r>
        <w:rPr>
          <w:rFonts w:ascii="Times New Roman" w:hAnsi="Times New Roman"/>
          <w:b w:val="0"/>
          <w:sz w:val="24"/>
        </w:rPr>
        <w:t>Data Dictionary for Faculty</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faculty_id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surrogate identifier for the faculty record.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 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1:1 foreign key referencing the faculty member's profile.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employee_number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Official university employee identification number.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rank</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Academic rank (e.g., Instructor I, Assistant Professor III, Professor).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specialization</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Academic discipline and technical research expertise.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is_adviser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flag certifying qualification to advise capstone groups.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is_panelist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flag certifying qualification to evaluate defense panels.</w:t>
            </w:r>
          </w:p>
        </w:tc>
      </w:tr>
    </w:tbl>
    <w:p>
      <w:pPr>
        <w:spacing w:line="360" w:lineRule="auto" w:before="160" w:after="240"/>
        <w:ind w:firstLine="720"/>
        <w:jc w:val="both"/>
      </w:pPr>
      <w:r>
        <w:rPr>
          <w:rFonts w:ascii="Times New Roman" w:hAnsi="Times New Roman"/>
          <w:sz w:val="24"/>
        </w:rPr>
        <w:t>Table 12, Faculty stores employment attributes for academic staff. It records employee numbers, academic ranks, and research specializations, providing the foundation for assigning qualified advisers and defense panelists.</w:t>
      </w:r>
    </w:p>
    <w:p>
      <w:pPr>
        <w:spacing w:before="280" w:after="40"/>
      </w:pPr>
      <w:r>
        <w:rPr>
          <w:rFonts w:ascii="Times New Roman" w:hAnsi="Times New Roman"/>
          <w:b w:val="0"/>
          <w:sz w:val="24"/>
        </w:rPr>
        <w:t>Table 13</w:t>
      </w:r>
    </w:p>
    <w:p>
      <w:pPr>
        <w:spacing w:before="0" w:after="120"/>
      </w:pPr>
      <w:r>
        <w:rPr>
          <w:rFonts w:ascii="Times New Roman" w:hAnsi="Times New Roman"/>
          <w:b w:val="0"/>
          <w:sz w:val="24"/>
        </w:rPr>
        <w:t>Data Dictionary for Defense Stages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defense milestone stage.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Short code for the milestone (e.g., TITLE_DEFENSE, PROPOSAL, FINAL).</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Full descriptive title of the defense milestone.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sequence_order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Sequential integer order of the stage in the capstone curriculum.</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75.00</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passing_score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Minimum aggregate score required to pass and advance to the next stage.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is_enabled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Administrative toggle enabling or disabling the stage in active workflows.</w:t>
            </w:r>
          </w:p>
        </w:tc>
      </w:tr>
    </w:tbl>
    <w:p>
      <w:pPr>
        <w:spacing w:line="360" w:lineRule="auto" w:before="160" w:after="240"/>
        <w:ind w:firstLine="720"/>
        <w:jc w:val="both"/>
      </w:pPr>
      <w:r>
        <w:rPr>
          <w:rFonts w:ascii="Times New Roman" w:hAnsi="Times New Roman"/>
          <w:sz w:val="24"/>
        </w:rPr>
        <w:t>Table 13, Defense Stages defines the sequential milestones of the capstone curriculum. It governs passing score cutoffs, submission prerequisites, and stage progression rules from title proposal to final defense.</w:t>
      </w:r>
    </w:p>
    <w:p>
      <w:pPr>
        <w:spacing w:before="280" w:after="40"/>
      </w:pPr>
      <w:r>
        <w:rPr>
          <w:rFonts w:ascii="Times New Roman" w:hAnsi="Times New Roman"/>
          <w:b w:val="0"/>
          <w:sz w:val="24"/>
        </w:rPr>
        <w:t>Table 14</w:t>
      </w:r>
    </w:p>
    <w:p>
      <w:pPr>
        <w:spacing w:before="0" w:after="120"/>
      </w:pPr>
      <w:r>
        <w:rPr>
          <w:rFonts w:ascii="Times New Roman" w:hAnsi="Times New Roman"/>
          <w:b w:val="0"/>
          <w:sz w:val="24"/>
        </w:rPr>
        <w:t>Data Dictionary for Projects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surrogate identifier for the capstone study.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student_id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Lead student researcher who registered the capstone study.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Host college under which the capstone is conducted.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department_id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Host department administering the capstone study.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current_stage_id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Current active defense milestone of the project.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title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Approved research title of the capstone project.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abstract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Comprehensive abstract text summarizing research scope and findings.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'draft'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Project status: draft, submitted, scheduled, passed, revisions_required.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academic_year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9</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Academic calendar year of registration (e.g., 2025-2026).</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semester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Academic semester term (e.g., 1st Semester, 2nd Semester).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final_score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Final composite score calculated across panel evaluations.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final_verdict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Collegiate defense verdict (e.g., Passed, Passed with Revisions).</w:t>
            </w:r>
          </w:p>
        </w:tc>
      </w:tr>
    </w:tbl>
    <w:p>
      <w:pPr>
        <w:spacing w:line="360" w:lineRule="auto" w:before="160" w:after="240"/>
        <w:ind w:firstLine="720"/>
        <w:jc w:val="both"/>
      </w:pPr>
      <w:r>
        <w:rPr>
          <w:rFonts w:ascii="Times New Roman" w:hAnsi="Times New Roman"/>
          <w:sz w:val="24"/>
        </w:rPr>
        <w:t>Table 14, Projects serves as the core repository for capstone research studies. It maintains manuscript titles, current milestones, development statuses, and finalized deliberative verdicts across academic terms.</w:t>
      </w:r>
    </w:p>
    <w:p>
      <w:pPr>
        <w:spacing w:before="280" w:after="40"/>
      </w:pPr>
      <w:r>
        <w:rPr>
          <w:rFonts w:ascii="Times New Roman" w:hAnsi="Times New Roman"/>
          <w:b w:val="0"/>
          <w:sz w:val="24"/>
        </w:rPr>
        <w:t>Table 15</w:t>
      </w:r>
    </w:p>
    <w:p>
      <w:pPr>
        <w:spacing w:before="0" w:after="120"/>
      </w:pPr>
      <w:r>
        <w:rPr>
          <w:rFonts w:ascii="Times New Roman" w:hAnsi="Times New Roman"/>
          <w:b w:val="0"/>
          <w:sz w:val="24"/>
        </w:rPr>
        <w:t>Data Dictionary for Project Members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membership record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capstone project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user profile of the student author or research adviser.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member_role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Project membership role: student_leader, student_member, adviser.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is_primary</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Flag identifying the primary lead researcher or head adviser.</w:t>
            </w:r>
          </w:p>
        </w:tc>
      </w:tr>
    </w:tbl>
    <w:p>
      <w:pPr>
        <w:spacing w:line="360" w:lineRule="auto" w:before="160" w:after="240"/>
        <w:ind w:firstLine="720"/>
        <w:jc w:val="both"/>
      </w:pPr>
      <w:r>
        <w:rPr>
          <w:rFonts w:ascii="Times New Roman" w:hAnsi="Times New Roman"/>
          <w:sz w:val="24"/>
        </w:rPr>
        <w:t>Table 15, Project Members associates student co-authors and designated faculty research advisers with each capstone project. It enforces team compositions and enables strict tracking of advisory assignments.</w:t>
      </w:r>
    </w:p>
    <w:p>
      <w:pPr>
        <w:spacing w:before="280" w:after="40"/>
      </w:pPr>
      <w:r>
        <w:rPr>
          <w:rFonts w:ascii="Times New Roman" w:hAnsi="Times New Roman"/>
          <w:b w:val="0"/>
          <w:sz w:val="24"/>
        </w:rPr>
        <w:t>Table 16</w:t>
      </w:r>
    </w:p>
    <w:p>
      <w:pPr>
        <w:spacing w:before="0" w:after="120"/>
      </w:pPr>
      <w:r>
        <w:rPr>
          <w:rFonts w:ascii="Times New Roman" w:hAnsi="Times New Roman"/>
          <w:b w:val="0"/>
          <w:sz w:val="24"/>
        </w:rPr>
        <w:t>Data Dictionary for Workflow History</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workflow transition log.</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capstone project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from_stage_id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Origin defense milestone stage prior to promotion.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to_stage_id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Destination defense milestone stage following promotion.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'automatic'</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transition_type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Transition execution method (automatic, manual, override, rollback).</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old_status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Project workflow status before the transition event.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new_status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Project workflow status after the transition event.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Chronological, immutable timestamp of milestone advancement.</w:t>
            </w:r>
          </w:p>
        </w:tc>
      </w:tr>
    </w:tbl>
    <w:p>
      <w:pPr>
        <w:spacing w:line="360" w:lineRule="auto" w:before="160" w:after="240"/>
        <w:ind w:firstLine="720"/>
        <w:jc w:val="both"/>
      </w:pPr>
      <w:r>
        <w:rPr>
          <w:rFonts w:ascii="Times New Roman" w:hAnsi="Times New Roman"/>
          <w:sz w:val="24"/>
        </w:rPr>
        <w:t>Table 16, Workflow History is an append-only, immutable audit trail documenting milestone progression. It records when, why, and by whom a project advanced or returned across defense stages.</w:t>
      </w:r>
    </w:p>
    <w:p>
      <w:pPr>
        <w:spacing w:before="280" w:after="40"/>
      </w:pPr>
      <w:r>
        <w:rPr>
          <w:rFonts w:ascii="Times New Roman" w:hAnsi="Times New Roman"/>
          <w:b w:val="0"/>
          <w:sz w:val="24"/>
        </w:rPr>
        <w:t>Table 17</w:t>
      </w:r>
    </w:p>
    <w:p>
      <w:pPr>
        <w:spacing w:before="0" w:after="120"/>
      </w:pPr>
      <w:r>
        <w:rPr>
          <w:rFonts w:ascii="Times New Roman" w:hAnsi="Times New Roman"/>
          <w:b w:val="0"/>
          <w:sz w:val="24"/>
        </w:rPr>
        <w:t>Data Dictionary for Defense Schedules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schedule_id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scheduled defense hearing.</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project scheduled for defense.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specific milestone stage being evaluated.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scheduled_at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Scheduled commencement date and time of the oral defense.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end_at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Scheduled conclusion date and time of the defense session.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room</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Physical venue assigned (e.g., CECS Conference Room, Computer Lab 3).</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is_online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Toggle indicating virtual video conference defense mode.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meeting_url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URL for online video deliberation (Google Meet / Zoom).</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'scheduled'</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Schedule state: scheduled, in_progress, completed, cancelled.</w:t>
            </w:r>
          </w:p>
        </w:tc>
      </w:tr>
    </w:tbl>
    <w:p>
      <w:pPr>
        <w:spacing w:line="360" w:lineRule="auto" w:before="160" w:after="240"/>
        <w:ind w:firstLine="720"/>
        <w:jc w:val="both"/>
      </w:pPr>
      <w:r>
        <w:rPr>
          <w:rFonts w:ascii="Times New Roman" w:hAnsi="Times New Roman"/>
          <w:sz w:val="24"/>
        </w:rPr>
        <w:t>Table 17, Defense Schedules manages defense timetables, venue allocations, and virtual links. It provides structured calendar coordination between student proponents and faculty evaluation panels.</w:t>
      </w:r>
    </w:p>
    <w:p>
      <w:pPr>
        <w:spacing w:before="280" w:after="40"/>
      </w:pPr>
      <w:r>
        <w:rPr>
          <w:rFonts w:ascii="Times New Roman" w:hAnsi="Times New Roman"/>
          <w:b w:val="0"/>
          <w:sz w:val="24"/>
        </w:rPr>
        <w:t>Table 18</w:t>
      </w:r>
    </w:p>
    <w:p>
      <w:pPr>
        <w:spacing w:before="0" w:after="120"/>
      </w:pPr>
      <w:r>
        <w:rPr>
          <w:rFonts w:ascii="Times New Roman" w:hAnsi="Times New Roman"/>
          <w:b w:val="0"/>
          <w:sz w:val="24"/>
        </w:rPr>
        <w:t>Data Dictionary for Defense Panels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panel assignment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capstone project being deliberated.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defense milestone stage being evaluated.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appointed faculty panelist [Adviser Excluded via COI Guard].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'member'</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panel_role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Panel appointment designation: chair, member, statistician, critic.</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assigned_at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when the coordinator confirmed the panel assignment.</w:t>
            </w:r>
          </w:p>
        </w:tc>
      </w:tr>
    </w:tbl>
    <w:p>
      <w:pPr>
        <w:spacing w:line="360" w:lineRule="auto" w:before="160" w:after="240"/>
        <w:ind w:firstLine="720"/>
        <w:jc w:val="both"/>
      </w:pPr>
      <w:r>
        <w:rPr>
          <w:rFonts w:ascii="Times New Roman" w:hAnsi="Times New Roman"/>
          <w:sz w:val="24"/>
        </w:rPr>
        <w:t>Table 18, Defense Panels records faculty appointments to oral defense panels. It enforces strict Conflict of Interest (COI) isolation by disallowing a project's research adviser from sitting as an evaluator.</w:t>
      </w:r>
    </w:p>
    <w:p>
      <w:pPr>
        <w:spacing w:before="280" w:after="40"/>
      </w:pPr>
      <w:r>
        <w:rPr>
          <w:rFonts w:ascii="Times New Roman" w:hAnsi="Times New Roman"/>
          <w:b w:val="0"/>
          <w:sz w:val="24"/>
        </w:rPr>
        <w:t>Table 19</w:t>
      </w:r>
    </w:p>
    <w:p>
      <w:pPr>
        <w:spacing w:before="0" w:after="120"/>
      </w:pPr>
      <w:r>
        <w:rPr>
          <w:rFonts w:ascii="Times New Roman" w:hAnsi="Times New Roman"/>
          <w:b w:val="0"/>
          <w:sz w:val="24"/>
        </w:rPr>
        <w:t>Data Dictionary for Documents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document_id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logical document container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capstone project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defense milestone stage.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title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Official manuscript document title.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'draft'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Submission state: draft, submitted, under_review, approved.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0</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current_version</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Current active version iteration number.</w:t>
            </w:r>
          </w:p>
        </w:tc>
      </w:tr>
    </w:tbl>
    <w:p>
      <w:pPr>
        <w:spacing w:line="360" w:lineRule="auto" w:before="160" w:after="240"/>
        <w:ind w:firstLine="720"/>
        <w:jc w:val="both"/>
      </w:pPr>
      <w:r>
        <w:rPr>
          <w:rFonts w:ascii="Times New Roman" w:hAnsi="Times New Roman"/>
          <w:sz w:val="24"/>
        </w:rPr>
        <w:t>Table 19, Documents represents logical manuscript submissions. It tracks overall manuscript approval status across milestones, serving as the parent container for iterative physical file versions.</w:t>
      </w:r>
    </w:p>
    <w:p>
      <w:pPr>
        <w:spacing w:before="280" w:after="40"/>
      </w:pPr>
      <w:r>
        <w:rPr>
          <w:rFonts w:ascii="Times New Roman" w:hAnsi="Times New Roman"/>
          <w:b w:val="0"/>
          <w:sz w:val="24"/>
        </w:rPr>
        <w:t>Table 20</w:t>
      </w:r>
    </w:p>
    <w:p>
      <w:pPr>
        <w:spacing w:before="0" w:after="120"/>
      </w:pPr>
      <w:r>
        <w:rPr>
          <w:rFonts w:ascii="Times New Roman" w:hAnsi="Times New Roman"/>
          <w:b w:val="0"/>
          <w:sz w:val="24"/>
        </w:rPr>
        <w:t>Data Dictionary for Document Versions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version_id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uploaded manuscript file iteration.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document_id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parent logical document container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version_number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Incremental version iteration number (1, 2, 3, etc.).</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storage_path</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Storage bucket path to the physical PDF manuscript 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file_name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255</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Sanitized original filename of the uploaded PDF.</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checksum_sha256</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64</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SHA-256 cryptographic hash guaranteeing file integrity.</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page_count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Total page count extracted from the uploaded PDF document.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is_current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Flag denoting the active manuscript version under evaluation.</w:t>
            </w:r>
          </w:p>
        </w:tc>
      </w:tr>
    </w:tbl>
    <w:p>
      <w:pPr>
        <w:spacing w:line="360" w:lineRule="auto" w:before="160" w:after="240"/>
        <w:ind w:firstLine="720"/>
        <w:jc w:val="both"/>
      </w:pPr>
      <w:r>
        <w:rPr>
          <w:rFonts w:ascii="Times New Roman" w:hAnsi="Times New Roman"/>
          <w:sz w:val="24"/>
        </w:rPr>
        <w:t>Table 20, Document Versions manages physical PDF uploads, revision iterations, and cryptographic hashes. It guarantees manuscript integrity by computing SHA-256 checksums upon file upload.</w:t>
      </w:r>
    </w:p>
    <w:p>
      <w:pPr>
        <w:spacing w:before="280" w:after="40"/>
      </w:pPr>
      <w:r>
        <w:rPr>
          <w:rFonts w:ascii="Times New Roman" w:hAnsi="Times New Roman"/>
          <w:b w:val="0"/>
          <w:sz w:val="24"/>
        </w:rPr>
        <w:t>Table 21</w:t>
      </w:r>
    </w:p>
    <w:p>
      <w:pPr>
        <w:spacing w:before="0" w:after="120"/>
      </w:pPr>
      <w:r>
        <w:rPr>
          <w:rFonts w:ascii="Times New Roman" w:hAnsi="Times New Roman"/>
          <w:b w:val="0"/>
          <w:sz w:val="24"/>
        </w:rPr>
        <w:t>Data Dictionary for Annotations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annotation_id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inline manuscript annotation.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document_version_id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manuscript file iteration being reviewed.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page_number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1-indexed PDF page number where feedback is anchored.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coordinates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JSON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Bounding box coordinates {x, y, width, height} of selected text.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Annotation feedback type: highlight, sticky_note, comment.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'info'</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severity</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Feedback severity level: info, minor, major, critical.</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'open'</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Correction status: open, resolved, verified.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content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Detailed revision notes, panel critiques, or corrective directives.</w:t>
            </w:r>
          </w:p>
        </w:tc>
      </w:tr>
    </w:tbl>
    <w:p>
      <w:pPr>
        <w:spacing w:line="360" w:lineRule="auto" w:before="160" w:after="240"/>
        <w:ind w:firstLine="720"/>
        <w:jc w:val="both"/>
      </w:pPr>
      <w:r>
        <w:rPr>
          <w:rFonts w:ascii="Times New Roman" w:hAnsi="Times New Roman"/>
          <w:sz w:val="24"/>
        </w:rPr>
        <w:t>Table 21, Annotations stores spatial, coordinate-based feedback pinned directly to manuscript pages. It enables panelists to highlight text, attach revision directives, and monitor correction statuses.</w:t>
      </w:r>
    </w:p>
    <w:p>
      <w:pPr>
        <w:spacing w:before="280" w:after="40"/>
      </w:pPr>
      <w:r>
        <w:rPr>
          <w:rFonts w:ascii="Times New Roman" w:hAnsi="Times New Roman"/>
          <w:b w:val="0"/>
          <w:sz w:val="24"/>
        </w:rPr>
        <w:t>Table 22</w:t>
      </w:r>
    </w:p>
    <w:p>
      <w:pPr>
        <w:spacing w:before="0" w:after="120"/>
      </w:pPr>
      <w:r>
        <w:rPr>
          <w:rFonts w:ascii="Times New Roman" w:hAnsi="Times New Roman"/>
          <w:b w:val="0"/>
          <w:sz w:val="24"/>
        </w:rPr>
        <w:t>Data Dictionary for Annotation Replies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reply_id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each threaded reply comment.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annotation_id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parent annotation thread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content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Threaded rebuttal, clarification, or resolution justification.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created_by</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user profile authoring the comment.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Date and time when the reply was posted.</w:t>
            </w:r>
          </w:p>
        </w:tc>
      </w:tr>
    </w:tbl>
    <w:p>
      <w:pPr>
        <w:spacing w:line="360" w:lineRule="auto" w:before="160" w:after="240"/>
        <w:ind w:firstLine="720"/>
        <w:jc w:val="both"/>
      </w:pPr>
      <w:r>
        <w:rPr>
          <w:rFonts w:ascii="Times New Roman" w:hAnsi="Times New Roman"/>
          <w:sz w:val="24"/>
        </w:rPr>
        <w:t>Table 22, Annotation Replies enables interactive dialogue between students and panelists. It allows proponents to defend design choices or explain how panel comments were addressed.</w:t>
      </w:r>
    </w:p>
    <w:p>
      <w:pPr>
        <w:spacing w:before="280" w:after="40"/>
      </w:pPr>
      <w:r>
        <w:rPr>
          <w:rFonts w:ascii="Times New Roman" w:hAnsi="Times New Roman"/>
          <w:b w:val="0"/>
          <w:sz w:val="24"/>
        </w:rPr>
        <w:t>Table 23</w:t>
      </w:r>
    </w:p>
    <w:p>
      <w:pPr>
        <w:spacing w:before="0" w:after="120"/>
      </w:pPr>
      <w:r>
        <w:rPr>
          <w:rFonts w:ascii="Times New Roman" w:hAnsi="Times New Roman"/>
          <w:b w:val="0"/>
          <w:sz w:val="24"/>
        </w:rPr>
        <w:t>Data Dictionary for Grading Templates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template_id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rubric template.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applicable defense milestone stage.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college_id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Collegiate ownership of the rubric template.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Descriptive rubric title (e.g., CECS BSIT Capstone Final Rubric).</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'weighted_average'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scoring_model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Scoring calculation model (weighted_average, points, matrix).</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75.00</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passing_score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Minimum threshold score required to pass.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true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is_active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toggle indicating active rubric availability.</w:t>
            </w:r>
          </w:p>
        </w:tc>
      </w:tr>
    </w:tbl>
    <w:p>
      <w:pPr>
        <w:spacing w:line="360" w:lineRule="auto" w:before="160" w:after="240"/>
        <w:ind w:firstLine="720"/>
        <w:jc w:val="both"/>
      </w:pPr>
      <w:r>
        <w:rPr>
          <w:rFonts w:ascii="Times New Roman" w:hAnsi="Times New Roman"/>
          <w:sz w:val="24"/>
        </w:rPr>
        <w:t>Table 23, Grading Templates defines institutional evaluation rubrics. It establishes standardized criteria sections, weightings, and passing thresholds tailored to each defense milestone.</w:t>
      </w:r>
    </w:p>
    <w:p>
      <w:pPr>
        <w:spacing w:before="280" w:after="40"/>
      </w:pPr>
      <w:r>
        <w:rPr>
          <w:rFonts w:ascii="Times New Roman" w:hAnsi="Times New Roman"/>
          <w:b w:val="0"/>
          <w:sz w:val="24"/>
        </w:rPr>
        <w:t>Table 24</w:t>
      </w:r>
    </w:p>
    <w:p>
      <w:pPr>
        <w:spacing w:before="0" w:after="120"/>
      </w:pPr>
      <w:r>
        <w:rPr>
          <w:rFonts w:ascii="Times New Roman" w:hAnsi="Times New Roman"/>
          <w:b w:val="0"/>
          <w:sz w:val="24"/>
        </w:rPr>
        <w:t>Data Dictionary for Grading Criteria</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criterion_id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criteria section.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template_id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parent grading rubric template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Section title (e.g., Technical Complexity, System Architecture).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weight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Percentage weight of criterion (e.g., 30.00 for 30%).</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max_score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Maximum raw points achievable for this section.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0</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sort_order</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INT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Visual display ordering index on evaluation forms.</w:t>
            </w:r>
          </w:p>
        </w:tc>
      </w:tr>
    </w:tbl>
    <w:p>
      <w:pPr>
        <w:spacing w:line="360" w:lineRule="auto" w:before="160" w:after="240"/>
        <w:ind w:firstLine="720"/>
        <w:jc w:val="both"/>
      </w:pPr>
      <w:r>
        <w:rPr>
          <w:rFonts w:ascii="Times New Roman" w:hAnsi="Times New Roman"/>
          <w:sz w:val="24"/>
        </w:rPr>
        <w:t>Table 24, Grading Criteria stores individual scoring criteria within a rubric template. It ensures evaluations reflect balanced weighting across technical functionality, research methodology, and presentation.</w:t>
      </w:r>
    </w:p>
    <w:p>
      <w:pPr>
        <w:spacing w:before="280" w:after="40"/>
      </w:pPr>
      <w:r>
        <w:rPr>
          <w:rFonts w:ascii="Times New Roman" w:hAnsi="Times New Roman"/>
          <w:b w:val="0"/>
          <w:sz w:val="24"/>
        </w:rPr>
        <w:t>Table 25</w:t>
      </w:r>
    </w:p>
    <w:p>
      <w:pPr>
        <w:spacing w:before="0" w:after="120"/>
      </w:pPr>
      <w:r>
        <w:rPr>
          <w:rFonts w:ascii="Times New Roman" w:hAnsi="Times New Roman"/>
          <w:b w:val="0"/>
          <w:sz w:val="24"/>
        </w:rPr>
        <w:t>Data Dictionary for Evaluations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evaluation_id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evaluation record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project_id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evaluated capstone project.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stage_id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defense milestone stage being scored.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panelist_id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scoring faculty panel member.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'draft'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Evaluation status: draft, submitted, locked.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total_score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Raw unweighted sum of criteria marks.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weighted_score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Final computed weighted defense grade.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verdict_code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Individual panelist verdict: passed, passed_minor, passed_major, failed.</w:t>
            </w:r>
          </w:p>
        </w:tc>
      </w:tr>
    </w:tbl>
    <w:p>
      <w:pPr>
        <w:spacing w:line="360" w:lineRule="auto" w:before="160" w:after="240"/>
        <w:ind w:firstLine="720"/>
        <w:jc w:val="both"/>
      </w:pPr>
      <w:r>
        <w:rPr>
          <w:rFonts w:ascii="Times New Roman" w:hAnsi="Times New Roman"/>
          <w:sz w:val="24"/>
        </w:rPr>
        <w:t>Table 25, Evaluations records each panelist's individual evaluation session. It captures final numerical grades, qualitative recommendations, and defense verdicts before digital signing.</w:t>
      </w:r>
    </w:p>
    <w:p>
      <w:pPr>
        <w:spacing w:before="280" w:after="40"/>
      </w:pPr>
      <w:r>
        <w:rPr>
          <w:rFonts w:ascii="Times New Roman" w:hAnsi="Times New Roman"/>
          <w:b w:val="0"/>
          <w:sz w:val="24"/>
        </w:rPr>
        <w:t>Table 26</w:t>
      </w:r>
    </w:p>
    <w:p>
      <w:pPr>
        <w:spacing w:before="0" w:after="120"/>
      </w:pPr>
      <w:r>
        <w:rPr>
          <w:rFonts w:ascii="Times New Roman" w:hAnsi="Times New Roman"/>
          <w:b w:val="0"/>
          <w:sz w:val="24"/>
        </w:rPr>
        <w:t>Data Dictionary for Grading Scores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score_id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itemized criteria mark.</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evaluation_id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parent evaluation record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criterion_id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specific rubric criterion being graded.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score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DECIMAL</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5,2</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Numerical score awarded by the panelist.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notes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Panelist comments and justification for the assigned grade.</w:t>
            </w:r>
          </w:p>
        </w:tc>
      </w:tr>
    </w:tbl>
    <w:p>
      <w:pPr>
        <w:spacing w:line="360" w:lineRule="auto" w:before="160" w:after="240"/>
        <w:ind w:firstLine="720"/>
        <w:jc w:val="both"/>
      </w:pPr>
      <w:r>
        <w:rPr>
          <w:rFonts w:ascii="Times New Roman" w:hAnsi="Times New Roman"/>
          <w:sz w:val="24"/>
        </w:rPr>
        <w:t>Table 26, Grading Scores stores normalized, itemized grades awarded per rubric section. It allows the system to compute weighted composites and perform criteria-level scoring breakdowns.</w:t>
      </w:r>
    </w:p>
    <w:p>
      <w:pPr>
        <w:spacing w:before="280" w:after="40"/>
      </w:pPr>
      <w:r>
        <w:rPr>
          <w:rFonts w:ascii="Times New Roman" w:hAnsi="Times New Roman"/>
          <w:b w:val="0"/>
          <w:sz w:val="24"/>
        </w:rPr>
        <w:t>Table 27</w:t>
      </w:r>
    </w:p>
    <w:p>
      <w:pPr>
        <w:spacing w:before="0" w:after="120"/>
      </w:pPr>
      <w:r>
        <w:rPr>
          <w:rFonts w:ascii="Times New Roman" w:hAnsi="Times New Roman"/>
          <w:b w:val="0"/>
          <w:sz w:val="24"/>
        </w:rPr>
        <w:t>Data Dictionary for Signature Profiles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identifier for the faculty signature profile.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 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1:1 reference to the signatory's primary user profile.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full_name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Legal name of the faculty signatory matching university records.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academic_rank</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Official academic rank appearing on defense certificates.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public_signature_id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Human-readable public signature identifier (e.g., SIG-PSU-2026-000001).</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fingerprint_sha256</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SHA-256 cryptographic digest of the faculty signature image.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false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is_verified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BOOLEAN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1</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Status flag confirming administrative identity verification.</w:t>
            </w:r>
          </w:p>
        </w:tc>
      </w:tr>
    </w:tbl>
    <w:p>
      <w:pPr>
        <w:spacing w:line="360" w:lineRule="auto" w:before="160" w:after="240"/>
        <w:ind w:firstLine="720"/>
        <w:jc w:val="both"/>
      </w:pPr>
      <w:r>
        <w:rPr>
          <w:rFonts w:ascii="Times New Roman" w:hAnsi="Times New Roman"/>
          <w:sz w:val="24"/>
        </w:rPr>
        <w:t>Table 27, Signature Profiles manages authenticated signature assets. It binds faculty profiles to cryptographic image digests, establishing verifiable identity for defense certifications.</w:t>
      </w:r>
    </w:p>
    <w:p>
      <w:pPr>
        <w:spacing w:before="280" w:after="40"/>
      </w:pPr>
      <w:r>
        <w:rPr>
          <w:rFonts w:ascii="Times New Roman" w:hAnsi="Times New Roman"/>
          <w:b w:val="0"/>
          <w:sz w:val="24"/>
        </w:rPr>
        <w:t>Table 28</w:t>
      </w:r>
    </w:p>
    <w:p>
      <w:pPr>
        <w:spacing w:before="0" w:after="120"/>
      </w:pPr>
      <w:r>
        <w:rPr>
          <w:rFonts w:ascii="Times New Roman" w:hAnsi="Times New Roman"/>
          <w:b w:val="0"/>
          <w:sz w:val="24"/>
        </w:rPr>
        <w:t>Data Dictionary for Digital Signatures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digital signature transaction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evaluation_id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evaluation record being legally signed.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panelist_id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faculty panel member executing the signature.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UNIQUE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certificate_serial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sequential certificate serial number (CER-PSU-YYYY-NNNNNN).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payload_hash</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SHA-256 cryptographic digest of the complete evaluation payload.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signed_pdf_hash</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SHA-256 cryptographic digest of the final signed manuscript PDF.</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signing_payload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JSON</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Immutable snapshot of exact deliberation scores and verdict.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'active'</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status</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Signature status: active, revoked, superseded.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signed_at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Tamper-evident, chronological signing timestamp.</w:t>
            </w:r>
          </w:p>
        </w:tc>
      </w:tr>
    </w:tbl>
    <w:p>
      <w:pPr>
        <w:spacing w:line="360" w:lineRule="auto" w:before="160" w:after="240"/>
        <w:ind w:firstLine="720"/>
        <w:jc w:val="both"/>
      </w:pPr>
      <w:r>
        <w:rPr>
          <w:rFonts w:ascii="Times New Roman" w:hAnsi="Times New Roman"/>
          <w:sz w:val="24"/>
        </w:rPr>
        <w:t>Table 28, Digital Signatures stores immutable signing transactions under Republic Act No. 8792. It binds panel evaluation outcomes to SHA-256 hashes and certificate serials for legal non-repudiation.</w:t>
      </w:r>
    </w:p>
    <w:p>
      <w:pPr>
        <w:spacing w:before="280" w:after="40"/>
      </w:pPr>
      <w:r>
        <w:rPr>
          <w:rFonts w:ascii="Times New Roman" w:hAnsi="Times New Roman"/>
          <w:b w:val="0"/>
          <w:sz w:val="24"/>
        </w:rPr>
        <w:t>Table 29</w:t>
      </w:r>
    </w:p>
    <w:p>
      <w:pPr>
        <w:spacing w:before="0" w:after="120"/>
      </w:pPr>
      <w:r>
        <w:rPr>
          <w:rFonts w:ascii="Times New Roman" w:hAnsi="Times New Roman"/>
          <w:b w:val="0"/>
          <w:sz w:val="24"/>
        </w:rPr>
        <w:t>Data Dictionary for Audit Logs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audit log record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action_type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Action performed: CREATE, UPDATE, DELETE, SUBMIT, SIGN.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module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Subsystem module: scheduling, grading, signatures, workspace.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entity_type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Name of the database table affected by the transaction.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entity_id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Primary key UUID of the affected database record.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user_email</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255</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Email address of the user who executed the operation.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integrity_hash</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64</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Chained SHA-256 cryptographic hash linking to prior log entries.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Chronological, immutable timestamp of the audit event.</w:t>
            </w:r>
          </w:p>
        </w:tc>
      </w:tr>
    </w:tbl>
    <w:p>
      <w:pPr>
        <w:spacing w:line="360" w:lineRule="auto" w:before="160" w:after="240"/>
        <w:ind w:firstLine="720"/>
        <w:jc w:val="both"/>
      </w:pPr>
      <w:r>
        <w:rPr>
          <w:rFonts w:ascii="Times New Roman" w:hAnsi="Times New Roman"/>
          <w:sz w:val="24"/>
        </w:rPr>
        <w:t>Table 29, Audit Logs maintains a tamper-evident audit trail with SHA-256 hash chaining. It records security events and critical operations, supporting institutional accountability and forensic verification.</w:t>
      </w:r>
    </w:p>
    <w:p>
      <w:pPr>
        <w:spacing w:before="280" w:after="40"/>
      </w:pPr>
      <w:r>
        <w:rPr>
          <w:rFonts w:ascii="Times New Roman" w:hAnsi="Times New Roman"/>
          <w:b w:val="0"/>
          <w:sz w:val="24"/>
        </w:rPr>
        <w:t>Table 30</w:t>
      </w:r>
    </w:p>
    <w:p>
      <w:pPr>
        <w:spacing w:before="0" w:after="120"/>
      </w:pPr>
      <w:r>
        <w:rPr>
          <w:rFonts w:ascii="Times New Roman" w:hAnsi="Times New Roman"/>
          <w:b w:val="0"/>
          <w:sz w:val="24"/>
        </w:rPr>
        <w:t>Data Dictionary for Notifications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72"/>
        <w:gridCol w:w="1872"/>
        <w:gridCol w:w="1872"/>
        <w:gridCol w:w="1872"/>
        <w:gridCol w:w="1872"/>
      </w:tblGrid>
      <w:tr>
        <w:tc>
          <w:tcPr>
            <w:tcW w:type="dxa" w:w="1728"/>
            <w:shd w:fill="FFFFFF"/>
            <w:tcMar>
              <w:top w:w="60" w:type="dxa"/>
              <w:bottom w:w="60" w:type="dxa"/>
              <w:left w:w="80" w:type="dxa"/>
              <w:right w:w="80" w:type="dxa"/>
            </w:tcMar>
          </w:tcPr>
          <w:p>
            <w:pPr>
              <w:spacing w:before="0" w:after="0"/>
            </w:pPr>
            <w:r>
              <w:rPr>
                <w:rFonts w:ascii="Times New Roman" w:hAnsi="Times New Roman"/>
                <w:b/>
                <w:sz w:val="21"/>
              </w:rPr>
              <w:t>Constraints</w:t>
            </w:r>
          </w:p>
        </w:tc>
        <w:tc>
          <w:tcPr>
            <w:tcW w:type="dxa" w:w="1872"/>
            <w:shd w:fill="FFFFFF"/>
            <w:tcMar>
              <w:top w:w="60" w:type="dxa"/>
              <w:bottom w:w="60" w:type="dxa"/>
              <w:left w:w="80" w:type="dxa"/>
              <w:right w:w="80" w:type="dxa"/>
            </w:tcMar>
          </w:tcPr>
          <w:p>
            <w:pPr>
              <w:spacing w:before="0" w:after="0"/>
            </w:pPr>
            <w:r>
              <w:rPr>
                <w:rFonts w:ascii="Times New Roman" w:hAnsi="Times New Roman"/>
                <w:b/>
                <w:sz w:val="21"/>
              </w:rPr>
              <w:t>Attribute</w:t>
            </w:r>
          </w:p>
        </w:tc>
        <w:tc>
          <w:tcPr>
            <w:tcW w:type="dxa" w:w="1584"/>
            <w:shd w:fill="FFFFFF"/>
            <w:tcMar>
              <w:top w:w="60" w:type="dxa"/>
              <w:bottom w:w="60" w:type="dxa"/>
              <w:left w:w="80" w:type="dxa"/>
              <w:right w:w="80" w:type="dxa"/>
            </w:tcMar>
          </w:tcPr>
          <w:p>
            <w:pPr>
              <w:spacing w:before="0" w:after="0"/>
            </w:pPr>
            <w:r>
              <w:rPr>
                <w:rFonts w:ascii="Times New Roman" w:hAnsi="Times New Roman"/>
                <w:b/>
                <w:sz w:val="21"/>
              </w:rPr>
              <w:t>Data Type</w:t>
            </w:r>
          </w:p>
        </w:tc>
        <w:tc>
          <w:tcPr>
            <w:tcW w:type="dxa" w:w="864"/>
            <w:shd w:fill="FFFFFF"/>
            <w:tcMar>
              <w:top w:w="60" w:type="dxa"/>
              <w:bottom w:w="60" w:type="dxa"/>
              <w:left w:w="80" w:type="dxa"/>
              <w:right w:w="80" w:type="dxa"/>
            </w:tcMar>
          </w:tcPr>
          <w:p>
            <w:pPr>
              <w:spacing w:before="0" w:after="0"/>
            </w:pPr>
            <w:r>
              <w:rPr>
                <w:rFonts w:ascii="Times New Roman" w:hAnsi="Times New Roman"/>
                <w:b/>
                <w:sz w:val="21"/>
              </w:rPr>
              <w:t>Size</w:t>
            </w:r>
          </w:p>
        </w:tc>
        <w:tc>
          <w:tcPr>
            <w:tcW w:type="dxa" w:w="3312"/>
            <w:shd w:fill="FFFFFF"/>
            <w:tcMar>
              <w:top w:w="60" w:type="dxa"/>
              <w:bottom w:w="60" w:type="dxa"/>
              <w:left w:w="80" w:type="dxa"/>
              <w:right w:w="80" w:type="dxa"/>
            </w:tcMar>
          </w:tcPr>
          <w:p>
            <w:pPr>
              <w:spacing w:before="0" w:after="0"/>
            </w:pPr>
            <w:r>
              <w:rPr>
                <w:rFonts w:ascii="Times New Roman" w:hAnsi="Times New Roman"/>
                <w:b/>
                <w:sz w:val="21"/>
              </w:rPr>
              <w:t>Description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PK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Unique notification event identifier.</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FK</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profile_id</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UUID</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36</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References the recipient user profile on delete cascade.</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title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200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Concise header describing the notification event.</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message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TEXT</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Descriptive notification body text informing user of status updates.</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NOT NULL</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type</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VARCHAR</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50</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Event type: defense_scheduled, manuscript_uploaded, verdict_released.</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read_at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Timestamp when the recipient opened and acknowledged the notification.</w:t>
            </w:r>
          </w:p>
        </w:tc>
      </w:tr>
      <w:tr>
        <w:tc>
          <w:tcPr>
            <w:tcW w:type="dxa" w:w="1728"/>
            <w:shd w:fill="FFFFFF"/>
            <w:tcMar>
              <w:top w:w="50" w:type="dxa"/>
              <w:bottom w:w="50" w:type="dxa"/>
              <w:left w:w="80" w:type="dxa"/>
              <w:right w:w="80" w:type="dxa"/>
            </w:tcMar>
          </w:tcPr>
          <w:p>
            <w:pPr>
              <w:spacing w:before="0" w:after="0" w:line="264" w:lineRule="auto"/>
            </w:pPr>
            <w:r>
              <w:rPr>
                <w:rFonts w:ascii="Times New Roman" w:hAnsi="Times New Roman"/>
                <w:sz w:val="20"/>
              </w:rPr>
              <w:t>DEFAULT NOW()</w:t>
            </w:r>
          </w:p>
        </w:tc>
        <w:tc>
          <w:tcPr>
            <w:tcW w:type="dxa" w:w="1872"/>
            <w:shd w:fill="FFFFFF"/>
            <w:tcMar>
              <w:top w:w="50" w:type="dxa"/>
              <w:bottom w:w="50" w:type="dxa"/>
              <w:left w:w="80" w:type="dxa"/>
              <w:right w:w="80" w:type="dxa"/>
            </w:tcMar>
          </w:tcPr>
          <w:p>
            <w:pPr>
              <w:spacing w:before="0" w:after="0" w:line="264" w:lineRule="auto"/>
            </w:pPr>
            <w:r>
              <w:rPr>
                <w:rFonts w:ascii="Times New Roman" w:hAnsi="Times New Roman"/>
                <w:sz w:val="20"/>
              </w:rPr>
              <w:t>created_at</w:t>
            </w:r>
          </w:p>
        </w:tc>
        <w:tc>
          <w:tcPr>
            <w:tcW w:type="dxa" w:w="1584"/>
            <w:shd w:fill="FFFFFF"/>
            <w:tcMar>
              <w:top w:w="50" w:type="dxa"/>
              <w:bottom w:w="50" w:type="dxa"/>
              <w:left w:w="80" w:type="dxa"/>
              <w:right w:w="80" w:type="dxa"/>
            </w:tcMar>
          </w:tcPr>
          <w:p>
            <w:pPr>
              <w:spacing w:before="0" w:after="0" w:line="264" w:lineRule="auto"/>
            </w:pPr>
            <w:r>
              <w:rPr>
                <w:rFonts w:ascii="Times New Roman" w:hAnsi="Times New Roman"/>
                <w:sz w:val="20"/>
              </w:rPr>
              <w:t>TIMESTAMPTZ</w:t>
            </w:r>
          </w:p>
        </w:tc>
        <w:tc>
          <w:tcPr>
            <w:tcW w:type="dxa" w:w="864"/>
            <w:shd w:fill="FFFFFF"/>
            <w:tcMar>
              <w:top w:w="50" w:type="dxa"/>
              <w:bottom w:w="50" w:type="dxa"/>
              <w:left w:w="80" w:type="dxa"/>
              <w:right w:w="80" w:type="dxa"/>
            </w:tcMar>
          </w:tcPr>
          <w:p>
            <w:pPr>
              <w:spacing w:before="0" w:after="0" w:line="264" w:lineRule="auto"/>
            </w:pPr>
            <w:r>
              <w:rPr>
                <w:rFonts w:ascii="Times New Roman" w:hAnsi="Times New Roman"/>
                <w:sz w:val="20"/>
              </w:rPr>
              <w:t>8</w:t>
            </w:r>
          </w:p>
        </w:tc>
        <w:tc>
          <w:tcPr>
            <w:tcW w:type="dxa" w:w="3312"/>
            <w:shd w:fill="FFFFFF"/>
            <w:tcMar>
              <w:top w:w="50" w:type="dxa"/>
              <w:bottom w:w="50" w:type="dxa"/>
              <w:left w:w="80" w:type="dxa"/>
              <w:right w:w="80" w:type="dxa"/>
            </w:tcMar>
          </w:tcPr>
          <w:p>
            <w:pPr>
              <w:spacing w:before="0" w:after="0" w:line="264" w:lineRule="auto"/>
            </w:pPr>
            <w:r>
              <w:rPr>
                <w:rFonts w:ascii="Times New Roman" w:hAnsi="Times New Roman"/>
                <w:sz w:val="20"/>
              </w:rPr>
              <w:t>Creation timestamp of the notification event.</w:t>
            </w:r>
          </w:p>
        </w:tc>
      </w:tr>
    </w:tbl>
    <w:p>
      <w:pPr>
        <w:spacing w:line="360" w:lineRule="auto" w:before="160" w:after="240"/>
        <w:ind w:firstLine="720"/>
        <w:jc w:val="both"/>
      </w:pPr>
      <w:r>
        <w:rPr>
          <w:rFonts w:ascii="Times New Roman" w:hAnsi="Times New Roman"/>
          <w:sz w:val="24"/>
        </w:rPr>
        <w:t>Table 30, Notifications manages real-time, event-driven user alerts. It notifies proponents, advisers, and panelists of defense schedules, revision submissions, and released evaluation results.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Results and Discussions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