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// UTFT_Demo_320x240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Copyright (C)2015 Rinky-Dink Electronics, Henning Karlsen. All right reserved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web: http://www.RinkyDinkElectronics.com/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This program is a demo of how to use most of the functions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of the library with a supported display modules.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This demo was made for modules with a screen resolution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of 320x240 pixels.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This program requires the UTFT library.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&lt;UTFT.h&gt;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Declare which fonts we will be using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extern uint8_t SmallFont[];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Set the pins to the correct ones for your development shield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My chipKit Uno32/uC32 shield                : &lt;display model&gt;,38,39,40,41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My chipKit Max32 shield                     : &lt;display model&gt;,82,83,84,85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AquaLEDSource All in One Super Screw Shield : &lt;display model&gt;,82,83,84,85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Remember to change the model parameter to suit your display module!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UTFT myGLCD(ITDB32S,82,83,84,85);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randomSeed(analogRead(0));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Setup the LCD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myGLCD.InitLCD();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myGLCD.setFont(SmallFont);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int buf[318];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int x, x2;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int y, y2;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int 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Clear the screen and draw the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myGLCD.setBackColor(255, 0, 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myGLCD.setColor(0, 255, 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myGLCD.fillRect(12, 12, 77, 76);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myGLCD.fillRect(89,12,154,76);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myGLCD.fillRect(166,12,231,76);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myGLCD.fillRect(243,12,308,76);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myGLCD.fillRect(12,88,77,152);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myGLCD.fillRect(89,88,154,152);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myGLCD.fillRect(166,88,231,152);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myGLCD.fillRect(243,88,308,152);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myGLCD.fillRect(12,164,77,228);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myGLCD.fillRect(89,164,154,228);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myGLCD.fillRect(166,164,231,228);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myGLCD.fillRect(243,164,308,228);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myGLCD.setColor(0,0,255);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delay (10000);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