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IDV Via Simb��lica</w:t>
      </w:r>
    </w:p>
    <w:p>
      <w:pPr>
        <w:pStyle w:val="Author"/>
      </w:pPr>
      <w:r>
        <w:t xml:space="preserve">Via Simb��lica �� Guilherme Santana</w:t>
      </w:r>
    </w:p>
    <w:bookmarkStart w:id="34" w:name="via-simbólica-livro-de-marca"/>
    <w:p>
      <w:pPr>
        <w:pStyle w:val="Heading1"/>
      </w:pPr>
      <w:r>
        <w:t xml:space="preserve">Via Simbólica — livro de marca</w:t>
      </w:r>
    </w:p>
    <w:p>
      <w:pPr>
        <w:pStyle w:val="BlockText"/>
      </w:pPr>
      <w:r>
        <w:t xml:space="preserve">Sistema derivado da identidade visual da Comunidade LiterAstro, desenhada por Samira Souza (julho de 2026), e estendido para toda a casa Via Simbólica, que usa marcas próprias. Fonte da verdade: o Design System no Claude Design (https://claude.ai/artifact/JhbHtEWt1aaF2v1A18Mw5W). Este arquivo é o espelho dele no repositório.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livro de marca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tokens no formato do Design System (cores por tema, tipografia, espaços, raios)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tokens.css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mesmos tokens compilados em variáveis CSS, para o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guia.html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visual: abra no navegador para ver o sistema aplicado (carrega Chillax e Satoshi do Fontshare)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usar com o Claude Design, Claude Code e Projetos; instruções de projeto prontas; decisões tomadas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fontes/README.md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baixar as fontes, licença, como carregar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logos/svg/viasimbolica/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duas marcas da Via Simbólica: principal (forma completa e seus pares, marcas soltas, miniatura e seus pares, avatar, lockups) e assinatura, nomes em curvas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logos/svg/literastro/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símbolo da LiterAstro em uma tinta (canônico),</w:t>
            </w:r>
            <w:r>
              <w:t xml:space="preserve"> </w:t>
            </w:r>
            <w:r>
              <w:rPr>
                <w:rStyle w:val="VerbatimChar"/>
              </w:rPr>
              <w:t xml:space="preserve">pares-aprovados/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originais/</w:t>
            </w:r>
            <w:r>
              <w:t xml:space="preserve"> </w:t>
            </w:r>
            <w:r>
              <w:t xml:space="preserve">(arquivos da designer, intactos)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logos/png/viasimbolica/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logos/png/literastro/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de 4000px de cada marca, exportados dos SVG canônicos;</w:t>
            </w:r>
            <w:r>
              <w:t xml:space="preserve"> </w:t>
            </w:r>
            <w:r>
              <w:rPr>
                <w:rStyle w:val="VerbatimChar"/>
              </w:rPr>
              <w:t xml:space="preserve">logos/png/literastro/originais/</w:t>
            </w:r>
            <w:r>
              <w:t xml:space="preserve"> </w:t>
            </w:r>
            <w:r>
              <w:t xml:space="preserve">guarda os PNG da designer (cores arredondadas, dois com 4001px)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referencia/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deck original da identidade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Via Simbólica é a casa de Guilherme Santana: cursos, consultas de astrologia tradicional e acompanhamento. A Comunidade LiterAstro é um dos seus produtos. Este sistema nasceu da identidade visual que Samira Souza desenhou para a LiterAstro em 2026 e passa a valer para toda a casa: a mesma paleta de cinco cores, as mesmas duas famílias tipográficas, o mesmo jeito de compor com muito ar. As marcas, não: a Via Simbólica tem as suas, a</w:t>
      </w:r>
      <w:r>
        <w:t xml:space="preserve"> </w:t>
      </w:r>
      <w:r>
        <w:rPr>
          <w:bCs/>
          <w:b/>
        </w:rPr>
        <w:t xml:space="preserve">principal</w:t>
      </w:r>
      <w:r>
        <w:t xml:space="preserve"> </w:t>
      </w:r>
      <w:r>
        <w:t xml:space="preserve">(o Sol que também é um olho) e a</w:t>
      </w:r>
      <w:r>
        <w:t xml:space="preserve"> </w:t>
      </w:r>
      <w:r>
        <w:rPr>
          <w:bCs/>
          <w:b/>
        </w:rPr>
        <w:t xml:space="preserve">assinatura</w:t>
      </w:r>
      <w:r>
        <w:t xml:space="preserve"> </w:t>
      </w:r>
      <w:r>
        <w:t xml:space="preserve">(a estrela cadente com o nome manuscrito). O símbolo do sol atrás do livro aberto é da LiterAstro e só aparece em peças da comunidade.</w:t>
      </w:r>
    </w:p>
    <w:bookmarkStart w:id="20" w:name="como-usar-este-sistema"/>
    <w:p>
      <w:pPr>
        <w:pStyle w:val="Heading2"/>
      </w:pPr>
      <w:r>
        <w:t xml:space="preserve">Como usar este sistema</w:t>
      </w:r>
    </w:p>
    <w:p>
      <w:pPr>
        <w:pStyle w:val="FirstParagraph"/>
      </w:pPr>
      <w:r>
        <w:t xml:space="preserve">Comece pela paleta e pela tipografia; o resto decorre delas. Os tokens de cor têm dois temas,</w:t>
      </w:r>
      <w:r>
        <w:t xml:space="preserve"> </w:t>
      </w:r>
      <w:r>
        <w:rPr>
          <w:rStyle w:val="VerbatimChar"/>
        </w:rPr>
        <w:t xml:space="preserve">claro</w:t>
      </w:r>
      <w:r>
        <w:t xml:space="preserve"> </w:t>
      </w:r>
      <w:r>
        <w:t xml:space="preserve">(principal) e</w:t>
      </w:r>
      <w:r>
        <w:t xml:space="preserve"> </w:t>
      </w:r>
      <w:r>
        <w:rPr>
          <w:rStyle w:val="VerbatimChar"/>
        </w:rPr>
        <w:t xml:space="preserve">escuro</w:t>
      </w:r>
      <w:r>
        <w:t xml:space="preserve">; cada nota de uso diz sobre quais fundos a cor é legível. As marcas estão em</w:t>
      </w:r>
      <w:r>
        <w:t xml:space="preserve"> </w:t>
      </w:r>
      <w:r>
        <w:rPr>
          <w:rStyle w:val="VerbatimChar"/>
        </w:rPr>
        <w:t xml:space="preserve">assets/Marcas-Via-Simbolica</w:t>
      </w:r>
      <w:r>
        <w:t xml:space="preserve"> </w:t>
      </w:r>
      <w:r>
        <w:t xml:space="preserve">(as da casa) e em</w:t>
      </w:r>
      <w:r>
        <w:t xml:space="preserve"> </w:t>
      </w:r>
      <w:r>
        <w:rPr>
          <w:rStyle w:val="VerbatimChar"/>
        </w:rPr>
        <w:t xml:space="preserve">assets/LiterAstro</w:t>
      </w:r>
      <w:r>
        <w:t xml:space="preserve"> </w:t>
      </w:r>
      <w:r>
        <w:t xml:space="preserve">(as da comunidade), como SVG de cores fixas (uma tinta só, ou tinta e cartão nos pares da principal), com uma variante por cor ou par, porque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não herda cor de CSS. Os pares de tinta e fundo aprovados pela designer estão em</w:t>
      </w:r>
      <w:r>
        <w:t xml:space="preserve"> </w:t>
      </w:r>
      <w:r>
        <w:rPr>
          <w:rStyle w:val="VerbatimChar"/>
        </w:rPr>
        <w:t xml:space="preserve">assets/Pares-aprovados</w:t>
      </w:r>
      <w:r>
        <w:t xml:space="preserve">. O deck original está em</w:t>
      </w:r>
      <w:r>
        <w:t xml:space="preserve"> </w:t>
      </w:r>
      <w:r>
        <w:rPr>
          <w:rStyle w:val="VerbatimChar"/>
        </w:rPr>
        <w:t xml:space="preserve">assets/Referencia</w:t>
      </w:r>
      <w:r>
        <w:t xml:space="preserve">. As fontes estão em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.</w:t>
      </w:r>
    </w:p>
    <w:bookmarkEnd w:id="20"/>
    <w:bookmarkStart w:id="21" w:name="essência"/>
    <w:p>
      <w:pPr>
        <w:pStyle w:val="Heading2"/>
      </w:pPr>
      <w:r>
        <w:t xml:space="preserve">Essência</w:t>
      </w:r>
    </w:p>
    <w:p>
      <w:pPr>
        <w:pStyle w:val="FirstParagraph"/>
      </w:pPr>
      <w:r>
        <w:t xml:space="preserve">A casa olha e ilumina. A marca principal diz isso de uma vez: um Sol que também é um olho, nove raios iguais abrindo-se a partir de um disco claro sobre um cartão roxo; na miniatura, a borda do cartão os recorta. A assinatura diz o resto: uma estrela cadente e o nome escrito à mão, como quem assina uma carta. A LiterAstro tem a sua imagem própria: o sol que nasce atrás de um livro aberto, que também é montanha. Nada místico, nada roxo-esotérico com estrelinhas espalhadas: a Via Simbólica lê os clássicos e o céu com a seriedade de quem estuda. O tom visual é o de um bom livro impresso: superfícies lisas, cantos retos, uma cor forte por vez, texto com espaço para respirar.</w:t>
      </w:r>
    </w:p>
    <w:p>
      <w:pPr>
        <w:pStyle w:val="BodyText"/>
      </w:pPr>
      <w:r>
        <w:t xml:space="preserve">Três palavras guiam qualquer decisão:</w:t>
      </w:r>
      <w:r>
        <w:t xml:space="preserve"> </w:t>
      </w:r>
      <w:r>
        <w:rPr>
          <w:bCs/>
          <w:b/>
        </w:rPr>
        <w:t xml:space="preserve">clara</w:t>
      </w:r>
      <w:r>
        <w:t xml:space="preserve"> </w:t>
      </w:r>
      <w:r>
        <w:t xml:space="preserve">(nada que precise de legenda),</w:t>
      </w:r>
      <w:r>
        <w:t xml:space="preserve"> </w:t>
      </w:r>
      <w:r>
        <w:rPr>
          <w:bCs/>
          <w:b/>
        </w:rPr>
        <w:t xml:space="preserve">sóbria</w:t>
      </w:r>
      <w:r>
        <w:t xml:space="preserve"> </w:t>
      </w:r>
      <w:r>
        <w:t xml:space="preserve">(uma cor de destaque, nunca três) e</w:t>
      </w:r>
      <w:r>
        <w:t xml:space="preserve"> </w:t>
      </w:r>
      <w:r>
        <w:rPr>
          <w:bCs/>
          <w:b/>
        </w:rPr>
        <w:t xml:space="preserve">solar</w:t>
      </w:r>
      <w:r>
        <w:t xml:space="preserve"> </w:t>
      </w:r>
      <w:r>
        <w:t xml:space="preserve">(o amarelo é luz, não alarme).</w:t>
      </w:r>
    </w:p>
    <w:bookmarkEnd w:id="21"/>
    <w:bookmarkStart w:id="22" w:name="fundamentos-de-conteúdo"/>
    <w:p>
      <w:pPr>
        <w:pStyle w:val="Heading2"/>
      </w:pPr>
      <w:r>
        <w:t xml:space="preserve">Fundamentos de conteúdo</w:t>
      </w:r>
    </w:p>
    <w:p>
      <w:pPr>
        <w:numPr>
          <w:ilvl w:val="0"/>
          <w:numId w:val="1001"/>
        </w:numPr>
        <w:pStyle w:val="Compact"/>
      </w:pPr>
      <w:r>
        <w:t xml:space="preserve">Fale com</w:t>
      </w:r>
      <w:r>
        <w:t xml:space="preserve"> </w:t>
      </w:r>
      <w:r>
        <w:t xml:space="preserve">“</w:t>
      </w:r>
      <w:r>
        <w:t xml:space="preserve">você</w:t>
      </w:r>
      <w:r>
        <w:t xml:space="preserve">”</w:t>
      </w:r>
      <w:r>
        <w:t xml:space="preserve">. Frases curtas, uma ideia por frase, verbo presente.</w:t>
      </w:r>
    </w:p>
    <w:p>
      <w:pPr>
        <w:numPr>
          <w:ilvl w:val="0"/>
          <w:numId w:val="1001"/>
        </w:numPr>
        <w:pStyle w:val="Compact"/>
      </w:pPr>
      <w:r>
        <w:t xml:space="preserve">Pouco adjetivo. Prefira imagens da natureza às abstrações:</w:t>
      </w:r>
      <w:r>
        <w:t xml:space="preserve"> </w:t>
      </w:r>
      <w:r>
        <w:t xml:space="preserve">“</w:t>
      </w:r>
      <w:r>
        <w:t xml:space="preserve">o sol nasce atrás do livro</w:t>
      </w:r>
      <w:r>
        <w:t xml:space="preserve">”</w:t>
      </w:r>
      <w:r>
        <w:t xml:space="preserve">, não</w:t>
      </w:r>
      <w:r>
        <w:t xml:space="preserve"> </w:t>
      </w:r>
      <w:r>
        <w:t xml:space="preserve">“</w:t>
      </w:r>
      <w:r>
        <w:t xml:space="preserve">uma jornada transformadora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Sem psicologês, sem determinismo, sem diagnóstico. O céu descreve, não condena. Feche em liberdade.</w:t>
      </w:r>
    </w:p>
    <w:p>
      <w:pPr>
        <w:numPr>
          <w:ilvl w:val="0"/>
          <w:numId w:val="1001"/>
        </w:numPr>
        <w:pStyle w:val="Compact"/>
      </w:pPr>
      <w:r>
        <w:t xml:space="preserve">Caixa baixa com inicial maiúscula em títulos (</w:t>
      </w:r>
      <w:r>
        <w:t xml:space="preserve">“</w:t>
      </w:r>
      <w:r>
        <w:t xml:space="preserve">Paleta de cores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 Psicologia das 12 Casas</w:t>
      </w:r>
      <w:r>
        <w:t xml:space="preserve">”</w:t>
      </w:r>
      <w:r>
        <w:t xml:space="preserve">). Caixa alta só no estilo</w:t>
      </w:r>
      <w:r>
        <w:t xml:space="preserve"> </w:t>
      </w:r>
      <w:r>
        <w:rPr>
          <w:rStyle w:val="VerbatimChar"/>
        </w:rPr>
        <w:t xml:space="preserve">rotulo</w:t>
      </w:r>
      <w:r>
        <w:t xml:space="preserve">, no estilo</w:t>
      </w:r>
      <w:r>
        <w:t xml:space="preserve"> </w:t>
      </w:r>
      <w:r>
        <w:rPr>
          <w:rStyle w:val="VerbatimChar"/>
        </w:rPr>
        <w:t xml:space="preserve">botao</w:t>
      </w:r>
      <w:r>
        <w:t xml:space="preserve"> </w:t>
      </w:r>
      <w:r>
        <w:t xml:space="preserve">e no nome VIA SIMBÓLICA dos lockups. A assinatura é toda em caixa baixa.</w:t>
      </w:r>
    </w:p>
    <w:p>
      <w:pPr>
        <w:numPr>
          <w:ilvl w:val="0"/>
          <w:numId w:val="1001"/>
        </w:numPr>
        <w:pStyle w:val="Compact"/>
      </w:pPr>
      <w:r>
        <w:t xml:space="preserve">Sem emoji, sem ponto de exclamação em título, sem urgência artificial (</w:t>
      </w:r>
      <w:r>
        <w:t xml:space="preserve">“</w:t>
      </w:r>
      <w:r>
        <w:t xml:space="preserve">últimas vagas!!!</w:t>
      </w:r>
      <w:r>
        <w:t xml:space="preserve">”</w:t>
      </w:r>
      <w:r>
        <w:t xml:space="preserve">). Uma contagem regressiva é um número em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, não um alarme vermelho.</w:t>
      </w:r>
    </w:p>
    <w:p>
      <w:pPr>
        <w:numPr>
          <w:ilvl w:val="0"/>
          <w:numId w:val="1001"/>
        </w:numPr>
        <w:pStyle w:val="Compact"/>
      </w:pPr>
      <w:r>
        <w:t xml:space="preserve">Nomes dos produtos, sempre assim: Via Simbólica, Comunidade LiterAstro (LiterAstro, com A maiúsculo no meio; no logotipo, LITERASTRO), A Psicologia das 12 Casas, Espelho de Vênus, Astrologia em 4 Atos, Manual Prático de Astrologia, Mapa Natal, Sinastria, Pergunta Horária, Mini Mapas, Terapia.</w:t>
      </w:r>
    </w:p>
    <w:p>
      <w:pPr>
        <w:numPr>
          <w:ilvl w:val="0"/>
          <w:numId w:val="1001"/>
        </w:numPr>
        <w:pStyle w:val="Compact"/>
      </w:pPr>
      <w:r>
        <w:t xml:space="preserve">Frase da casa:</w:t>
      </w:r>
      <w:r>
        <w:t xml:space="preserve"> </w:t>
      </w:r>
      <w:r>
        <w:t xml:space="preserve">“</w:t>
      </w:r>
      <w:r>
        <w:t xml:space="preserve">Encante-se com o mundo pela Via Simbólica.</w:t>
      </w:r>
      <w:r>
        <w:t xml:space="preserve">”</w:t>
      </w:r>
      <w:r>
        <w:t xml:space="preserve"> </w:t>
      </w:r>
      <w:r>
        <w:t xml:space="preserve">Vai no rodapé, junto da assinatura, nunca como título.</w:t>
      </w:r>
    </w:p>
    <w:p>
      <w:pPr>
        <w:numPr>
          <w:ilvl w:val="0"/>
          <w:numId w:val="1001"/>
        </w:numPr>
        <w:pStyle w:val="Compact"/>
      </w:pPr>
      <w:r>
        <w:t xml:space="preserve">Copy real, para calibrar o tom:</w:t>
      </w:r>
      <w:r>
        <w:t xml:space="preserve"> </w:t>
      </w:r>
      <w:r>
        <w:t xml:space="preserve">“</w:t>
      </w:r>
      <w:r>
        <w:t xml:space="preserve">As doze áreas da vida humana desvendadas: quem você é, sua família, seu amor e sua vocação.</w:t>
      </w:r>
      <w:r>
        <w:t xml:space="preserve">”</w:t>
      </w:r>
      <w:r>
        <w:t xml:space="preserve"> </w:t>
      </w:r>
      <w:r>
        <w:t xml:space="preserve">“</w:t>
      </w:r>
      <w:r>
        <w:t xml:space="preserve">A comunidade que une literatura e astrologia num só lugar de estudo e amizade.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Numere seções longas como o deck:</w:t>
      </w:r>
      <w:r>
        <w:t xml:space="preserve"> </w:t>
      </w:r>
      <w:r>
        <w:rPr>
          <w:rStyle w:val="VerbatimChar"/>
        </w:rPr>
        <w:t xml:space="preserve">numeral</w:t>
      </w:r>
      <w:r>
        <w:t xml:space="preserve"> </w:t>
      </w:r>
      <w:r>
        <w:t xml:space="preserve">em Bold (</w:t>
      </w:r>
      <w:r>
        <w:t xml:space="preserve">“</w:t>
      </w:r>
      <w:r>
        <w:t xml:space="preserve">01.</w:t>
      </w:r>
      <w:r>
        <w:t xml:space="preserve">”</w:t>
      </w:r>
      <w:r>
        <w:t xml:space="preserve">) seguido do título em Medium (</w:t>
      </w:r>
      <w:r>
        <w:t xml:space="preserve">“</w:t>
      </w:r>
      <w:r>
        <w:t xml:space="preserve">Cores</w:t>
      </w:r>
      <w:r>
        <w:t xml:space="preserve">”</w:t>
      </w:r>
      <w:r>
        <w:t xml:space="preserve">), no canto inferior esquerdo de uma página escura.</w:t>
      </w:r>
    </w:p>
    <w:bookmarkEnd w:id="22"/>
    <w:bookmarkStart w:id="23" w:name="cor"/>
    <w:p>
      <w:pPr>
        <w:pStyle w:val="Heading2"/>
      </w:pPr>
      <w:r>
        <w:t xml:space="preserve">Cor</w:t>
      </w:r>
    </w:p>
    <w:p>
      <w:pPr>
        <w:pStyle w:val="FirstParagraph"/>
      </w:pPr>
      <w:r>
        <w:t xml:space="preserve">A paleta da designer tem cinco cores: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#FAF559,</w:t>
      </w:r>
      <w:r>
        <w:t xml:space="preserve"> </w:t>
      </w:r>
      <w:r>
        <w:rPr>
          <w:rStyle w:val="VerbatimChar"/>
        </w:rPr>
        <w:t xml:space="preserve">roxo</w:t>
      </w:r>
      <w:r>
        <w:t xml:space="preserve"> </w:t>
      </w:r>
      <w:r>
        <w:t xml:space="preserve">#664FA1, o claro #F2F2F2 (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no tema claro),</w:t>
      </w:r>
      <w:r>
        <w:t xml:space="preserve"> </w:t>
      </w:r>
      <w:r>
        <w:rPr>
          <w:rStyle w:val="VerbatimChar"/>
        </w:rPr>
        <w:t xml:space="preserve">cinza</w:t>
      </w:r>
      <w:r>
        <w:t xml:space="preserve"> </w:t>
      </w:r>
      <w:r>
        <w:t xml:space="preserve">#8F8F8F e o escuro #2E2E2E (</w:t>
      </w:r>
      <w:r>
        <w:rPr>
          <w:rStyle w:val="VerbatimChar"/>
        </w:rPr>
        <w:t xml:space="preserve">tinta</w:t>
      </w:r>
      <w:r>
        <w:t xml:space="preserve"> </w:t>
      </w:r>
      <w:r>
        <w:t xml:space="preserve">no tema claro). O sistema acrescenta só neutros derivados para fundo, papel, filete e texto secundário (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escuro #191919 e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 </w:t>
      </w:r>
      <w:r>
        <w:t xml:space="preserve">claro #FFFFFF, que são os fundos do deck;</w:t>
      </w:r>
      <w:r>
        <w:t xml:space="preserve"> </w:t>
      </w:r>
      <w:r>
        <w:rPr>
          <w:rStyle w:val="VerbatimChar"/>
        </w:rPr>
        <w:t xml:space="preserve">linha</w:t>
      </w:r>
      <w:r>
        <w:t xml:space="preserve">;</w:t>
      </w:r>
      <w:r>
        <w:t xml:space="preserve"> </w:t>
      </w:r>
      <w:r>
        <w:rPr>
          <w:rStyle w:val="VerbatimChar"/>
        </w:rPr>
        <w:t xml:space="preserve">tinta-suave</w:t>
      </w:r>
      <w:r>
        <w:t xml:space="preserve">;</w:t>
      </w:r>
      <w:r>
        <w:t xml:space="preserve"> </w:t>
      </w:r>
      <w:r>
        <w:rPr>
          <w:rStyle w:val="VerbatimChar"/>
        </w:rPr>
        <w:t xml:space="preserve">veu</w:t>
      </w:r>
      <w:r>
        <w:t xml:space="preserve">) e</w:t>
      </w:r>
      <w:r>
        <w:t xml:space="preserve"> </w:t>
      </w:r>
      <w:r>
        <w:rPr>
          <w:rStyle w:val="VerbatimChar"/>
        </w:rPr>
        <w:t xml:space="preserve">roxo-claro</w:t>
      </w:r>
      <w:r>
        <w:t xml:space="preserve"> </w:t>
      </w:r>
      <w:r>
        <w:t xml:space="preserve">#B9A9E0 para o roxo legível no escuro; nenhuma outra cor. Os arquivos SVG exportados pela designer trazem valores arredondados (#F9F458, #674FA0, #8F908E, #2D2D2D); os valores do deck são os canônicos.</w:t>
      </w:r>
    </w:p>
    <w:p>
      <w:pPr>
        <w:numPr>
          <w:ilvl w:val="0"/>
          <w:numId w:val="1002"/>
        </w:numPr>
        <w:pStyle w:val="Compact"/>
      </w:pPr>
      <w:r>
        <w:t xml:space="preserve">Fundo de página é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; cartões, placas e caixas são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. Texto principal é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; secundário é</w:t>
      </w:r>
      <w:r>
        <w:t xml:space="preserve"> </w:t>
      </w:r>
      <w:r>
        <w:rPr>
          <w:rStyle w:val="VerbatimChar"/>
        </w:rPr>
        <w:t xml:space="preserve">tinta-suave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Uma cor de destaque por composição.</w:t>
      </w:r>
      <w:r>
        <w:t xml:space="preserve"> </w:t>
      </w:r>
      <w:r>
        <w:rPr>
          <w:rStyle w:val="VerbatimChar"/>
        </w:rPr>
        <w:t xml:space="preserve">roxo</w:t>
      </w:r>
      <w:r>
        <w:t xml:space="preserve"> </w:t>
      </w:r>
      <w:r>
        <w:t xml:space="preserve">é a cor da marca e vem primeiro;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é o acento e aparece em área pequena ou como um bloco inteiro (uma faixa, um marcador de livro, uma capa), nunca os dois disputando o mesmo peso. O deck inteiro é preto, branco e cinza: as cores entram pelo logotipo e pelos mockups. Siga essa proporção: muito neutro, uma cor.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roxo</w:t>
      </w:r>
      <w:r>
        <w:t xml:space="preserve"> </w:t>
      </w:r>
      <w:r>
        <w:t xml:space="preserve">como texto só sobre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claro,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 </w:t>
      </w:r>
      <w:r>
        <w:t xml:space="preserve">claro e</w:t>
      </w:r>
      <w:r>
        <w:t xml:space="preserve"> </w:t>
      </w:r>
      <w:r>
        <w:rPr>
          <w:rStyle w:val="VerbatimChar"/>
        </w:rPr>
        <w:t xml:space="preserve">sol</w:t>
      </w:r>
      <w:r>
        <w:t xml:space="preserve">. Sobre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 </w:t>
      </w:r>
      <w:r>
        <w:t xml:space="preserve">escuros, roxo some (2,7:1 e 2,1:1): use</w:t>
      </w:r>
      <w:r>
        <w:t xml:space="preserve"> </w:t>
      </w:r>
      <w:r>
        <w:rPr>
          <w:rStyle w:val="VerbatimChar"/>
        </w:rPr>
        <w:t xml:space="preserve">roxo-claro</w:t>
      </w:r>
      <w:r>
        <w:t xml:space="preserve">. Para texto, link, rótulo de categoria e marca que precisam ser roxos nos dois temas, use</w:t>
      </w:r>
      <w:r>
        <w:t xml:space="preserve"> </w:t>
      </w:r>
      <w:r>
        <w:rPr>
          <w:rStyle w:val="VerbatimChar"/>
        </w:rPr>
        <w:t xml:space="preserve">roxo-texto</w:t>
      </w:r>
      <w:r>
        <w:t xml:space="preserve">, que é roxo no claro e roxo-claro no escuro.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sol</w:t>
      </w:r>
      <w:r>
        <w:t xml:space="preserve"> </w:t>
      </w:r>
      <w:r>
        <w:t xml:space="preserve">nunca é texto sobre claro. Sobre</w:t>
      </w:r>
      <w:r>
        <w:t xml:space="preserve"> </w:t>
      </w:r>
      <w:r>
        <w:rPr>
          <w:rStyle w:val="VerbatimChar"/>
        </w:rPr>
        <w:t xml:space="preserve">sol</w:t>
      </w:r>
      <w:r>
        <w:t xml:space="preserve">, escreva em</w:t>
      </w:r>
      <w:r>
        <w:t xml:space="preserve"> </w:t>
      </w:r>
      <w:r>
        <w:rPr>
          <w:rStyle w:val="VerbatimChar"/>
        </w:rPr>
        <w:t xml:space="preserve">sobre-sol</w:t>
      </w:r>
      <w:r>
        <w:t xml:space="preserve">. Sobre</w:t>
      </w:r>
      <w:r>
        <w:t xml:space="preserve"> </w:t>
      </w:r>
      <w:r>
        <w:rPr>
          <w:rStyle w:val="VerbatimChar"/>
        </w:rPr>
        <w:t xml:space="preserve">roxo</w:t>
      </w:r>
      <w:r>
        <w:t xml:space="preserve">, escreva em</w:t>
      </w:r>
      <w:r>
        <w:t xml:space="preserve"> </w:t>
      </w:r>
      <w:r>
        <w:rPr>
          <w:rStyle w:val="VerbatimChar"/>
        </w:rPr>
        <w:t xml:space="preserve">sobre-roxo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cinza</w:t>
      </w:r>
      <w:r>
        <w:t xml:space="preserve"> </w:t>
      </w:r>
      <w:r>
        <w:t xml:space="preserve">é cor de filete, divisor, rótulo de cabeçalho e marca. Como texto, só a partir de 24px. Para texto pequeno em segundo plano,</w:t>
      </w:r>
      <w:r>
        <w:t xml:space="preserve"> </w:t>
      </w:r>
      <w:r>
        <w:rPr>
          <w:rStyle w:val="VerbatimChar"/>
        </w:rPr>
        <w:t xml:space="preserve">tinta-suave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Fotografia e obra de arte atrás de texto claro levam o</w:t>
      </w:r>
      <w:r>
        <w:t xml:space="preserve"> </w:t>
      </w:r>
      <w:r>
        <w:rPr>
          <w:rStyle w:val="VerbatimChar"/>
        </w:rPr>
        <w:t xml:space="preserve">veu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Nada de gradiente, nada de sombra colorida, nada de roxo-azulado degradê. Superfícies são chapadas.</w:t>
      </w:r>
    </w:p>
    <w:p>
      <w:pPr>
        <w:numPr>
          <w:ilvl w:val="0"/>
          <w:numId w:val="1002"/>
        </w:numPr>
        <w:pStyle w:val="Compact"/>
      </w:pPr>
      <w:r>
        <w:t xml:space="preserve">Pares aprovados para qualquer marca, sete ao todo: roxo sobre claro; claro sobre roxo; claro sobre escuro; escuro sobre claro; cinza sobre sol; sol sobre cinza; escuro sobre sol. Os seis primeiros vêm dos arquivos da designer; escuro sobre sol vem do marcador de livro do deck. Os pares com cinza são pares de marca em tamanho grande; não os use para texto.</w:t>
      </w:r>
    </w:p>
    <w:bookmarkEnd w:id="23"/>
    <w:bookmarkStart w:id="24" w:name="tipografia"/>
    <w:p>
      <w:pPr>
        <w:pStyle w:val="Heading2"/>
      </w:pPr>
      <w:r>
        <w:t xml:space="preserve">Tipografia</w:t>
      </w:r>
    </w:p>
    <w:p>
      <w:pPr>
        <w:pStyle w:val="FirstParagraph"/>
      </w:pPr>
      <w:r>
        <w:t xml:space="preserve">Duas famílias para tudo, ambas da Indian Type Foundry, gratuitas no Fontshare, com os arquivos em</w:t>
      </w:r>
      <w:r>
        <w:t xml:space="preserve"> </w:t>
      </w:r>
      <w:r>
        <w:rPr>
          <w:rStyle w:val="VerbatimChar"/>
        </w:rPr>
        <w:t xml:space="preserve">fonts/</w:t>
      </w:r>
      <w:r>
        <w:t xml:space="preserve">:</w:t>
      </w:r>
      <w:r>
        <w:t xml:space="preserve"> </w:t>
      </w:r>
      <w:r>
        <w:rPr>
          <w:bCs/>
          <w:b/>
        </w:rPr>
        <w:t xml:space="preserve">Chillax Variable</w:t>
      </w:r>
      <w:r>
        <w:t xml:space="preserve"> </w:t>
      </w:r>
      <w:r>
        <w:t xml:space="preserve">(família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) e</w:t>
      </w:r>
      <w:r>
        <w:t xml:space="preserve"> </w:t>
      </w:r>
      <w:r>
        <w:rPr>
          <w:bCs/>
          <w:b/>
        </w:rPr>
        <w:t xml:space="preserve">Satoshi</w:t>
      </w:r>
      <w:r>
        <w:t xml:space="preserve"> </w:t>
      </w:r>
      <w:r>
        <w:t xml:space="preserve">(família</w:t>
      </w:r>
      <w:r>
        <w:t xml:space="preserve"> </w:t>
      </w:r>
      <w:r>
        <w:rPr>
          <w:rStyle w:val="VerbatimChar"/>
        </w:rPr>
        <w:t xml:space="preserve">texto</w:t>
      </w:r>
      <w:r>
        <w:t xml:space="preserve">). Uma terceira,</w:t>
      </w:r>
      <w:r>
        <w:t xml:space="preserve"> </w:t>
      </w:r>
      <w:r>
        <w:rPr>
          <w:bCs/>
          <w:b/>
        </w:rPr>
        <w:t xml:space="preserve">Great Vibes</w:t>
      </w:r>
      <w:r>
        <w:t xml:space="preserve"> </w:t>
      </w:r>
      <w:r>
        <w:t xml:space="preserve">(família</w:t>
      </w:r>
      <w:r>
        <w:t xml:space="preserve"> </w:t>
      </w:r>
      <w:r>
        <w:rPr>
          <w:rStyle w:val="VerbatimChar"/>
        </w:rPr>
        <w:t xml:space="preserve">assinatura</w:t>
      </w:r>
      <w:r>
        <w:t xml:space="preserve">), existe só dentro da marca secundária e nunca é fonte de texto.</w:t>
      </w:r>
    </w:p>
    <w:p>
      <w:pPr>
        <w:numPr>
          <w:ilvl w:val="0"/>
          <w:numId w:val="1003"/>
        </w:numPr>
        <w:pStyle w:val="Compact"/>
      </w:pPr>
      <w:r>
        <w:t xml:space="preserve">Chillax é a voz da marca: títulos, numerais de seção, o nome VIA SIMBÓLICA nos lockups. Pesos de 200 a 700; o uso corrente é Medium 500; o nome da marca é 565 com tracking 0,08em em caixa alta, exatamente como a designer compôs LITERASTRO. Estilos:</w:t>
      </w:r>
      <w:r>
        <w:t xml:space="preserve"> </w:t>
      </w:r>
      <w:r>
        <w:rPr>
          <w:rStyle w:val="VerbatimChar"/>
        </w:rPr>
        <w:t xml:space="preserve">exibicao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Satoshi é o texto: parágrafos, rótulos, botões, interface. Regular 400 para corpo, Medium 500 para rótulos e legendas, Bold 700 para botões. Estilos:</w:t>
      </w:r>
      <w:r>
        <w:t xml:space="preserve"> </w:t>
      </w:r>
      <w:r>
        <w:rPr>
          <w:rStyle w:val="VerbatimChar"/>
        </w:rPr>
        <w:t xml:space="preserve">corpo-grande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corpo-pequeno</w:t>
      </w:r>
      <w:r>
        <w:t xml:space="preserve">,</w:t>
      </w:r>
      <w:r>
        <w:t xml:space="preserve"> </w:t>
      </w:r>
      <w:r>
        <w:rPr>
          <w:rStyle w:val="VerbatimChar"/>
        </w:rPr>
        <w:t xml:space="preserve">legenda</w:t>
      </w:r>
      <w:r>
        <w:t xml:space="preserve">,</w:t>
      </w:r>
      <w:r>
        <w:t xml:space="preserve"> </w:t>
      </w:r>
      <w:r>
        <w:rPr>
          <w:rStyle w:val="VerbatimChar"/>
        </w:rPr>
        <w:t xml:space="preserve">rotulo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botao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Great Vibes aparece uma única vez no sistema: no</w:t>
      </w:r>
      <w:r>
        <w:t xml:space="preserve"> </w:t>
      </w:r>
      <w:r>
        <w:t xml:space="preserve">“</w:t>
      </w:r>
      <w:r>
        <w:t xml:space="preserve">via simbólica</w:t>
      </w:r>
      <w:r>
        <w:t xml:space="preserve">”</w:t>
      </w:r>
      <w:r>
        <w:t xml:space="preserve"> </w:t>
      </w:r>
      <w:r>
        <w:t xml:space="preserve">manuscrito da assinatura, já convertido em curvas nos arquivos. Não a use em título, destaque ou citação.</w:t>
      </w:r>
    </w:p>
    <w:p>
      <w:pPr>
        <w:numPr>
          <w:ilvl w:val="0"/>
          <w:numId w:val="1003"/>
        </w:numPr>
        <w:pStyle w:val="Compact"/>
      </w:pPr>
      <w:r>
        <w:t xml:space="preserve">Rótulos (</w:t>
      </w:r>
      <w:r>
        <w:rPr>
          <w:rStyle w:val="VerbatimChar"/>
        </w:rPr>
        <w:t xml:space="preserve">rotulo</w:t>
      </w:r>
      <w:r>
        <w:t xml:space="preserve">) são curtos, em caixa alta, com tracking de 0,18em, e ficam acima do título ou no cabeçalho da página, como</w:t>
      </w:r>
      <w:r>
        <w:t xml:space="preserve"> </w:t>
      </w:r>
      <w:r>
        <w:t xml:space="preserve">“</w:t>
      </w:r>
      <w:r>
        <w:t xml:space="preserve">PROJETO LITERASTRO SAMIRA SOUZA</w:t>
      </w:r>
      <w:r>
        <w:t xml:space="preserve">”</w:t>
      </w:r>
      <w:r>
        <w:t xml:space="preserve"> </w:t>
      </w:r>
      <w:r>
        <w:t xml:space="preserve">no deck.</w:t>
      </w:r>
    </w:p>
    <w:p>
      <w:pPr>
        <w:numPr>
          <w:ilvl w:val="0"/>
          <w:numId w:val="1003"/>
        </w:numPr>
        <w:pStyle w:val="Compact"/>
      </w:pPr>
      <w:r>
        <w:t xml:space="preserve">Medida de leitura entre 60 e 75 caracteres. Títulos alinhados à esquerda. Nunca justifique na web.</w:t>
      </w:r>
    </w:p>
    <w:p>
      <w:pPr>
        <w:numPr>
          <w:ilvl w:val="0"/>
          <w:numId w:val="1003"/>
        </w:numPr>
        <w:pStyle w:val="Compact"/>
      </w:pPr>
      <w:r>
        <w:t xml:space="preserve">Sem itálico de ornamento e sem serifa: a Baskervville do site antigo sai.</w:t>
      </w:r>
    </w:p>
    <w:bookmarkEnd w:id="24"/>
    <w:bookmarkStart w:id="28" w:name="marcas"/>
    <w:p>
      <w:pPr>
        <w:pStyle w:val="Heading2"/>
      </w:pPr>
      <w:r>
        <w:t xml:space="preserve">Marcas</w:t>
      </w:r>
    </w:p>
    <w:p>
      <w:pPr>
        <w:pStyle w:val="FirstParagraph"/>
      </w:pPr>
      <w:r>
        <w:t xml:space="preserve">A casa tem duas marcas; a comunidade tem a sua. Nunca junte duas delas no mesmo bloco visual sem hierarquia: a principal manda, a assinatura fecha, a da LiterAstro aparece só em peças da LiterAstro.</w:t>
      </w:r>
    </w:p>
    <w:bookmarkStart w:id="25" w:name="X15a1ef3cb79926048dee6301d6c8ec6579a5504"/>
    <w:p>
      <w:pPr>
        <w:pStyle w:val="Heading3"/>
      </w:pPr>
      <w:r>
        <w:t xml:space="preserve">Marca principal: o Sol que também é um olho</w:t>
      </w:r>
    </w:p>
    <w:p>
      <w:pPr>
        <w:pStyle w:val="FirstParagraph"/>
      </w:pPr>
      <w:r>
        <w:t xml:space="preserve">A marca tem duas formas com a mesma geometria. Na</w:t>
      </w:r>
      <w:r>
        <w:t xml:space="preserve"> </w:t>
      </w:r>
      <w:r>
        <w:rPr>
          <w:bCs/>
          <w:b/>
        </w:rPr>
        <w:t xml:space="preserve">completa</w:t>
      </w:r>
      <w:r>
        <w:t xml:space="preserve">, um cartão horizontal de 464×288 em</w:t>
      </w:r>
      <w:r>
        <w:t xml:space="preserve"> </w:t>
      </w:r>
      <w:r>
        <w:rPr>
          <w:rStyle w:val="VerbatimChar"/>
        </w:rPr>
        <w:t xml:space="preserve">roxo</w:t>
      </w:r>
      <w:r>
        <w:t xml:space="preserve"> </w:t>
      </w:r>
      <w:r>
        <w:t xml:space="preserve">com, no claro da paleta (#F2F2F2, o</w:t>
      </w:r>
      <w:r>
        <w:t xml:space="preserve"> </w:t>
      </w:r>
      <w:r>
        <w:rPr>
          <w:rStyle w:val="VerbatimChar"/>
        </w:rPr>
        <w:t xml:space="preserve">sobre-roxo</w:t>
      </w:r>
      <w:r>
        <w:t xml:space="preserve">, igual nos dois temas), um disco de raio 32 assentado perto da base (centro a 56 da borda inferior) e nove raios inteiros, da mesma espessura (8) e do mesmo comprimento (112), saindo dele a 0, 22,5, 45, 67,5 e 90 graus para cada lado, entre os raios 64 e 176 do centro; o leque fica a 56 das bordas laterais e da superior, e embaixo o centro do disco fica a 56 da borda. É a forma de todo uso em que a marca aparece inteira: lockups, capas, cabeçalhos, impressos. Na</w:t>
      </w:r>
      <w:r>
        <w:t xml:space="preserve"> </w:t>
      </w:r>
      <w:r>
        <w:rPr>
          <w:bCs/>
          <w:b/>
        </w:rPr>
        <w:t xml:space="preserve">miniatura</w:t>
      </w:r>
      <w:r>
        <w:t xml:space="preserve">, o mesmo leque num cartão vertical 2:3 (192×288) que recorta os raios laterais pela borda: é a forma do ícone, do favicon, do avatar e de qualquer tamanho pequeno, e o corte faz parte dela. O disco é a pupila e é o sol; os raios são cílios e luz. Nas duas formas o cartão não é fundo, é a marca: tem a cor dela e termina onde o desenho termina.</w:t>
      </w:r>
    </w:p>
    <w:p>
      <w:pPr>
        <w:pStyle w:val="BodyText"/>
      </w:pPr>
      <w:r>
        <w:t xml:space="preserve">Versões, em</w:t>
      </w:r>
      <w:r>
        <w:t xml:space="preserve"> </w:t>
      </w:r>
      <w:r>
        <w:rPr>
          <w:rStyle w:val="VerbatimChar"/>
        </w:rPr>
        <w:t xml:space="preserve">assets/Marcas-Via-Simbolica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viasimbolica-principal</w:t>
      </w:r>
      <w:r>
        <w:t xml:space="preserve"> </w:t>
      </w:r>
      <w:r>
        <w:t xml:space="preserve">— a versão mestre completa: cartão roxo, marcas claras. Use esta sempre que a marca aparecer inteira.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viasimbolica-principal-claro-sobre-escuro</w:t>
      </w:r>
      <w:r>
        <w:t xml:space="preserve">,</w:t>
      </w:r>
      <w:r>
        <w:t xml:space="preserve"> </w:t>
      </w:r>
      <w:r>
        <w:rPr>
          <w:rStyle w:val="VerbatimChar"/>
        </w:rPr>
        <w:t xml:space="preserve">-escuro-sobre-sol</w:t>
      </w:r>
      <w:r>
        <w:t xml:space="preserve">,</w:t>
      </w:r>
      <w:r>
        <w:t xml:space="preserve"> </w:t>
      </w:r>
      <w:r>
        <w:rPr>
          <w:rStyle w:val="VerbatimChar"/>
        </w:rPr>
        <w:t xml:space="preserve">-roxo-sobre-claro</w:t>
      </w:r>
      <w:r>
        <w:t xml:space="preserve">,</w:t>
      </w:r>
      <w:r>
        <w:t xml:space="preserve"> </w:t>
      </w:r>
      <w:r>
        <w:rPr>
          <w:rStyle w:val="VerbatimChar"/>
        </w:rPr>
        <w:t xml:space="preserve">-sol-sobre-cinza</w:t>
      </w:r>
      <w:r>
        <w:t xml:space="preserve">,</w:t>
      </w:r>
      <w:r>
        <w:t xml:space="preserve"> </w:t>
      </w:r>
      <w:r>
        <w:rPr>
          <w:rStyle w:val="VerbatimChar"/>
        </w:rPr>
        <w:t xml:space="preserve">-claro-sobre-fundo-escuro</w:t>
      </w:r>
      <w:r>
        <w:t xml:space="preserve"> </w:t>
      </w:r>
      <w:r>
        <w:t xml:space="preserve">— a completa nos pares aprovados; o nome diz</w:t>
      </w:r>
      <w:r>
        <w:t xml:space="preserve"> </w:t>
      </w:r>
      <w:r>
        <w:t xml:space="preserve">“</w:t>
      </w:r>
      <w:r>
        <w:t xml:space="preserve">marcas-sobre-cartão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viasimbolica-principal-marcas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-claro</w:t>
      </w:r>
      <w:r>
        <w:t xml:space="preserve">,</w:t>
      </w:r>
      <w:r>
        <w:t xml:space="preserve"> </w:t>
      </w:r>
      <w:r>
        <w:rPr>
          <w:rStyle w:val="VerbatimChar"/>
        </w:rPr>
        <w:t xml:space="preserve">-roxo</w:t>
      </w:r>
      <w:r>
        <w:t xml:space="preserve">,</w:t>
      </w:r>
      <w:r>
        <w:t xml:space="preserve"> </w:t>
      </w:r>
      <w:r>
        <w:rPr>
          <w:rStyle w:val="VerbatimChar"/>
        </w:rPr>
        <w:t xml:space="preserve">-sol</w:t>
      </w:r>
      <w:r>
        <w:t xml:space="preserve">) — só os raios e o disco da completa, para pousar sobre um campo chapado na proporção 464:288 (uma capa inteira em roxo, por exemplo). Nunca sobre fotografia ou campo de outra proporção.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viasimbolica-miniatura</w:t>
      </w:r>
      <w:r>
        <w:t xml:space="preserve"> </w:t>
      </w:r>
      <w:r>
        <w:t xml:space="preserve">(e os mesmos cinco pares) — a forma recortada 2:3, para ícone, favicon, avatar e tamanhos pequenos.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viasimbolica-avatar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-escuro</w:t>
      </w:r>
      <w:r>
        <w:t xml:space="preserve">) — a miniatura centrada num quadrado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, para perfis e favicon.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viasimbolica-vertical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-claro</w:t>
      </w:r>
      <w:r>
        <w:t xml:space="preserve">) — a completa com VIA SIMBÓLICA embaixo, nome em curvas (Chillax 565, tracking 0,08em), com a largura do cartão.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viasimbolica-horizontal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-claro</w:t>
      </w:r>
      <w:r>
        <w:t xml:space="preserve">) — a completa à esquerda, VIA / SIMBÓLICA em duas linhas à direita. Para faixas, cabeçalhos e capas de caderno.</w:t>
      </w:r>
    </w:p>
    <w:p>
      <w:pPr>
        <w:pStyle w:val="BodyText"/>
      </w:pPr>
      <w:r>
        <w:t xml:space="preserve">Regras:</w:t>
      </w:r>
      <w:r>
        <w:t xml:space="preserve"> </w:t>
      </w:r>
      <w:r>
        <w:t xml:space="preserve">- Não altere nada da geometria: contagem, ângulos, espessura, comprimento, raio do disco, posição, proporção dos cartões, recorte da miniatura. Não arredonde os cantos. Não gire. Não use a miniatura onde a marca aparece inteira, nem a completa como ícone.</w:t>
      </w:r>
      <w:r>
        <w:t xml:space="preserve"> </w:t>
      </w:r>
      <w:r>
        <w:t xml:space="preserve">- Uma tinta para as marcas e uma para o cartão, sempre num par aprovado. Sem contorno, sombra, brilho ou relevo em tela.</w:t>
      </w:r>
      <w:r>
        <w:t xml:space="preserve"> </w:t>
      </w:r>
      <w:r>
        <w:t xml:space="preserve">- Respiro em volta do cartão: o diâmetro do disco (64 na escala do arquivo), em todos os lados. Nos lockups, o respiro é medido a partir do conjunto.</w:t>
      </w:r>
      <w:r>
        <w:t xml:space="preserve"> </w:t>
      </w:r>
      <w:r>
        <w:t xml:space="preserve">- Tamanho mínimo: completa com 160px de largura na tela, 40mm no papel; miniatura com 24px de altura; lockup vertical com 200px de largura; horizontal com 320px.</w:t>
      </w:r>
      <w:r>
        <w:t xml:space="preserve"> </w:t>
      </w:r>
      <w:r>
        <w:t xml:space="preserve">- Sobre fotografia, só com</w:t>
      </w:r>
      <w:r>
        <w:t xml:space="preserve"> </w:t>
      </w:r>
      <w:r>
        <w:rPr>
          <w:rStyle w:val="VerbatimChar"/>
        </w:rPr>
        <w:t xml:space="preserve">veu</w:t>
      </w:r>
      <w:r>
        <w:t xml:space="preserve"> </w:t>
      </w:r>
      <w:r>
        <w:t xml:space="preserve">e só as versões com cartão, nunca as marcas soltas.</w:t>
      </w:r>
    </w:p>
    <w:bookmarkEnd w:id="25"/>
    <w:bookmarkStart w:id="26" w:name="assinatura-a-estrela-cadente"/>
    <w:p>
      <w:pPr>
        <w:pStyle w:val="Heading3"/>
      </w:pPr>
      <w:r>
        <w:t xml:space="preserve">Assinatura: a estrela cadente</w:t>
      </w:r>
    </w:p>
    <w:p>
      <w:pPr>
        <w:pStyle w:val="FirstParagraph"/>
      </w:pPr>
      <w:r>
        <w:t xml:space="preserve">A marca secundária é a que o site já usava: uma estrela de quatro pontas com duas trilhas finas atrás (a trilha de cima a 60% da tinta, a de baixo a 35%) e, embaixo,</w:t>
      </w:r>
      <w:r>
        <w:t xml:space="preserve"> </w:t>
      </w:r>
      <w:r>
        <w:t xml:space="preserve">“</w:t>
      </w:r>
      <w:r>
        <w:t xml:space="preserve">via simbólica</w:t>
      </w:r>
      <w:r>
        <w:t xml:space="preserve">”</w:t>
      </w:r>
      <w:r>
        <w:t xml:space="preserve"> </w:t>
      </w:r>
      <w:r>
        <w:t xml:space="preserve">escrito à mão em Great Vibes, caixa baixa, centrado sob a estrela. Nos arquivos o nome já está em curvas.</w:t>
      </w:r>
    </w:p>
    <w:p>
      <w:pPr>
        <w:pStyle w:val="BodyText"/>
      </w:pPr>
      <w:r>
        <w:t xml:space="preserve">Versões:</w:t>
      </w:r>
      <w:r>
        <w:t xml:space="preserve"> </w:t>
      </w:r>
      <w:r>
        <w:rPr>
          <w:rStyle w:val="VerbatimChar"/>
        </w:rPr>
        <w:t xml:space="preserve">viasimbolica-assinatura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),</w:t>
      </w:r>
      <w:r>
        <w:t xml:space="preserve"> </w:t>
      </w:r>
      <w:r>
        <w:rPr>
          <w:rStyle w:val="VerbatimChar"/>
        </w:rPr>
        <w:t xml:space="preserve">-claro</w:t>
      </w:r>
      <w:r>
        <w:t xml:space="preserve">,</w:t>
      </w:r>
      <w:r>
        <w:t xml:space="preserve"> </w:t>
      </w:r>
      <w:r>
        <w:rPr>
          <w:rStyle w:val="VerbatimChar"/>
        </w:rPr>
        <w:t xml:space="preserve">-roxo</w:t>
      </w:r>
      <w:r>
        <w:t xml:space="preserve">,</w:t>
      </w:r>
      <w:r>
        <w:t xml:space="preserve"> </w:t>
      </w:r>
      <w:r>
        <w:rPr>
          <w:rStyle w:val="VerbatimChar"/>
        </w:rPr>
        <w:t xml:space="preserve">-sol</w:t>
      </w:r>
      <w:r>
        <w:t xml:space="preserve">.</w:t>
      </w:r>
    </w:p>
    <w:p>
      <w:pPr>
        <w:pStyle w:val="BodyText"/>
      </w:pPr>
      <w:r>
        <w:t xml:space="preserve">Regras:</w:t>
      </w:r>
      <w:r>
        <w:t xml:space="preserve"> </w:t>
      </w:r>
      <w:r>
        <w:t xml:space="preserve">- É uma assinatura: fecha, não abre. Rodapé de página, fecho de vídeo, assinatura de e-mail, verso de material impresso, canto de uma peça que a marca principal já ocupa.</w:t>
      </w:r>
      <w:r>
        <w:t xml:space="preserve"> </w:t>
      </w:r>
      <w:r>
        <w:t xml:space="preserve">- Uma tinta só, num par aprovado. As transparências das trilhas fazem parte do desenho; não as chapadas.</w:t>
      </w:r>
      <w:r>
        <w:t xml:space="preserve"> </w:t>
      </w:r>
      <w:r>
        <w:t xml:space="preserve">- Largura entre 120px e 320px na tela. Maior que isso a letra manuscrita vira ilustração; menor, as trilhas somem.</w:t>
      </w:r>
      <w:r>
        <w:t xml:space="preserve"> </w:t>
      </w:r>
      <w:r>
        <w:t xml:space="preserve">- Nunca sobre fotografia sem</w:t>
      </w:r>
      <w:r>
        <w:t xml:space="preserve"> </w:t>
      </w:r>
      <w:r>
        <w:rPr>
          <w:rStyle w:val="VerbatimChar"/>
        </w:rPr>
        <w:t xml:space="preserve">veu</w:t>
      </w:r>
      <w:r>
        <w:t xml:space="preserve">. Nunca como fonte: o texto da assinatura não se reescreve com outras palavras.</w:t>
      </w:r>
    </w:p>
    <w:bookmarkEnd w:id="26"/>
    <w:bookmarkStart w:id="27" w:name="literastro"/>
    <w:p>
      <w:pPr>
        <w:pStyle w:val="Heading3"/>
      </w:pPr>
      <w:r>
        <w:t xml:space="preserve">LiterAstro</w:t>
      </w:r>
    </w:p>
    <w:p>
      <w:pPr>
        <w:pStyle w:val="FirstParagraph"/>
      </w:pPr>
      <w:r>
        <w:t xml:space="preserve">A comunidade mantém o símbolo que a designer desenhou:</w:t>
      </w:r>
      <w:r>
        <w:t xml:space="preserve"> </w:t>
      </w:r>
      <w:r>
        <w:rPr>
          <w:bCs/>
          <w:b/>
        </w:rPr>
        <w:t xml:space="preserve">livro / montanha</w:t>
      </w:r>
      <w:r>
        <w:t xml:space="preserve"> </w:t>
      </w:r>
      <w:r>
        <w:t xml:space="preserve">(a curva de baixo),</w:t>
      </w:r>
      <w:r>
        <w:t xml:space="preserve"> </w:t>
      </w:r>
      <w:r>
        <w:rPr>
          <w:bCs/>
          <w:b/>
        </w:rPr>
        <w:t xml:space="preserve">páginas / sol / multiplicidade</w:t>
      </w:r>
      <w:r>
        <w:t xml:space="preserve"> </w:t>
      </w:r>
      <w:r>
        <w:t xml:space="preserve">(os raios) e</w:t>
      </w:r>
      <w:r>
        <w:t xml:space="preserve"> </w:t>
      </w:r>
      <w:r>
        <w:rPr>
          <w:bCs/>
          <w:b/>
        </w:rPr>
        <w:t xml:space="preserve">núcleo / ponto de foco / reunião</w:t>
      </w:r>
      <w:r>
        <w:t xml:space="preserve"> </w:t>
      </w:r>
      <w:r>
        <w:t xml:space="preserve">(o círculo vazio no centro). São nove raios retos, duas linhas curvas que abraçam o núcleo como páginas e, embaixo, a curva do livro aberto; traços de espessura única, cerca de 3,4% da largura. Versões em</w:t>
      </w:r>
      <w:r>
        <w:t xml:space="preserve"> </w:t>
      </w:r>
      <w:r>
        <w:rPr>
          <w:rStyle w:val="VerbatimChar"/>
        </w:rPr>
        <w:t xml:space="preserve">assets/LiterAstro</w:t>
      </w:r>
      <w:r>
        <w:t xml:space="preserve">:</w:t>
      </w:r>
      <w:r>
        <w:t xml:space="preserve"> </w:t>
      </w:r>
      <w:r>
        <w:rPr>
          <w:rStyle w:val="VerbatimChar"/>
        </w:rPr>
        <w:t xml:space="preserve">literastro-vertical</w:t>
      </w:r>
      <w:r>
        <w:t xml:space="preserve"> </w:t>
      </w:r>
      <w:r>
        <w:t xml:space="preserve">(principal),</w:t>
      </w:r>
      <w:r>
        <w:t xml:space="preserve"> </w:t>
      </w:r>
      <w:r>
        <w:rPr>
          <w:rStyle w:val="VerbatimChar"/>
        </w:rPr>
        <w:t xml:space="preserve">literastro-horizontal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literastro-selo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simbolo</w:t>
      </w:r>
      <w:r>
        <w:t xml:space="preserve"> </w:t>
      </w:r>
      <w:r>
        <w:t xml:space="preserve">sozinho, cada um em cinco tintas. Respiro de um núcleo; símbolo com 24px de altura no mínimo; uma tinta só; não redesenhar. Em peça da LiterAstro, a casa aparece pela assinatura, pequena, no rodapé.</w:t>
      </w:r>
    </w:p>
    <w:bookmarkEnd w:id="27"/>
    <w:bookmarkEnd w:id="28"/>
    <w:bookmarkStart w:id="29" w:name="espaço-grade-e-layout"/>
    <w:p>
      <w:pPr>
        <w:pStyle w:val="Heading2"/>
      </w:pPr>
      <w:r>
        <w:t xml:space="preserve">Espaço, grade e layout</w:t>
      </w:r>
    </w:p>
    <w:p>
      <w:pPr>
        <w:numPr>
          <w:ilvl w:val="0"/>
          <w:numId w:val="1004"/>
        </w:numPr>
        <w:pStyle w:val="Compact"/>
      </w:pPr>
      <w:r>
        <w:t xml:space="preserve">Base de 8px. Margens laterais de página:</w:t>
      </w:r>
      <w:r>
        <w:t xml:space="preserve"> </w:t>
      </w:r>
      <w:r>
        <w:rPr>
          <w:rStyle w:val="VerbatimChar"/>
        </w:rPr>
        <w:t xml:space="preserve">espaco-12</w:t>
      </w:r>
      <w:r>
        <w:t xml:space="preserve"> </w:t>
      </w:r>
      <w:r>
        <w:t xml:space="preserve">em telas largas,</w:t>
      </w:r>
      <w:r>
        <w:t xml:space="preserve"> </w:t>
      </w:r>
      <w:r>
        <w:rPr>
          <w:rStyle w:val="VerbatimChar"/>
        </w:rPr>
        <w:t xml:space="preserve">espaco-6</w:t>
      </w:r>
      <w:r>
        <w:t xml:space="preserve"> </w:t>
      </w:r>
      <w:r>
        <w:t xml:space="preserve">no celular. Nenhum rolamento horizontal.</w:t>
      </w:r>
    </w:p>
    <w:p>
      <w:pPr>
        <w:numPr>
          <w:ilvl w:val="0"/>
          <w:numId w:val="1004"/>
        </w:numPr>
        <w:pStyle w:val="Compact"/>
      </w:pPr>
      <w:r>
        <w:t xml:space="preserve">Uma ideia por tela. O deck mostra o jeito: o título mora no canto inferior esquerdo de uma página escura, com o cabeçalho em</w:t>
      </w:r>
      <w:r>
        <w:t xml:space="preserve"> </w:t>
      </w:r>
      <w:r>
        <w:rPr>
          <w:rStyle w:val="VerbatimChar"/>
        </w:rPr>
        <w:t xml:space="preserve">rotulo</w:t>
      </w:r>
      <w:r>
        <w:t xml:space="preserve"> </w:t>
      </w:r>
      <w:r>
        <w:t xml:space="preserve">no alto; a página seguinte é clara e traz o conteúdo. Alterne páginas escuras e claras em qualquer apresentação ou carrossel.</w:t>
      </w:r>
    </w:p>
    <w:p>
      <w:pPr>
        <w:numPr>
          <w:ilvl w:val="0"/>
          <w:numId w:val="1004"/>
        </w:numPr>
        <w:pStyle w:val="Compact"/>
      </w:pPr>
      <w:r>
        <w:t xml:space="preserve">Cantos retos por padrão (</w:t>
      </w:r>
      <w:r>
        <w:rPr>
          <w:rStyle w:val="VerbatimChar"/>
        </w:rPr>
        <w:t xml:space="preserve">raio-0</w:t>
      </w:r>
      <w:r>
        <w:t xml:space="preserve">). Cartões e molduras de imagem usam</w:t>
      </w:r>
      <w:r>
        <w:t xml:space="preserve"> </w:t>
      </w:r>
      <w:r>
        <w:rPr>
          <w:rStyle w:val="VerbatimChar"/>
        </w:rPr>
        <w:t xml:space="preserve">raio-2</w:t>
      </w:r>
      <w:r>
        <w:t xml:space="preserve">; botões e discos usam</w:t>
      </w:r>
      <w:r>
        <w:t xml:space="preserve"> </w:t>
      </w:r>
      <w:r>
        <w:rPr>
          <w:rStyle w:val="VerbatimChar"/>
        </w:rPr>
        <w:t xml:space="preserve">raio-arco</w:t>
      </w:r>
      <w:r>
        <w:t xml:space="preserve">. Não arredonde placas de cor nem o cartão da marca.</w:t>
      </w:r>
    </w:p>
    <w:p>
      <w:pPr>
        <w:numPr>
          <w:ilvl w:val="0"/>
          <w:numId w:val="1004"/>
        </w:numPr>
        <w:pStyle w:val="Compact"/>
      </w:pPr>
      <w:r>
        <w:t xml:space="preserve">Coluna de leitura de até 680px para texto; de até 1040px para grades. Grade de duas colunas (1,15fr e 1fr) para imagem e texto lado a lado.</w:t>
      </w:r>
    </w:p>
    <w:p>
      <w:pPr>
        <w:numPr>
          <w:ilvl w:val="0"/>
          <w:numId w:val="1004"/>
        </w:numPr>
        <w:pStyle w:val="Compact"/>
      </w:pPr>
      <w:r>
        <w:t xml:space="preserve">Blocos de cor chapados são uma ferramenta de layout: uma faixa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cruzando uma caixa, uma placa</w:t>
      </w:r>
      <w:r>
        <w:t xml:space="preserve"> </w:t>
      </w:r>
      <w:r>
        <w:rPr>
          <w:rStyle w:val="VerbatimChar"/>
        </w:rPr>
        <w:t xml:space="preserve">roxo</w:t>
      </w:r>
      <w:r>
        <w:t xml:space="preserve"> </w:t>
      </w:r>
      <w:r>
        <w:t xml:space="preserve">com a marca em</w:t>
      </w:r>
      <w:r>
        <w:t xml:space="preserve"> </w:t>
      </w:r>
      <w:r>
        <w:rPr>
          <w:rStyle w:val="VerbatimChar"/>
        </w:rPr>
        <w:t xml:space="preserve">sobre-roxo</w:t>
      </w:r>
      <w:r>
        <w:t xml:space="preserve">. Um bloco por composição. A própria marca principal é um bloco: pode ancorar uma capa inteira.</w:t>
      </w:r>
    </w:p>
    <w:p>
      <w:pPr>
        <w:numPr>
          <w:ilvl w:val="0"/>
          <w:numId w:val="1004"/>
        </w:numPr>
        <w:pStyle w:val="Compact"/>
      </w:pPr>
      <w:r>
        <w:t xml:space="preserve">Bordas finas em</w:t>
      </w:r>
      <w:r>
        <w:t xml:space="preserve"> </w:t>
      </w:r>
      <w:r>
        <w:rPr>
          <w:rStyle w:val="VerbatimChar"/>
        </w:rPr>
        <w:t xml:space="preserve">linha</w:t>
      </w:r>
      <w:r>
        <w:t xml:space="preserve">, nunca sombras projetadas para separar superfícies. Hover é um deslocamento para cima em 250ms (3px em cartões, 2px em botões), não um brilho.</w:t>
      </w:r>
    </w:p>
    <w:bookmarkEnd w:id="29"/>
    <w:bookmarkStart w:id="30" w:name="imagens"/>
    <w:p>
      <w:pPr>
        <w:pStyle w:val="Heading2"/>
      </w:pPr>
      <w:r>
        <w:t xml:space="preserve">Imagens</w:t>
      </w:r>
    </w:p>
    <w:p>
      <w:pPr>
        <w:numPr>
          <w:ilvl w:val="0"/>
          <w:numId w:val="1005"/>
        </w:numPr>
        <w:pStyle w:val="Compact"/>
      </w:pPr>
      <w:r>
        <w:t xml:space="preserve">Fotografia de material: papel com textura, kraft, linho cru, madeira clara, cerâmica, luz do dia atravessando uma janela. É o mundo dos mockups da designer e combina com a sobriedade da marca.</w:t>
      </w:r>
    </w:p>
    <w:p>
      <w:pPr>
        <w:numPr>
          <w:ilvl w:val="0"/>
          <w:numId w:val="1005"/>
        </w:numPr>
        <w:pStyle w:val="Compact"/>
      </w:pPr>
      <w:r>
        <w:t xml:space="preserve">Obras de arte clássicas (pintura dos séculos XVII a XIX) são permitidas nas páginas de venda e nos cartões de produto, sempre em domínio público, sempre atrás do</w:t>
      </w:r>
      <w:r>
        <w:t xml:space="preserve"> </w:t>
      </w:r>
      <w:r>
        <w:rPr>
          <w:rStyle w:val="VerbatimChar"/>
        </w:rPr>
        <w:t xml:space="preserve">veu</w:t>
      </w:r>
      <w:r>
        <w:t xml:space="preserve"> </w:t>
      </w:r>
      <w:r>
        <w:t xml:space="preserve">quando há texto por cima, sem filtro de cor.</w:t>
      </w:r>
    </w:p>
    <w:p>
      <w:pPr>
        <w:numPr>
          <w:ilvl w:val="0"/>
          <w:numId w:val="1005"/>
        </w:numPr>
        <w:pStyle w:val="Compact"/>
      </w:pPr>
      <w:r>
        <w:t xml:space="preserve">Sem ilustração 3D, sem stock de gente sorrindo, sem céu estrelado genérico, sem zodíaco de clip-art. As marcas não viram ilustração: não anime os raios, não acrescente estrelas à assinatura.</w:t>
      </w:r>
    </w:p>
    <w:p>
      <w:pPr>
        <w:numPr>
          <w:ilvl w:val="0"/>
          <w:numId w:val="1005"/>
        </w:numPr>
        <w:pStyle w:val="Compact"/>
      </w:pPr>
      <w:r>
        <w:t xml:space="preserve">Capas de cursos e posts: um fundo chapado em</w:t>
      </w:r>
      <w:r>
        <w:t xml:space="preserve"> </w:t>
      </w:r>
      <w:r>
        <w:rPr>
          <w:rStyle w:val="VerbatimChar"/>
        </w:rPr>
        <w:t xml:space="preserve">roxo</w:t>
      </w:r>
      <w:r>
        <w:t xml:space="preserve">,</w:t>
      </w:r>
      <w:r>
        <w:t xml:space="preserve"> </w:t>
      </w:r>
      <w:r>
        <w:rPr>
          <w:rStyle w:val="VerbatimChar"/>
        </w:rPr>
        <w:t xml:space="preserve">sol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, a marca ou o título em uma tinta, e no máximo uma imagem recortada.</w:t>
      </w:r>
    </w:p>
    <w:bookmarkEnd w:id="30"/>
    <w:bookmarkStart w:id="31" w:name="iconografia"/>
    <w:p>
      <w:pPr>
        <w:pStyle w:val="Heading2"/>
      </w:pPr>
      <w:r>
        <w:t xml:space="preserve">Iconografia</w:t>
      </w:r>
    </w:p>
    <w:p>
      <w:pPr>
        <w:pStyle w:val="FirstParagraph"/>
      </w:pPr>
      <w:r>
        <w:t xml:space="preserve">A identidade não define um conjunto de ícones. Quando precisar de ícones de interface, use um conjunto de traço único e geométrico (traço de 1,5 a 2px, cantos retos ou pouco arredondados, 24px de caixa), sempre em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,</w:t>
      </w:r>
      <w:r>
        <w:t xml:space="preserve"> </w:t>
      </w:r>
      <w:r>
        <w:rPr>
          <w:rStyle w:val="VerbatimChar"/>
        </w:rPr>
        <w:t xml:space="preserve">tinta-suave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roxo-texto</w:t>
      </w:r>
      <w:r>
        <w:t xml:space="preserve">, nunca preenchidos, nunca coloridos de outra cor, nunca emoji. As marcas não são ícones de interface.</w:t>
      </w:r>
    </w:p>
    <w:bookmarkEnd w:id="31"/>
    <w:bookmarkStart w:id="32" w:name="componentes"/>
    <w:p>
      <w:pPr>
        <w:pStyle w:val="Heading2"/>
      </w:pPr>
      <w:r>
        <w:t xml:space="preserve">Componentes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Marca</w:t>
      </w:r>
      <w:r>
        <w:t xml:space="preserve">: a principal e a assinatura, cada uma no par certo para o fundo. Sobre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, a principal mestre e a assinatura em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; sobre</w:t>
      </w:r>
      <w:r>
        <w:t xml:space="preserve"> </w:t>
      </w:r>
      <w:r>
        <w:rPr>
          <w:rStyle w:val="VerbatimChar"/>
        </w:rPr>
        <w:t xml:space="preserve">roxo</w:t>
      </w:r>
      <w:r>
        <w:t xml:space="preserve">, a principal mestre (o cartão some no fundo e ficam as marcas) e a assinatura em</w:t>
      </w:r>
      <w:r>
        <w:t xml:space="preserve"> </w:t>
      </w:r>
      <w:r>
        <w:rPr>
          <w:rStyle w:val="VerbatimChar"/>
        </w:rPr>
        <w:t xml:space="preserve">sobre-roxo</w:t>
      </w:r>
      <w:r>
        <w:t xml:space="preserve">; sobre</w:t>
      </w:r>
      <w:r>
        <w:t xml:space="preserve"> </w:t>
      </w:r>
      <w:r>
        <w:rPr>
          <w:rStyle w:val="VerbatimChar"/>
        </w:rPr>
        <w:t xml:space="preserve">sol</w:t>
      </w:r>
      <w:r>
        <w:t xml:space="preserve">, a principal escuro-sobre-sol e a assinatura em</w:t>
      </w:r>
      <w:r>
        <w:t xml:space="preserve"> </w:t>
      </w:r>
      <w:r>
        <w:rPr>
          <w:rStyle w:val="VerbatimChar"/>
        </w:rPr>
        <w:t xml:space="preserve">sobre-sol</w:t>
      </w:r>
      <w:r>
        <w:t xml:space="preserve">. Veja</w:t>
      </w:r>
      <w:r>
        <w:t xml:space="preserve"> </w:t>
      </w:r>
      <w:r>
        <w:rPr>
          <w:rStyle w:val="VerbatimChar"/>
        </w:rPr>
        <w:t xml:space="preserve">components/Marca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Botao</w:t>
      </w:r>
      <w:r>
        <w:t xml:space="preserve">: pílula (</w:t>
      </w:r>
      <w:r>
        <w:rPr>
          <w:rStyle w:val="VerbatimChar"/>
        </w:rPr>
        <w:t xml:space="preserve">raio-arco</w:t>
      </w:r>
      <w:r>
        <w:t xml:space="preserve">), rótulo em</w:t>
      </w:r>
      <w:r>
        <w:t xml:space="preserve"> </w:t>
      </w:r>
      <w:r>
        <w:rPr>
          <w:rStyle w:val="VerbatimChar"/>
        </w:rPr>
        <w:t xml:space="preserve">botao</w:t>
      </w:r>
      <w:r>
        <w:t xml:space="preserve"> </w:t>
      </w:r>
      <w:r>
        <w:t xml:space="preserve">caixa alta, altura de 48px, preenchimento horizontal</w:t>
      </w:r>
      <w:r>
        <w:t xml:space="preserve"> </w:t>
      </w:r>
      <w:r>
        <w:rPr>
          <w:rStyle w:val="VerbatimChar"/>
        </w:rPr>
        <w:t xml:space="preserve">espaco-8</w:t>
      </w:r>
      <w:r>
        <w:t xml:space="preserve">. Primário em</w:t>
      </w:r>
      <w:r>
        <w:t xml:space="preserve"> </w:t>
      </w:r>
      <w:r>
        <w:rPr>
          <w:rStyle w:val="VerbatimChar"/>
        </w:rPr>
        <w:t xml:space="preserve">roxo</w:t>
      </w:r>
      <w:r>
        <w:t xml:space="preserve"> </w:t>
      </w:r>
      <w:r>
        <w:t xml:space="preserve">com texto</w:t>
      </w:r>
      <w:r>
        <w:t xml:space="preserve"> </w:t>
      </w:r>
      <w:r>
        <w:rPr>
          <w:rStyle w:val="VerbatimChar"/>
        </w:rPr>
        <w:t xml:space="preserve">sobre-roxo</w:t>
      </w:r>
      <w:r>
        <w:t xml:space="preserve">; secundário com borda de 1,5px em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 </w:t>
      </w:r>
      <w:r>
        <w:t xml:space="preserve">e fundo transparente; de destaque em</w:t>
      </w:r>
      <w:r>
        <w:t xml:space="preserve"> </w:t>
      </w:r>
      <w:r>
        <w:rPr>
          <w:rStyle w:val="VerbatimChar"/>
        </w:rPr>
        <w:t xml:space="preserve">sol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sobre-sol</w:t>
      </w:r>
      <w:r>
        <w:t xml:space="preserve">, no máximo um por página. Hover: sobe 2px. Veja</w:t>
      </w:r>
      <w:r>
        <w:t xml:space="preserve"> </w:t>
      </w:r>
      <w:r>
        <w:rPr>
          <w:rStyle w:val="VerbatimChar"/>
        </w:rPr>
        <w:t xml:space="preserve">components/Botao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Rotulo</w:t>
      </w:r>
      <w:r>
        <w:t xml:space="preserve">: o eyebrow. Estilo</w:t>
      </w:r>
      <w:r>
        <w:t xml:space="preserve"> </w:t>
      </w:r>
      <w:r>
        <w:rPr>
          <w:rStyle w:val="VerbatimChar"/>
        </w:rPr>
        <w:t xml:space="preserve">rotulo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tinta-suave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roxo-texto</w:t>
      </w:r>
      <w:r>
        <w:t xml:space="preserve"> </w:t>
      </w:r>
      <w:r>
        <w:t xml:space="preserve">quando marca uma categoria),</w:t>
      </w:r>
      <w:r>
        <w:t xml:space="preserve"> </w:t>
      </w:r>
      <w:r>
        <w:rPr>
          <w:rStyle w:val="VerbatimChar"/>
        </w:rPr>
        <w:t xml:space="preserve">espaco-2</w:t>
      </w:r>
      <w:r>
        <w:t xml:space="preserve"> </w:t>
      </w:r>
      <w:r>
        <w:t xml:space="preserve">acima do título. Veja</w:t>
      </w:r>
      <w:r>
        <w:t xml:space="preserve"> </w:t>
      </w:r>
      <w:r>
        <w:rPr>
          <w:rStyle w:val="VerbatimChar"/>
        </w:rPr>
        <w:t xml:space="preserve">components/Rotulo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TituloSecao</w:t>
      </w:r>
      <w:r>
        <w:t xml:space="preserve">: numeral em</w:t>
      </w:r>
      <w:r>
        <w:t xml:space="preserve"> </w:t>
      </w:r>
      <w:r>
        <w:rPr>
          <w:rStyle w:val="VerbatimChar"/>
        </w:rPr>
        <w:t xml:space="preserve">numeral</w:t>
      </w:r>
      <w:r>
        <w:t xml:space="preserve"> </w:t>
      </w:r>
      <w:r>
        <w:t xml:space="preserve">+ título em</w:t>
      </w:r>
      <w:r>
        <w:t xml:space="preserve"> </w:t>
      </w:r>
      <w:r>
        <w:rPr>
          <w:rStyle w:val="VerbatimChar"/>
        </w:rPr>
        <w:t xml:space="preserve">exibicao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titulo</w:t>
      </w:r>
      <w:r>
        <w:t xml:space="preserve">, canto inferior esquerdo, em</w:t>
      </w:r>
      <w:r>
        <w:t xml:space="preserve"> </w:t>
      </w:r>
      <w:r>
        <w:rPr>
          <w:rStyle w:val="VerbatimChar"/>
        </w:rPr>
        <w:t xml:space="preserve">tinta</w:t>
      </w:r>
      <w:r>
        <w:t xml:space="preserve">. Veja</w:t>
      </w:r>
      <w:r>
        <w:t xml:space="preserve"> </w:t>
      </w:r>
      <w:r>
        <w:rPr>
          <w:rStyle w:val="VerbatimChar"/>
        </w:rPr>
        <w:t xml:space="preserve">components/TituloSecao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CardProduto</w:t>
      </w:r>
      <w:r>
        <w:t xml:space="preserve">: cartão de produto do site. Imagem (obra ou material) atrás do</w:t>
      </w:r>
      <w:r>
        <w:t xml:space="preserve"> </w:t>
      </w:r>
      <w:r>
        <w:rPr>
          <w:rStyle w:val="VerbatimChar"/>
        </w:rPr>
        <w:t xml:space="preserve">veu</w:t>
      </w:r>
      <w:r>
        <w:t xml:space="preserve">,</w:t>
      </w:r>
      <w:r>
        <w:t xml:space="preserve"> </w:t>
      </w:r>
      <w:r>
        <w:rPr>
          <w:rStyle w:val="VerbatimChar"/>
        </w:rPr>
        <w:t xml:space="preserve">Rotulo</w:t>
      </w:r>
      <w:r>
        <w:t xml:space="preserve"> </w:t>
      </w:r>
      <w:r>
        <w:t xml:space="preserve">com a categoria, nome em</w:t>
      </w:r>
      <w:r>
        <w:t xml:space="preserve"> </w:t>
      </w:r>
      <w:r>
        <w:rPr>
          <w:rStyle w:val="VerbatimChar"/>
        </w:rPr>
        <w:t xml:space="preserve">subtitulo</w:t>
      </w:r>
      <w:r>
        <w:t xml:space="preserve">, uma frase em</w:t>
      </w:r>
      <w:r>
        <w:t xml:space="preserve"> </w:t>
      </w:r>
      <w:r>
        <w:rPr>
          <w:rStyle w:val="VerbatimChar"/>
        </w:rPr>
        <w:t xml:space="preserve">corpo-pequeno</w:t>
      </w:r>
      <w:r>
        <w:t xml:space="preserve">, um</w:t>
      </w:r>
      <w:r>
        <w:t xml:space="preserve"> </w:t>
      </w:r>
      <w:r>
        <w:rPr>
          <w:rStyle w:val="VerbatimChar"/>
        </w:rPr>
        <w:t xml:space="preserve">Botao</w:t>
      </w:r>
      <w:r>
        <w:t xml:space="preserve">. Sem imagem, a área da esquerda é um bloco</w:t>
      </w:r>
      <w:r>
        <w:t xml:space="preserve"> </w:t>
      </w:r>
      <w:r>
        <w:rPr>
          <w:rStyle w:val="VerbatimChar"/>
        </w:rPr>
        <w:t xml:space="preserve">roxo</w:t>
      </w:r>
      <w:r>
        <w:t xml:space="preserve"> </w:t>
      </w:r>
      <w:r>
        <w:t xml:space="preserve">com a marca principal completa. Veja</w:t>
      </w:r>
      <w:r>
        <w:t xml:space="preserve"> </w:t>
      </w:r>
      <w:r>
        <w:rPr>
          <w:rStyle w:val="VerbatimChar"/>
        </w:rPr>
        <w:t xml:space="preserve">components/CardProduto</w:t>
      </w:r>
      <w:r>
        <w:t xml:space="preserve">.</w:t>
      </w:r>
    </w:p>
    <w:bookmarkEnd w:id="32"/>
    <w:bookmarkStart w:id="33" w:name="acessibilidade"/>
    <w:p>
      <w:pPr>
        <w:pStyle w:val="Heading2"/>
      </w:pPr>
      <w:r>
        <w:t xml:space="preserve">Acessibilidade</w:t>
      </w:r>
    </w:p>
    <w:p>
      <w:pPr>
        <w:numPr>
          <w:ilvl w:val="0"/>
          <w:numId w:val="1007"/>
        </w:numPr>
        <w:pStyle w:val="Compact"/>
      </w:pPr>
      <w:r>
        <w:t xml:space="preserve">Todo texto corrido com 4,5:1 sobre o seu fundo nos dois temas; as notas dos tokens dizem os pares. Texto grande (24px ou mais; 19px em Bold) pode usar</w:t>
      </w:r>
      <w:r>
        <w:t xml:space="preserve"> </w:t>
      </w:r>
      <w:r>
        <w:rPr>
          <w:rStyle w:val="VerbatimChar"/>
        </w:rPr>
        <w:t xml:space="preserve">cinza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escuro (5,4:1) e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 </w:t>
      </w:r>
      <w:r>
        <w:t xml:space="preserve">escuro (4,2:1); sobre</w:t>
      </w:r>
      <w:r>
        <w:t xml:space="preserve"> </w:t>
      </w:r>
      <w:r>
        <w:rPr>
          <w:rStyle w:val="VerbatimChar"/>
        </w:rPr>
        <w:t xml:space="preserve">fundo</w:t>
      </w:r>
      <w:r>
        <w:t xml:space="preserve"> </w:t>
      </w:r>
      <w:r>
        <w:t xml:space="preserve">claro ele não passa nem para texto grande (2,9:1) e sobre</w:t>
      </w:r>
      <w:r>
        <w:t xml:space="preserve"> </w:t>
      </w:r>
      <w:r>
        <w:rPr>
          <w:rStyle w:val="VerbatimChar"/>
        </w:rPr>
        <w:t xml:space="preserve">papel</w:t>
      </w:r>
      <w:r>
        <w:t xml:space="preserve"> </w:t>
      </w:r>
      <w:r>
        <w:t xml:space="preserve">claro passa por pouco (3,2:1), só em texto grande.</w:t>
      </w:r>
    </w:p>
    <w:p>
      <w:pPr>
        <w:numPr>
          <w:ilvl w:val="0"/>
          <w:numId w:val="1007"/>
        </w:numPr>
        <w:pStyle w:val="Compact"/>
      </w:pPr>
      <w:r>
        <w:t xml:space="preserve">Foco de teclado sempre visível: anel de 2px em</w:t>
      </w:r>
      <w:r>
        <w:t xml:space="preserve"> </w:t>
      </w:r>
      <w:r>
        <w:rPr>
          <w:rStyle w:val="VerbatimChar"/>
        </w:rPr>
        <w:t xml:space="preserve">foco</w:t>
      </w:r>
      <w:r>
        <w:t xml:space="preserve">, afastado 2px do controle.</w:t>
      </w:r>
    </w:p>
    <w:p>
      <w:pPr>
        <w:numPr>
          <w:ilvl w:val="0"/>
          <w:numId w:val="1007"/>
        </w:numPr>
        <w:pStyle w:val="Compact"/>
      </w:pPr>
      <w:r>
        <w:t xml:space="preserve">Cor nunca é a única informação: um estado leva palavra ou ícone junto.</w:t>
      </w:r>
    </w:p>
    <w:p>
      <w:pPr>
        <w:numPr>
          <w:ilvl w:val="0"/>
          <w:numId w:val="1007"/>
        </w:numPr>
        <w:pStyle w:val="Compact"/>
      </w:pPr>
      <w:r>
        <w:t xml:space="preserve">Alvos de toque de 44px.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IDV Via Simb��lica</dc:title>
  <dc:creator>Via Simb��lica �� Guilherme Santana</dc:creator>
  <dc:language>pt-BR</dc:language>
  <cp:keywords/>
  <dcterms:created xsi:type="dcterms:W3CDTF">2026-10-06T18:10:19Z</dcterms:created>
  <dcterms:modified xsi:type="dcterms:W3CDTF">2026-10-06T18:10:19Z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