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C6" w:rsidRPr="009847C6" w:rsidRDefault="009847C6" w:rsidP="009847C6">
      <w:pPr>
        <w:pStyle w:val="Heading2"/>
        <w:jc w:val="both"/>
        <w:rPr>
          <w:b/>
          <w:shd w:val="clear" w:color="auto" w:fill="FFFFFF"/>
        </w:rPr>
      </w:pPr>
      <w:r w:rsidRPr="009847C6">
        <w:rPr>
          <w:b/>
          <w:shd w:val="clear" w:color="auto" w:fill="FFFFFF"/>
        </w:rPr>
        <w:t xml:space="preserve">Magnetic Design </w:t>
      </w:r>
    </w:p>
    <w:p w:rsidR="009847C6" w:rsidRPr="009847C6" w:rsidRDefault="009847C6" w:rsidP="009847C6">
      <w:pPr>
        <w:pStyle w:val="Heading3"/>
        <w:rPr>
          <w:rStyle w:val="Strong"/>
          <w:rFonts w:asciiTheme="minorHAnsi" w:hAnsiTheme="minorHAnsi" w:cstheme="minorHAnsi"/>
          <w:b w:val="0"/>
          <w:bCs w:val="0"/>
          <w:sz w:val="28"/>
        </w:rPr>
      </w:pPr>
      <w:r w:rsidRPr="009847C6">
        <w:rPr>
          <w:rStyle w:val="Strong"/>
          <w:rFonts w:asciiTheme="minorHAnsi" w:hAnsiTheme="minorHAnsi" w:cstheme="minorHAnsi"/>
          <w:sz w:val="28"/>
        </w:rPr>
        <w:t>a) Core selection</w:t>
      </w:r>
    </w:p>
    <w:p w:rsidR="009847C6" w:rsidRDefault="009847C6" w:rsidP="009847C6">
      <w:pPr>
        <w:ind w:firstLine="360"/>
        <w:jc w:val="both"/>
        <w:rPr>
          <w:rFonts w:cstheme="minorHAnsi"/>
          <w:sz w:val="24"/>
        </w:rPr>
      </w:pPr>
      <w:r w:rsidRPr="0062518B">
        <w:rPr>
          <w:rFonts w:cstheme="minorHAnsi"/>
          <w:sz w:val="24"/>
        </w:rPr>
        <w:t>For core selection, looking at area product of the core is a good start. Assume that the fill factor should be larger or equal to 0.3. Then, the limit of area produ</w:t>
      </w:r>
      <w:r>
        <w:rPr>
          <w:rFonts w:cstheme="minorHAnsi"/>
          <w:sz w:val="24"/>
        </w:rPr>
        <w:t>ct can be calculated as follows:</w:t>
      </w:r>
    </w:p>
    <w:p w:rsidR="009847C6" w:rsidRPr="009847C6" w:rsidRDefault="009847C6" w:rsidP="009847C6">
      <w:pPr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WaAc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rms</m:t>
                  </m:r>
                </m:sub>
              </m:sSub>
            </m:den>
          </m:f>
        </m:oMath>
      </m:oMathPara>
    </w:p>
    <w:p w:rsidR="009847C6" w:rsidRPr="009847C6" w:rsidRDefault="009847C6" w:rsidP="009847C6">
      <w:pPr>
        <w:ind w:firstLine="360"/>
        <w:jc w:val="both"/>
        <w:rPr>
          <w:rStyle w:val="Strong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>We decided</w:t>
      </w: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 xml:space="preserve"> B</w:t>
      </w: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  <w:vertAlign w:val="subscript"/>
        </w:rPr>
        <w:t>ac,max</w:t>
      </w: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>=0.12T</w:t>
      </w:r>
      <w:r w:rsidRPr="009847C6">
        <w:rPr>
          <w:shd w:val="clear" w:color="auto" w:fill="FFFFFF"/>
        </w:rPr>
        <w:t xml:space="preserve"> which is below the saturation point of the cores we are investigating (0.3-0.47T). Also, maximum magnetic flux density is obtained when Vin=24V.</w:t>
      </w:r>
      <w:r>
        <w:rPr>
          <w:rStyle w:val="Strong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  <w:t xml:space="preserve"> Also, the current density is assumed as </w:t>
      </w: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>Jrms= 4A/mm</w:t>
      </w: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  <w:vertAlign w:val="superscript"/>
        </w:rPr>
        <w:t>2</w:t>
      </w: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 xml:space="preserve"> </w:t>
      </w:r>
    </w:p>
    <w:p w:rsidR="009847C6" w:rsidRPr="0062518B" w:rsidRDefault="009847C6" w:rsidP="009847C6">
      <w:pPr>
        <w:rPr>
          <w:rStyle w:val="Strong"/>
          <w:rFonts w:cstheme="minorHAnsi"/>
          <w:b w:val="0"/>
          <w:bCs w:val="0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Style w:val="Strong"/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Strong"/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m:rPr>
              <m:sty m:val="bi"/>
            </m:rPr>
            <w:rPr>
              <w:rStyle w:val="Strong"/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≥30%=0.3</m:t>
          </m:r>
        </m:oMath>
      </m:oMathPara>
    </w:p>
    <w:p w:rsidR="009847C6" w:rsidRPr="009847C6" w:rsidRDefault="009847C6" w:rsidP="009847C6">
      <w:pPr>
        <w:rPr>
          <w:rStyle w:val="Strong"/>
          <w:b w:val="0"/>
          <w:bCs w:val="0"/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WaAc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cu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rms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45</m:t>
              </m:r>
              <m:r>
                <w:rPr>
                  <w:rFonts w:ascii="Cambria Math" w:hAnsi="Cambria Math"/>
                  <w:shd w:val="clear" w:color="auto" w:fill="FFFFFF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2*100</m:t>
              </m:r>
              <m:r>
                <w:rPr>
                  <w:rFonts w:ascii="Cambria Math" w:hAnsi="Cambria Math"/>
                  <w:shd w:val="clear" w:color="auto" w:fill="FFFFFF"/>
                </w:rPr>
                <m:t>kHz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*0.3*0.12</m:t>
              </m:r>
              <m:r>
                <w:rPr>
                  <w:rFonts w:ascii="Cambria Math" w:hAnsi="Cambria Math"/>
                  <w:shd w:val="clear" w:color="auto" w:fill="FFFFFF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≤0.15</m:t>
          </m:r>
          <m:r>
            <w:rPr>
              <w:rFonts w:ascii="Cambria Math" w:hAnsi="Cambria Math"/>
              <w:shd w:val="clear" w:color="auto" w:fill="FFFFFF"/>
            </w:rPr>
            <m:t>c</m:t>
          </m:r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</m:t>
              </m:r>
            </m:sup>
          </m:sSup>
        </m:oMath>
      </m:oMathPara>
    </w:p>
    <w:p w:rsidR="009847C6" w:rsidRPr="009847C6" w:rsidRDefault="009847C6" w:rsidP="009847C6">
      <w:pPr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</w:pP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>Choosing</w:t>
      </w: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 xml:space="preserve"> WaAc of core=0.04cm4 which satisfies the above condition,</w:t>
      </w:r>
    </w:p>
    <w:tbl>
      <w:tblPr>
        <w:tblStyle w:val="TableGrid"/>
        <w:tblW w:w="0" w:type="auto"/>
        <w:tblInd w:w="323" w:type="dxa"/>
        <w:tblLook w:val="04A0" w:firstRow="1" w:lastRow="0" w:firstColumn="1" w:lastColumn="0" w:noHBand="0" w:noVBand="1"/>
      </w:tblPr>
      <w:tblGrid>
        <w:gridCol w:w="2197"/>
        <w:gridCol w:w="2444"/>
        <w:gridCol w:w="2093"/>
        <w:gridCol w:w="2005"/>
      </w:tblGrid>
      <w:tr w:rsidR="009847C6" w:rsidRPr="009847C6" w:rsidTr="009847C6"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Effective crosssectional area Ae (mm2)</w:t>
            </w:r>
          </w:p>
        </w:tc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Maximum Magnetic Flux density (T)</w:t>
            </w:r>
          </w:p>
        </w:tc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AL-value with the air gap (nH/N^2)</w:t>
            </w:r>
          </w:p>
        </w:tc>
      </w:tr>
      <w:tr w:rsidR="009847C6" w:rsidRPr="009847C6" w:rsidTr="009847C6"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B66307G0500X187 [2]</w:t>
            </w:r>
          </w:p>
        </w:tc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20.1</w:t>
            </w: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0.49</w:t>
            </w:r>
          </w:p>
        </w:tc>
        <w:tc>
          <w:tcPr>
            <w:tcW w:w="0" w:type="auto"/>
          </w:tcPr>
          <w:p w:rsidR="009847C6" w:rsidRPr="009847C6" w:rsidRDefault="009847C6" w:rsidP="009847C6">
            <w:pPr>
              <w:pStyle w:val="ListParagraph"/>
              <w:spacing w:after="240"/>
              <w:ind w:left="0"/>
              <w:jc w:val="center"/>
              <w:outlineLvl w:val="0"/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</w:pPr>
            <w:r w:rsidRPr="009847C6">
              <w:rPr>
                <w:rStyle w:val="Strong"/>
                <w:rFonts w:cstheme="minorHAnsi"/>
                <w:b w:val="0"/>
                <w:color w:val="202124"/>
                <w:sz w:val="24"/>
                <w:szCs w:val="24"/>
                <w:shd w:val="clear" w:color="auto" w:fill="FFFFFF"/>
              </w:rPr>
              <w:t>110</w:t>
            </w:r>
          </w:p>
        </w:tc>
      </w:tr>
    </w:tbl>
    <w:p w:rsidR="009847C6" w:rsidRPr="009847C6" w:rsidRDefault="009847C6" w:rsidP="009847C6">
      <w:pPr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</w:pPr>
    </w:p>
    <w:p w:rsidR="009847C6" w:rsidRPr="009847C6" w:rsidRDefault="009847C6" w:rsidP="009847C6">
      <w:pPr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</w:pP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 xml:space="preserve">[2] </w:t>
      </w:r>
      <w:hyperlink r:id="rId5" w:history="1">
        <w:r w:rsidRPr="009847C6">
          <w:rPr>
            <w:rStyle w:val="Strong"/>
            <w:rFonts w:cstheme="minorHAnsi"/>
            <w:b w:val="0"/>
            <w:color w:val="202124"/>
            <w:sz w:val="24"/>
            <w:szCs w:val="24"/>
            <w:shd w:val="clear" w:color="auto" w:fill="FFFFFF"/>
          </w:rPr>
          <w:t>https://www.tdk-electronics.tdk.com/inf/80/db/fer/e_16_8_5.pdf</w:t>
        </w:r>
      </w:hyperlink>
    </w:p>
    <w:p w:rsidR="009847C6" w:rsidRPr="009847C6" w:rsidRDefault="009847C6" w:rsidP="009847C6">
      <w:pPr>
        <w:ind w:firstLine="708"/>
        <w:jc w:val="both"/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</w:pPr>
      <w:bookmarkStart w:id="0" w:name="_GoBack"/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>This core is chosen since it has low AL with gap and cross-section is small compared to the others. 110nH/T2 is required to obtain the assumed magnetic flux density. 110nH/T2 can be obtained by the addition of 0.24mm air gap. This will be proved after other calculations. Also, a minimum cross-section that satisfies area product expectations is selected to make the most compact design.</w:t>
      </w:r>
    </w:p>
    <w:p w:rsidR="009847C6" w:rsidRPr="009847C6" w:rsidRDefault="009847C6" w:rsidP="009847C6">
      <w:pPr>
        <w:ind w:firstLine="708"/>
        <w:jc w:val="both"/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</w:pPr>
      <w:r w:rsidRPr="009847C6"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  <w:t>Saturation flux density of the core is checked, and saturation value of the core is 0.49T for N87 material. Therefore, the core would not saturate.</w:t>
      </w:r>
    </w:p>
    <w:bookmarkEnd w:id="0"/>
    <w:p w:rsidR="009847C6" w:rsidRPr="009847C6" w:rsidRDefault="009847C6" w:rsidP="009847C6">
      <w:pPr>
        <w:rPr>
          <w:rStyle w:val="Strong"/>
          <w:rFonts w:cstheme="minorHAnsi"/>
          <w:b w:val="0"/>
          <w:color w:val="202124"/>
          <w:sz w:val="24"/>
          <w:szCs w:val="24"/>
          <w:shd w:val="clear" w:color="auto" w:fill="FFFFFF"/>
        </w:rPr>
      </w:pPr>
    </w:p>
    <w:p w:rsidR="009847C6" w:rsidRPr="0062518B" w:rsidRDefault="009847C6" w:rsidP="009847C6">
      <w:pPr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 w:rsidRPr="0062518B"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  <w:lang w:val="tr-TR" w:eastAsia="tr-TR"/>
        </w:rPr>
        <w:drawing>
          <wp:inline distT="0" distB="0" distL="0" distR="0" wp14:anchorId="78304CF7" wp14:editId="700584CE">
            <wp:extent cx="5731510" cy="502920"/>
            <wp:effectExtent l="0" t="0" r="254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 rotWithShape="1">
                    <a:blip r:embed="rId6"/>
                    <a:srcRect t="18360" b="33170"/>
                    <a:stretch/>
                  </pic:blipFill>
                  <pic:spPr bwMode="auto"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7C6" w:rsidRPr="0062518B" w:rsidRDefault="009847C6" w:rsidP="009847C6">
      <w:pPr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:rsidR="009847C6" w:rsidRDefault="009847C6" w:rsidP="009847C6">
      <w:pPr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:rsidR="009847C6" w:rsidRPr="0062518B" w:rsidRDefault="009847C6" w:rsidP="009847C6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:rsidR="009847C6" w:rsidRPr="0062518B" w:rsidRDefault="009847C6" w:rsidP="009847C6">
      <w:pPr>
        <w:pStyle w:val="ListParagraph"/>
        <w:shd w:val="clear" w:color="auto" w:fill="FFFFFF"/>
        <w:spacing w:after="240" w:line="240" w:lineRule="auto"/>
        <w:ind w:left="502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:rsidR="009847C6" w:rsidRDefault="009847C6" w:rsidP="009847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lastRenderedPageBreak/>
        <w:t>Calculation of turn numbers,</w:t>
      </w: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  <w:t>Firstly find the condition that satisfy the core is not saturated,</w:t>
      </w: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Style w:val="Strong"/>
          <w:rFonts w:cstheme="minorHAnsi"/>
          <w:b w:val="0"/>
          <w:bCs w:val="0"/>
          <w:color w:val="24292F"/>
          <w:sz w:val="24"/>
          <w:szCs w:val="24"/>
          <w:shd w:val="clear" w:color="auto" w:fill="FFFFFF"/>
        </w:rPr>
      </w:pPr>
    </w:p>
    <w:p w:rsidR="009847C6" w:rsidRPr="004471BC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="Cambria Math"/>
            </w:rPr>
            <m:t>Np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sat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 11.5,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≥11.5</m:t>
          </m:r>
        </m:oMath>
      </m:oMathPara>
    </w:p>
    <w:p w:rsidR="009847C6" w:rsidRPr="004471BC" w:rsidRDefault="009847C6" w:rsidP="009847C6">
      <w:pPr>
        <w:shd w:val="clear" w:color="auto" w:fill="FFFFFF"/>
        <w:spacing w:after="240" w:line="240" w:lineRule="auto"/>
        <w:jc w:val="both"/>
        <w:outlineLvl w:val="0"/>
        <w:rPr>
          <w:rStyle w:val="Strong"/>
          <w:rFonts w:eastAsiaTheme="minorEastAsia" w:cstheme="minorHAnsi"/>
          <w:b w:val="0"/>
          <w:bCs w:val="0"/>
        </w:rPr>
      </w:pPr>
      <w:r>
        <w:rPr>
          <w:rStyle w:val="Strong"/>
          <w:rFonts w:eastAsiaTheme="minorEastAsia" w:cstheme="minorHAnsi"/>
          <w:b w:val="0"/>
          <w:bCs w:val="0"/>
        </w:rPr>
        <w:t>Find the turn number,</w:t>
      </w:r>
    </w:p>
    <w:p w:rsidR="009847C6" w:rsidRPr="0062518B" w:rsidRDefault="009847C6" w:rsidP="009847C6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=110nH</m:t>
          </m:r>
        </m:oMath>
      </m:oMathPara>
    </w:p>
    <w:p w:rsidR="009847C6" w:rsidRPr="0062518B" w:rsidRDefault="009847C6" w:rsidP="009847C6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14.2*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110</m:t>
                  </m:r>
                </m:den>
              </m:f>
            </m:e>
          </m:rad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=11.4=12</m:t>
          </m:r>
        </m:oMath>
      </m:oMathPara>
    </w:p>
    <w:p w:rsidR="009847C6" w:rsidRPr="004471BC" w:rsidRDefault="009847C6" w:rsidP="009847C6">
      <w:pPr>
        <w:shd w:val="clear" w:color="auto" w:fill="FFFFFF"/>
        <w:spacing w:after="240" w:line="240" w:lineRule="auto"/>
        <w:ind w:left="360"/>
        <w:jc w:val="both"/>
        <w:outlineLvl w:val="0"/>
        <w:rPr>
          <w:rFonts w:eastAsiaTheme="minorEastAsia" w:cstheme="minorHAnsi"/>
          <w:i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sp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=12*0.7=8 </m:t>
          </m:r>
        </m:oMath>
      </m:oMathPara>
    </w:p>
    <w:p w:rsidR="009847C6" w:rsidRPr="004471BC" w:rsidRDefault="009847C6" w:rsidP="009847C6">
      <w:pPr>
        <w:shd w:val="clear" w:color="auto" w:fill="FFFFFF"/>
        <w:spacing w:after="240" w:line="240" w:lineRule="auto"/>
        <w:ind w:left="360"/>
        <w:jc w:val="both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iCs/>
          <w:color w:val="202124"/>
          <w:sz w:val="24"/>
          <w:szCs w:val="24"/>
          <w:shd w:val="clear" w:color="auto" w:fill="FFFFFF"/>
        </w:rPr>
        <w:t>As calculated, primary turn number is larger than saturation turn number.</w:t>
      </w:r>
    </w:p>
    <w:p w:rsidR="009847C6" w:rsidRDefault="009847C6" w:rsidP="009847C6">
      <w:p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62518B">
        <w:rPr>
          <w:rFonts w:cstheme="minorHAnsi"/>
          <w:color w:val="202124"/>
          <w:sz w:val="24"/>
          <w:szCs w:val="24"/>
          <w:shd w:val="clear" w:color="auto" w:fill="FFFFFF"/>
        </w:rPr>
        <w:t>As it is seen from the calculations, number of turns in primary secondary windings are selected as 12 and 8 respectively.</w:t>
      </w:r>
    </w:p>
    <w:p w:rsidR="009847C6" w:rsidRDefault="009847C6" w:rsidP="009847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Calculation of peak currents,</w:t>
      </w: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@ Vin=24V(BCM)</w:t>
      </w: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847C6" w:rsidRPr="000574A2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24V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=1.875A</m:t>
          </m:r>
        </m:oMath>
      </m:oMathPara>
    </w:p>
    <w:p w:rsidR="009847C6" w:rsidRPr="000574A2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Pr="00F61AE1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av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D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1.875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0.47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=3.975A</m:t>
          </m:r>
        </m:oMath>
      </m:oMathPara>
    </w:p>
    <w:p w:rsidR="009847C6" w:rsidRPr="00F61AE1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Pr="00A916D2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:rsidR="009847C6" w:rsidRPr="00BB6B58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ripp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:rsidR="009847C6" w:rsidRPr="003B470C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=11.4A</m:t>
          </m:r>
        </m:oMath>
      </m:oMathPara>
    </w:p>
    <w:p w:rsidR="009847C6" w:rsidRPr="00E86772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@ Vin=48V(DCM)</w:t>
      </w:r>
    </w:p>
    <w:p w:rsidR="009847C6" w:rsidRPr="00B25951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:rsidR="009847C6" w:rsidRPr="005263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Since it is in BCM, ripple current is equal to maximum current,</w:t>
      </w:r>
    </w:p>
    <w:p w:rsidR="009847C6" w:rsidRPr="00A916D2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Pr="00BB6B58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=7.95A</m:t>
          </m:r>
        </m:oMath>
      </m:oMathPara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847C6" w:rsidRPr="00E4327C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=11.4A</m:t>
          </m:r>
        </m:oMath>
      </m:oMathPara>
    </w:p>
    <w:p w:rsidR="009847C6" w:rsidRPr="00DC1B23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Default="009847C6" w:rsidP="009847C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Also, it is important to be sure expected magnetic flux density is obtained,</w:t>
      </w:r>
    </w:p>
    <w:p w:rsidR="009847C6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Pr="00DF1378" w:rsidRDefault="009847C6" w:rsidP="009847C6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B=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NI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RA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12*1.875*110*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20.1*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=0.116T  @ 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in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=24V</m:t>
          </m:r>
        </m:oMath>
      </m:oMathPara>
    </w:p>
    <w:p w:rsidR="009847C6" w:rsidRDefault="009847C6" w:rsidP="009847C6">
      <w:pPr>
        <w:pStyle w:val="Heading2"/>
        <w:jc w:val="left"/>
        <w:rPr>
          <w:shd w:val="clear" w:color="auto" w:fill="FFFFFF"/>
        </w:rPr>
      </w:pPr>
      <w:r>
        <w:rPr>
          <w:shd w:val="clear" w:color="auto" w:fill="FFFFFF"/>
        </w:rPr>
        <w:t>b) Cable Selection</w:t>
      </w:r>
    </w:p>
    <w:p w:rsidR="009847C6" w:rsidRPr="00303D96" w:rsidRDefault="009847C6" w:rsidP="009847C6">
      <w:pPr>
        <w:shd w:val="clear" w:color="auto" w:fill="FFFFFF"/>
        <w:spacing w:after="240" w:line="240" w:lineRule="auto"/>
        <w:ind w:left="360"/>
        <w:jc w:val="center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 3A</m:t>
          </m:r>
        </m:oMath>
      </m:oMathPara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=45/24=1.875A(Max value)</m:t>
          </m:r>
        </m:oMath>
      </m:oMathPara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=4A/m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=0.47m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 xml:space="preserve">2  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    &amp;   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sec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=0.75m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9847C6" w:rsidRPr="00530F65" w:rsidRDefault="009847C6" w:rsidP="009847C6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Choose,</w:t>
      </w:r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Primary-4*26 AWG-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=4*0.128m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=0.512m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Secondary-6*26 AWG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=6*0.128m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=0.768m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9847C6" w:rsidRPr="00530F65" w:rsidRDefault="009847C6" w:rsidP="009847C6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We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have decided to use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4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26AWG instead of one AWG copper for primary, and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6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26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AWG cable instead of one copper cable. Since cables with a larger cross-section have a smaller maximum frequency for 100% skin depth, we have decided to multiple cables that have enough maximum frequency for 100% skin depth instead of one cable. The maximum frequency for 100% skin depths is 107kHz for 26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AWG.</w:t>
      </w: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This selection makes AC and DC resistances the same since we operate with 100% skin depth.</w:t>
      </w:r>
    </w:p>
    <w:p w:rsidR="009847C6" w:rsidRDefault="009847C6" w:rsidP="009847C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530F65">
        <w:rPr>
          <w:rFonts w:cstheme="minorHAnsi"/>
          <w:iCs/>
          <w:color w:val="202124"/>
          <w:sz w:val="24"/>
          <w:szCs w:val="24"/>
          <w:shd w:val="clear" w:color="auto" w:fill="FFFFFF"/>
        </w:rPr>
        <w:t>Calculation of fill factor,</w:t>
      </w:r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ind w:left="502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window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11.3-4.7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*5.7=18.8m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:rsidR="009847C6" w:rsidRPr="00530F65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window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12*0.512+8*0.768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37.6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=0.327</m:t>
          </m:r>
        </m:oMath>
      </m:oMathPara>
    </w:p>
    <w:p w:rsidR="009847C6" w:rsidRPr="0011250E" w:rsidRDefault="009847C6" w:rsidP="009847C6">
      <w:pPr>
        <w:pStyle w:val="ListParagraph"/>
        <w:shd w:val="clear" w:color="auto" w:fill="FFFFFF"/>
        <w:spacing w:after="240" w:line="240" w:lineRule="auto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=32.7%</m:t>
          </m:r>
        </m:oMath>
      </m:oMathPara>
    </w:p>
    <w:p w:rsidR="009847C6" w:rsidRPr="00E4327C" w:rsidRDefault="009847C6" w:rsidP="009847C6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Pr="00530F65" w:rsidRDefault="009847C6" w:rsidP="009847C6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:rsidR="009847C6" w:rsidRPr="005D4514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:rsidR="009847C6" w:rsidRPr="006E20CD" w:rsidRDefault="009847C6" w:rsidP="009847C6">
      <w:pPr>
        <w:pStyle w:val="ListParagraph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847C6" w:rsidRPr="0062518B" w:rsidRDefault="009847C6" w:rsidP="009847C6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:rsidR="009847C6" w:rsidRPr="0062518B" w:rsidRDefault="009847C6" w:rsidP="009847C6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:rsidR="009847C6" w:rsidRPr="0062518B" w:rsidRDefault="009847C6" w:rsidP="009847C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noProof w:val="0"/>
          <w:sz w:val="24"/>
          <w:szCs w:val="24"/>
          <w:lang w:val="tr-TR"/>
        </w:rPr>
      </w:pPr>
    </w:p>
    <w:p w:rsidR="00722ABA" w:rsidRDefault="00722ABA"/>
    <w:sectPr w:rsidR="00722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8D0"/>
    <w:multiLevelType w:val="hybridMultilevel"/>
    <w:tmpl w:val="0994F44E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B73C0"/>
    <w:multiLevelType w:val="hybridMultilevel"/>
    <w:tmpl w:val="2728991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14"/>
    <w:rsid w:val="00201C1F"/>
    <w:rsid w:val="005E2C56"/>
    <w:rsid w:val="00722ABA"/>
    <w:rsid w:val="009847C6"/>
    <w:rsid w:val="00C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A30B"/>
  <w15:chartTrackingRefBased/>
  <w15:docId w15:val="{95936FEC-6B28-44E1-A328-23449615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7C6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7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noProof w:val="0"/>
      <w:color w:val="2E74B5" w:themeColor="accent1" w:themeShade="BF"/>
      <w:sz w:val="40"/>
      <w:szCs w:val="40"/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7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noProof w:val="0"/>
      <w:sz w:val="32"/>
      <w:szCs w:val="32"/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7C6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7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47C6"/>
    <w:rPr>
      <w:b/>
      <w:bCs/>
    </w:rPr>
  </w:style>
  <w:style w:type="character" w:styleId="Hyperlink">
    <w:name w:val="Hyperlink"/>
    <w:basedOn w:val="DefaultParagraphFont"/>
    <w:uiPriority w:val="99"/>
    <w:unhideWhenUsed/>
    <w:rsid w:val="00984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847C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dk-electronics.tdk.com/inf/80/db/fer/e_16_8_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2022-05-10T18:30:00Z</dcterms:created>
  <dcterms:modified xsi:type="dcterms:W3CDTF">2022-05-10T18:39:00Z</dcterms:modified>
</cp:coreProperties>
</file>