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545"/>
          <w:sz w:val="43"/>
        </w:rPr>
        <w:t>McCall Agency Cheat Sheet and Discovery Talking Points</w:t>
      </w:r>
    </w:p>
    <w:p>
      <w:pPr>
        <w:spacing w:after="200"/>
      </w:pPr>
      <w:r>
        <w:rPr>
          <w:rFonts w:ascii="Calibri" w:hAnsi="Calibri"/>
          <w:b w:val="0"/>
          <w:i/>
          <w:color w:val="555555"/>
          <w:sz w:val="21"/>
        </w:rPr>
        <w:t>Prepared for The Cigna Group Rapid Impact Challenge volunteer team</w:t>
      </w:r>
    </w:p>
    <w:p>
      <w:pPr>
        <w:spacing w:before="240" w:after="80"/>
      </w:pPr>
      <w:r>
        <w:rPr>
          <w:rFonts w:ascii="Calibri" w:hAnsi="Calibri"/>
          <w:b/>
          <w:i w:val="0"/>
          <w:color w:val="2E74B5"/>
          <w:sz w:val="29"/>
        </w:rPr>
        <w:t>Executive TLDR</w:t>
      </w:r>
    </w:p>
    <w:p>
      <w:pPr>
        <w:spacing w:after="80" w:line="276" w:lineRule="auto"/>
      </w:pPr>
      <w:r>
        <w:rPr>
          <w:rFonts w:ascii="Calibri" w:hAnsi="Calibri"/>
          <w:b w:val="0"/>
          <w:i w:val="0"/>
          <w:sz w:val="21"/>
        </w:rPr>
        <w:t>McCall Behavioral Health Network is a nonprofit behavioral health provider serving individuals and families across western Connecticut through prevention, treatment, recovery support, primary care, outreach, and community engagement. McCall's mission is to inspire hope and promote wellness and healing through a continuum of health services for people of all ages and families across Connecticut.</w:t>
      </w:r>
    </w:p>
    <w:p>
      <w:pPr>
        <w:spacing w:after="80" w:line="276" w:lineRule="auto"/>
      </w:pPr>
      <w:r>
        <w:rPr>
          <w:rFonts w:ascii="Calibri" w:hAnsi="Calibri"/>
          <w:b w:val="0"/>
          <w:i w:val="0"/>
          <w:sz w:val="21"/>
        </w:rPr>
        <w:t>For this challenge, the Quality Department's incident-reporting workflow should be treated as a mission-critical quality improvement process, not just an administrative workflow. Better intake, tracking, analysis, and reporting can help McCall identify patterns faster, reduce manual burden, strengthen learning across programs, and protect the human-centered nature of care.</w:t>
      </w:r>
    </w:p>
    <w:p>
      <w:pPr>
        <w:spacing w:before="240" w:after="80"/>
      </w:pPr>
      <w:r>
        <w:rPr>
          <w:rFonts w:ascii="Calibri" w:hAnsi="Calibri"/>
          <w:b/>
          <w:i w:val="0"/>
          <w:color w:val="2E74B5"/>
          <w:sz w:val="29"/>
        </w:rPr>
        <w:t>Fast Facts</w:t>
      </w:r>
    </w:p>
    <w:tbl>
      <w:tblPr>
        <w:tblW w:type="auto" w:w="0"/>
        <w:jc w:val="center"/>
        <w:tblLayout w:type="fixed"/>
        <w:tblLook w:firstColumn="1" w:firstRow="1" w:lastColumn="0" w:lastRow="0" w:noHBand="0" w:noVBand="1" w:val="04A0"/>
      </w:tblPr>
      <w:tblGrid>
        <w:gridCol w:w="4680"/>
        <w:gridCol w:w="4680"/>
      </w:tblGrid>
      <w:tr>
        <w:tc>
          <w:tcPr>
            <w:tcW w:type="dxa" w:w="1800"/>
            <w:tcMar>
              <w:top w:w="80" w:type="dxa"/>
              <w:start w:w="120" w:type="dxa"/>
              <w:bottom w:w="80" w:type="dxa"/>
              <w:end w:w="120" w:type="dxa"/>
            </w:tcMar>
            <w:shd w:fill="E8EEF5"/>
            <w:vAlign w:val="center"/>
          </w:tcPr>
          <w:p>
            <w:pPr>
              <w:spacing w:after="0"/>
            </w:pPr>
            <w:r>
              <w:rPr>
                <w:rFonts w:ascii="Calibri" w:hAnsi="Calibri"/>
                <w:b/>
                <w:i w:val="0"/>
                <w:color w:val="0B2545"/>
                <w:sz w:val="21"/>
              </w:rPr>
              <w:t>Area</w:t>
            </w:r>
          </w:p>
        </w:tc>
        <w:tc>
          <w:tcPr>
            <w:tcW w:type="dxa" w:w="7560"/>
            <w:tcMar>
              <w:top w:w="80" w:type="dxa"/>
              <w:start w:w="120" w:type="dxa"/>
              <w:bottom w:w="80" w:type="dxa"/>
              <w:end w:w="120" w:type="dxa"/>
            </w:tcMar>
            <w:shd w:fill="E8EEF5"/>
            <w:vAlign w:val="center"/>
          </w:tcPr>
          <w:p>
            <w:pPr>
              <w:spacing w:after="0"/>
            </w:pPr>
            <w:r>
              <w:rPr>
                <w:rFonts w:ascii="Calibri" w:hAnsi="Calibri"/>
                <w:b/>
                <w:i w:val="0"/>
                <w:color w:val="0B2545"/>
                <w:sz w:val="21"/>
              </w:rPr>
              <w:t>Talking Point</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sz w:val="19"/>
              </w:rPr>
              <w:t>Organization</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sz w:val="19"/>
              </w:rPr>
              <w:t>Nonprofit behavioral health network serving families and individuals across western Connecticut for more than 50 years.</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sz w:val="19"/>
              </w:rPr>
              <w:t>Mission</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sz w:val="19"/>
              </w:rPr>
              <w:t>Inspire hope and promote wellness and healing through prevention, treatment, recovery support, and community engagement.</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sz w:val="19"/>
              </w:rPr>
              <w:t>Footprint</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sz w:val="19"/>
              </w:rPr>
              <w:t>McCall lists service locations in Danbury, Torrington, Winsted, and Waterbury.</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sz w:val="19"/>
              </w:rPr>
              <w:t>Care model</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sz w:val="19"/>
              </w:rPr>
              <w:t>Whole-person, individualized, trauma-informed, culturally responsive care across mental health, substance use, prevention, recovery, outreach, and primary care services.</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sz w:val="19"/>
              </w:rPr>
              <w:t>Challenge</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sz w:val="19"/>
              </w:rPr>
              <w:t>Quality Department incident-report tracking, analysis, and reporting. Current process is email-based, spreadsheet-heavy, and manually analyzed.</w:t>
            </w:r>
          </w:p>
        </w:tc>
      </w:tr>
      <w:tr>
        <w:tc>
          <w:tcPr>
            <w:tcW w:type="dxa" w:w="1800"/>
            <w:tcMar>
              <w:top w:w="80" w:type="dxa"/>
              <w:start w:w="120" w:type="dxa"/>
              <w:bottom w:w="80" w:type="dxa"/>
              <w:end w:w="120" w:type="dxa"/>
            </w:tcMar>
            <w:vAlign w:val="center"/>
          </w:tcPr>
          <w:p>
            <w:pPr>
              <w:spacing w:after="0" w:line="264" w:lineRule="auto"/>
            </w:pPr>
            <w:r>
              <w:rPr>
                <w:rFonts w:ascii="Calibri" w:hAnsi="Calibri"/>
                <w:b w:val="0"/>
                <w:i w:val="0"/>
                <w:sz w:val="19"/>
              </w:rPr>
              <w:t>AI readiness</w:t>
            </w:r>
          </w:p>
        </w:tc>
        <w:tc>
          <w:tcPr>
            <w:tcW w:type="dxa" w:w="7560"/>
            <w:tcMar>
              <w:top w:w="80" w:type="dxa"/>
              <w:start w:w="120" w:type="dxa"/>
              <w:bottom w:w="80" w:type="dxa"/>
              <w:end w:w="120" w:type="dxa"/>
            </w:tcMar>
            <w:vAlign w:val="center"/>
          </w:tcPr>
          <w:p>
            <w:pPr>
              <w:spacing w:after="0" w:line="264" w:lineRule="auto"/>
            </w:pPr>
            <w:r>
              <w:rPr>
                <w:rFonts w:ascii="Calibri" w:hAnsi="Calibri"/>
                <w:b w:val="0"/>
                <w:i w:val="0"/>
                <w:sz w:val="19"/>
              </w:rPr>
              <w:t>McCall is exploring AI tools and governance. This use case can become a practical pilot for broader responsible AI adoption.</w:t>
            </w:r>
          </w:p>
        </w:tc>
      </w:tr>
    </w:tbl>
    <w:p>
      <w:pPr>
        <w:spacing w:after="40"/>
      </w:pPr>
    </w:p>
    <w:p>
      <w:pPr>
        <w:spacing w:before="240" w:after="80"/>
      </w:pPr>
      <w:r>
        <w:rPr>
          <w:rFonts w:ascii="Calibri" w:hAnsi="Calibri"/>
          <w:b/>
          <w:i w:val="0"/>
          <w:color w:val="2E74B5"/>
          <w:sz w:val="29"/>
        </w:rPr>
        <w:t>Clients and Communities Served</w:t>
      </w:r>
    </w:p>
    <w:p>
      <w:pPr>
        <w:pStyle w:val="ListBullet"/>
        <w:spacing w:after="40" w:line="276" w:lineRule="auto"/>
        <w:ind w:left="360" w:hanging="144"/>
      </w:pPr>
      <w:r>
        <w:rPr>
          <w:rFonts w:ascii="Calibri" w:hAnsi="Calibri"/>
          <w:b w:val="0"/>
          <w:i w:val="0"/>
          <w:sz w:val="21"/>
        </w:rPr>
        <w:t>Individuals and families of all ages across Connecticut who need behavioral health, recovery, prevention, and community support.</w:t>
      </w:r>
    </w:p>
    <w:p>
      <w:pPr>
        <w:pStyle w:val="ListBullet"/>
        <w:spacing w:after="40" w:line="276" w:lineRule="auto"/>
        <w:ind w:left="360" w:hanging="144"/>
      </w:pPr>
      <w:r>
        <w:rPr>
          <w:rFonts w:ascii="Calibri" w:hAnsi="Calibri"/>
          <w:b w:val="0"/>
          <w:i w:val="0"/>
          <w:sz w:val="21"/>
        </w:rPr>
        <w:t>Adults with substance use disorders, mental health needs, and co-occurring disorders who may need outpatient treatment, MAT, intensive outpatient care, residential treatment, or recovery supports.</w:t>
      </w:r>
    </w:p>
    <w:p>
      <w:pPr>
        <w:pStyle w:val="ListBullet"/>
        <w:spacing w:after="40" w:line="276" w:lineRule="auto"/>
        <w:ind w:left="360" w:hanging="144"/>
      </w:pPr>
      <w:r>
        <w:rPr>
          <w:rFonts w:ascii="Calibri" w:hAnsi="Calibri"/>
          <w:b w:val="0"/>
          <w:i w:val="0"/>
          <w:sz w:val="21"/>
        </w:rPr>
        <w:t>Children and adolescents ages 8-17 and their families, including youth experiencing stress, anxiety, depression, vaping, substance use, trauma, or other behavioral health needs.</w:t>
      </w:r>
    </w:p>
    <w:p>
      <w:pPr>
        <w:pStyle w:val="ListBullet"/>
        <w:spacing w:after="40" w:line="276" w:lineRule="auto"/>
        <w:ind w:left="360" w:hanging="144"/>
      </w:pPr>
      <w:r>
        <w:rPr>
          <w:rFonts w:ascii="Calibri" w:hAnsi="Calibri"/>
          <w:b w:val="0"/>
          <w:i w:val="0"/>
          <w:sz w:val="21"/>
        </w:rPr>
        <w:t>Adults age 18+ recovering from psychiatric illness who may benefit from group homes, community residences, case management, skill-building, medication support, and community connection.</w:t>
      </w:r>
    </w:p>
    <w:p>
      <w:pPr>
        <w:pStyle w:val="ListBullet"/>
        <w:spacing w:after="40" w:line="276" w:lineRule="auto"/>
        <w:ind w:left="360" w:hanging="144"/>
      </w:pPr>
      <w:r>
        <w:rPr>
          <w:rFonts w:ascii="Calibri" w:hAnsi="Calibri"/>
          <w:b w:val="0"/>
          <w:i w:val="0"/>
          <w:sz w:val="21"/>
        </w:rPr>
        <w:t>People at high risk for overdose and individuals with opioid use disorder who may need rapid follow-up, service navigation, housing support, recovery supports, and harm-reduction resources.</w:t>
      </w:r>
    </w:p>
    <w:p>
      <w:pPr>
        <w:pStyle w:val="ListBullet"/>
        <w:spacing w:after="40" w:line="276" w:lineRule="auto"/>
        <w:ind w:left="360" w:hanging="144"/>
      </w:pPr>
      <w:r>
        <w:rPr>
          <w:rFonts w:ascii="Calibri" w:hAnsi="Calibri"/>
          <w:b w:val="0"/>
          <w:i w:val="0"/>
          <w:sz w:val="21"/>
        </w:rPr>
        <w:t>Seniors who may be isolated or experiencing behavioral health or substance misuse concerns and need person-centered outreach, counseling, referrals, and connection to local supports.</w:t>
      </w:r>
    </w:p>
    <w:p>
      <w:pPr>
        <w:pStyle w:val="ListBullet"/>
        <w:spacing w:after="40" w:line="276" w:lineRule="auto"/>
        <w:ind w:left="360" w:hanging="144"/>
      </w:pPr>
      <w:r>
        <w:rPr>
          <w:rFonts w:ascii="Calibri" w:hAnsi="Calibri"/>
          <w:b w:val="0"/>
          <w:i w:val="0"/>
          <w:sz w:val="21"/>
        </w:rPr>
        <w:t>Parents, caregivers, spouses, children, siblings, friends, and loved ones affected by substance use or behavioral health challenges.</w:t>
      </w:r>
    </w:p>
    <w:p>
      <w:pPr>
        <w:spacing w:before="240" w:after="80"/>
      </w:pPr>
      <w:r>
        <w:rPr>
          <w:rFonts w:ascii="Calibri" w:hAnsi="Calibri"/>
          <w:b/>
          <w:i w:val="0"/>
          <w:color w:val="2E74B5"/>
          <w:sz w:val="29"/>
        </w:rPr>
        <w:t>Treatment and Support Services to Understand</w:t>
      </w:r>
    </w:p>
    <w:tbl>
      <w:tblPr>
        <w:tblW w:type="auto" w:w="0"/>
        <w:jc w:val="center"/>
        <w:tblLayout w:type="fixed"/>
        <w:tblLook w:firstColumn="1" w:firstRow="1" w:lastColumn="0" w:lastRow="0" w:noHBand="0" w:noVBand="1" w:val="04A0"/>
      </w:tblPr>
      <w:tblGrid>
        <w:gridCol w:w="4680"/>
        <w:gridCol w:w="4680"/>
      </w:tblGrid>
      <w:tr>
        <w:tc>
          <w:tcPr>
            <w:tcW w:type="dxa" w:w="2200"/>
            <w:tcMar>
              <w:top w:w="80" w:type="dxa"/>
              <w:start w:w="120" w:type="dxa"/>
              <w:bottom w:w="80" w:type="dxa"/>
              <w:end w:w="120" w:type="dxa"/>
            </w:tcMar>
            <w:shd w:fill="E8EEF5"/>
            <w:vAlign w:val="center"/>
          </w:tcPr>
          <w:p>
            <w:pPr>
              <w:spacing w:after="0"/>
            </w:pPr>
            <w:r>
              <w:rPr>
                <w:rFonts w:ascii="Calibri" w:hAnsi="Calibri"/>
                <w:b/>
                <w:i w:val="0"/>
                <w:color w:val="0B2545"/>
                <w:sz w:val="21"/>
              </w:rPr>
              <w:t>Service Area</w:t>
            </w:r>
          </w:p>
        </w:tc>
        <w:tc>
          <w:tcPr>
            <w:tcW w:type="dxa" w:w="7160"/>
            <w:tcMar>
              <w:top w:w="80" w:type="dxa"/>
              <w:start w:w="120" w:type="dxa"/>
              <w:bottom w:w="80" w:type="dxa"/>
              <w:end w:w="120" w:type="dxa"/>
            </w:tcMar>
            <w:shd w:fill="E8EEF5"/>
            <w:vAlign w:val="center"/>
          </w:tcPr>
          <w:p>
            <w:pPr>
              <w:spacing w:after="0"/>
            </w:pPr>
            <w:r>
              <w:rPr>
                <w:rFonts w:ascii="Calibri" w:hAnsi="Calibri"/>
                <w:b/>
                <w:i w:val="0"/>
                <w:color w:val="0B2545"/>
                <w:sz w:val="21"/>
              </w:rPr>
              <w:t>What to Listen For</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Residential treatment</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Intensive/intermediate treatment, individualized plans, counseling, MAT, CBT, co-occurring disorders, family participation, and psychiatric support.</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Outpatient treatment</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Traditional, intensive, medication-assisted, mental health, and integrative therapy options across multiple sites.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Mental health services</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Anxiety, depression, mood/personality disorders, problem gambling, eating disorders, brief treatment, and individual counseling.</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Group homes</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Adult psychiatric recovery residences, daily living support, case management, counseling, medication support, and community resources.</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Youth and family services</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Assessment, IOP, group therapy, psychiatric services, individual therapy, and family therapy for ages 8-17.</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Whole Health Center</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Integrated Waterbury site with primary care, substance use treatment, mental health support, child/adolescent services, and pharmacy.</w:t>
            </w:r>
          </w:p>
        </w:tc>
      </w:tr>
      <w:tr>
        <w:tc>
          <w:tcPr>
            <w:tcW w:type="dxa" w:w="2200"/>
            <w:tcMar>
              <w:top w:w="80" w:type="dxa"/>
              <w:start w:w="120" w:type="dxa"/>
              <w:bottom w:w="80" w:type="dxa"/>
              <w:end w:w="120" w:type="dxa"/>
            </w:tcMar>
            <w:vAlign w:val="center"/>
          </w:tcPr>
          <w:p>
            <w:pPr>
              <w:spacing w:after="0" w:line="264" w:lineRule="auto"/>
            </w:pPr>
            <w:r>
              <w:rPr>
                <w:rFonts w:ascii="Calibri" w:hAnsi="Calibri"/>
                <w:b w:val="0"/>
                <w:i w:val="0"/>
                <w:sz w:val="19"/>
              </w:rPr>
              <w:t>Outreach and prevention</w:t>
            </w:r>
          </w:p>
        </w:tc>
        <w:tc>
          <w:tcPr>
            <w:tcW w:type="dxa" w:w="7160"/>
            <w:tcMar>
              <w:top w:w="80" w:type="dxa"/>
              <w:start w:w="120" w:type="dxa"/>
              <w:bottom w:w="80" w:type="dxa"/>
              <w:end w:w="120" w:type="dxa"/>
            </w:tcMar>
            <w:vAlign w:val="center"/>
          </w:tcPr>
          <w:p>
            <w:pPr>
              <w:spacing w:after="0" w:line="264" w:lineRule="auto"/>
            </w:pPr>
            <w:r>
              <w:rPr>
                <w:rFonts w:ascii="Calibri" w:hAnsi="Calibri"/>
                <w:b w:val="0"/>
                <w:i w:val="0"/>
                <w:sz w:val="19"/>
              </w:rPr>
              <w:t>Addiction case management, overdose follow-up, HERO housing supports, senior outreach, employment services, family recovery, and prevention programs.</w:t>
            </w:r>
          </w:p>
        </w:tc>
      </w:tr>
    </w:tbl>
    <w:p>
      <w:pPr>
        <w:spacing w:after="40"/>
      </w:pPr>
    </w:p>
    <w:p>
      <w:pPr>
        <w:spacing w:before="240" w:after="80"/>
      </w:pPr>
      <w:r>
        <w:rPr>
          <w:rFonts w:ascii="Calibri" w:hAnsi="Calibri"/>
          <w:b/>
          <w:i w:val="0"/>
          <w:color w:val="2E74B5"/>
          <w:sz w:val="29"/>
        </w:rPr>
        <w:t>McCall Stakeholders to Listen For</w:t>
      </w:r>
    </w:p>
    <w:p>
      <w:pPr>
        <w:spacing w:before="160" w:after="40"/>
      </w:pPr>
      <w:r>
        <w:rPr>
          <w:rFonts w:ascii="Calibri" w:hAnsi="Calibri"/>
          <w:b/>
          <w:i w:val="0"/>
          <w:color w:val="1F4D78"/>
          <w:sz w:val="23"/>
        </w:rPr>
        <w:t>Joy Pendola, LMFT LADC - Chief Clinical Officer</w:t>
      </w:r>
    </w:p>
    <w:p>
      <w:pPr>
        <w:spacing w:after="80" w:line="276" w:lineRule="auto"/>
      </w:pPr>
      <w:r>
        <w:rPr>
          <w:rFonts w:ascii="Calibri" w:hAnsi="Calibri"/>
          <w:b w:val="0"/>
          <w:i w:val="0"/>
          <w:sz w:val="21"/>
        </w:rPr>
        <w:t>Joy has more than 20 years of behavioral health experience across clinical and administrative leadership, including outpatient, partial hospital, intensive outpatient, and residential levels of care. She has worked with children, adolescents, and adults and has led program development, accreditation, grant writing, and clinical training.</w:t>
      </w:r>
    </w:p>
    <w:p>
      <w:pPr>
        <w:spacing w:after="80" w:line="276" w:lineRule="auto"/>
      </w:pPr>
      <w:r>
        <w:rPr>
          <w:rFonts w:ascii="Calibri" w:hAnsi="Calibri"/>
          <w:b w:val="0"/>
          <w:i w:val="0"/>
          <w:sz w:val="21"/>
        </w:rPr>
        <w:t>Discovery lens: Joy can help clarify clinical reality, human-centered care, which decisions require professional judgment, and how incident insights can improve quality without reducing clients to data points.</w:t>
      </w:r>
    </w:p>
    <w:p>
      <w:pPr>
        <w:spacing w:before="160" w:after="40"/>
      </w:pPr>
      <w:r>
        <w:rPr>
          <w:rFonts w:ascii="Calibri" w:hAnsi="Calibri"/>
          <w:b/>
          <w:i w:val="0"/>
          <w:color w:val="1F4D78"/>
          <w:sz w:val="23"/>
        </w:rPr>
        <w:t>Jamie Calvano, LADC, ADS - Senior Director of Quality and Compliance</w:t>
      </w:r>
    </w:p>
    <w:p>
      <w:pPr>
        <w:spacing w:after="80" w:line="276" w:lineRule="auto"/>
      </w:pPr>
      <w:r>
        <w:rPr>
          <w:rFonts w:ascii="Calibri" w:hAnsi="Calibri"/>
          <w:b w:val="0"/>
          <w:i w:val="0"/>
          <w:sz w:val="21"/>
        </w:rPr>
        <w:t>Jamie began with legacy Central Naugatuck Valley Help, Inc. in 2002 as a counselor at McAuliffe Manor. She has deep experience with individuals with co-occurring disorders, holds a master's degree in Human Services, and is a Licensed Addictions Counselor. Challenge materials identify her as Senior Director of Quality and Compliance.</w:t>
      </w:r>
    </w:p>
    <w:p>
      <w:pPr>
        <w:spacing w:after="80" w:line="276" w:lineRule="auto"/>
      </w:pPr>
      <w:r>
        <w:rPr>
          <w:rFonts w:ascii="Calibri" w:hAnsi="Calibri"/>
          <w:b w:val="0"/>
          <w:i w:val="0"/>
          <w:sz w:val="21"/>
        </w:rPr>
        <w:t>Discovery lens: Jamie is likely the primary business owner for the incident-reporting use case. Listen for compliance requirements, process pain points, reporting obligations, root causes, quality improvement needs, and what actionable insight means for McCall.</w:t>
      </w:r>
    </w:p>
    <w:p>
      <w:pPr>
        <w:spacing w:before="160" w:after="40"/>
      </w:pPr>
      <w:r>
        <w:rPr>
          <w:rFonts w:ascii="Calibri" w:hAnsi="Calibri"/>
          <w:b/>
          <w:i w:val="0"/>
          <w:color w:val="1F4D78"/>
          <w:sz w:val="23"/>
        </w:rPr>
        <w:t>Shalyn Sheldon, MSW - Senior Director of Administration and Accreditation</w:t>
      </w:r>
    </w:p>
    <w:p>
      <w:pPr>
        <w:spacing w:after="80" w:line="276" w:lineRule="auto"/>
      </w:pPr>
      <w:r>
        <w:rPr>
          <w:rFonts w:ascii="Calibri" w:hAnsi="Calibri"/>
          <w:b w:val="0"/>
          <w:i w:val="0"/>
          <w:sz w:val="21"/>
        </w:rPr>
        <w:t>Shalyn's background includes social work, prevention, development, marketing, grant writing, quality assurance, and accreditation. She advanced to Senior Director of Administration and Accreditation in 2023, overseeing organizational improvement, compliance efforts, and McCall's IT needs.</w:t>
      </w:r>
    </w:p>
    <w:p>
      <w:pPr>
        <w:spacing w:after="80" w:line="276" w:lineRule="auto"/>
      </w:pPr>
      <w:r>
        <w:rPr>
          <w:rFonts w:ascii="Calibri" w:hAnsi="Calibri"/>
          <w:b w:val="0"/>
          <w:i w:val="0"/>
          <w:sz w:val="21"/>
        </w:rPr>
        <w:t>Discovery lens: Shalyn can help clarify operational readiness, accreditation expectations, IT constraints, ownership, support capacity, and what recommendations McCall can realistically implement after the sprint.</w:t>
      </w:r>
    </w:p>
    <w:p>
      <w:pPr>
        <w:spacing w:before="240" w:after="80"/>
      </w:pPr>
      <w:r>
        <w:rPr>
          <w:rFonts w:ascii="Calibri" w:hAnsi="Calibri"/>
          <w:b/>
          <w:i w:val="0"/>
          <w:color w:val="2E74B5"/>
          <w:sz w:val="29"/>
        </w:rPr>
        <w:t>Challenge Lens</w:t>
      </w:r>
    </w:p>
    <w:p>
      <w:pPr>
        <w:spacing w:after="80" w:line="276" w:lineRule="auto"/>
      </w:pPr>
      <w:r>
        <w:rPr>
          <w:rFonts w:ascii="Calibri" w:hAnsi="Calibri"/>
          <w:b w:val="0"/>
          <w:i w:val="0"/>
          <w:sz w:val="21"/>
        </w:rPr>
        <w:t>McCall's challenge has two connected parts: the process problem and the AI opportunity. The process problem is an email-to-spreadsheet workflow that creates manual burden and delays insight. The AI opportunity is to evaluate where AI or automation can responsibly improve efficiency, reporting, and decision-making while preserving privacy, security, compliance, and human oversight.</w:t>
      </w:r>
    </w:p>
    <w:p>
      <w:pPr>
        <w:spacing w:after="80" w:line="276" w:lineRule="auto"/>
      </w:pPr>
      <w:r>
        <w:rPr>
          <w:rFonts w:ascii="Calibri" w:hAnsi="Calibri"/>
          <w:b w:val="0"/>
          <w:i w:val="0"/>
          <w:sz w:val="21"/>
        </w:rPr>
        <w:t>Talking point: Before we recommend a tool, we want to understand the current workflow, what decisions the data supports, where the manual burden sits, and which safeguards McCall needs in place.</w:t>
      </w:r>
    </w:p>
    <w:p>
      <w:pPr>
        <w:spacing w:before="240" w:after="80"/>
      </w:pPr>
      <w:r>
        <w:rPr>
          <w:rFonts w:ascii="Calibri" w:hAnsi="Calibri"/>
          <w:b/>
          <w:i w:val="0"/>
          <w:color w:val="2E74B5"/>
          <w:sz w:val="29"/>
        </w:rPr>
        <w:t>Discovery Call Cues</w:t>
      </w:r>
    </w:p>
    <w:p>
      <w:pPr>
        <w:pStyle w:val="ListBullet"/>
        <w:spacing w:after="40" w:line="276" w:lineRule="auto"/>
        <w:ind w:left="360" w:hanging="144"/>
      </w:pPr>
      <w:r>
        <w:rPr>
          <w:rFonts w:ascii="Calibri" w:hAnsi="Calibri"/>
          <w:b w:val="0"/>
          <w:i w:val="0"/>
          <w:sz w:val="21"/>
        </w:rPr>
        <w:t>What would a better incident-reporting process allow the Quality Department to do sooner or better?</w:t>
      </w:r>
    </w:p>
    <w:p>
      <w:pPr>
        <w:pStyle w:val="ListBullet"/>
        <w:spacing w:after="40" w:line="276" w:lineRule="auto"/>
        <w:ind w:left="360" w:hanging="144"/>
      </w:pPr>
      <w:r>
        <w:rPr>
          <w:rFonts w:ascii="Calibri" w:hAnsi="Calibri"/>
          <w:b w:val="0"/>
          <w:i w:val="0"/>
          <w:sz w:val="21"/>
        </w:rPr>
        <w:t>Which steps are repetitive, and which steps require judgment?</w:t>
      </w:r>
    </w:p>
    <w:p>
      <w:pPr>
        <w:pStyle w:val="ListBullet"/>
        <w:spacing w:after="40" w:line="276" w:lineRule="auto"/>
        <w:ind w:left="360" w:hanging="144"/>
      </w:pPr>
      <w:r>
        <w:rPr>
          <w:rFonts w:ascii="Calibri" w:hAnsi="Calibri"/>
          <w:b w:val="0"/>
          <w:i w:val="0"/>
          <w:sz w:val="21"/>
        </w:rPr>
        <w:t>What are the most important reporting outputs today?</w:t>
      </w:r>
    </w:p>
    <w:p>
      <w:pPr>
        <w:pStyle w:val="ListBullet"/>
        <w:spacing w:after="40" w:line="276" w:lineRule="auto"/>
        <w:ind w:left="360" w:hanging="144"/>
      </w:pPr>
      <w:r>
        <w:rPr>
          <w:rFonts w:ascii="Calibri" w:hAnsi="Calibri"/>
          <w:b w:val="0"/>
          <w:i w:val="0"/>
          <w:sz w:val="21"/>
        </w:rPr>
        <w:t>What does McCall need to preserve from the current process?</w:t>
      </w:r>
    </w:p>
    <w:p>
      <w:pPr>
        <w:pStyle w:val="ListBullet"/>
        <w:spacing w:after="40" w:line="276" w:lineRule="auto"/>
        <w:ind w:left="360" w:hanging="144"/>
      </w:pPr>
      <w:r>
        <w:rPr>
          <w:rFonts w:ascii="Calibri" w:hAnsi="Calibri"/>
          <w:b w:val="0"/>
          <w:i w:val="0"/>
          <w:sz w:val="21"/>
        </w:rPr>
        <w:t>What systems are involved today: email, spreadsheets, EHR, SharePoint, Teams, Power BI, ticketing, or other tools?</w:t>
      </w:r>
    </w:p>
    <w:p>
      <w:pPr>
        <w:pStyle w:val="ListBullet"/>
        <w:spacing w:after="40" w:line="276" w:lineRule="auto"/>
        <w:ind w:left="360" w:hanging="144"/>
      </w:pPr>
      <w:r>
        <w:rPr>
          <w:rFonts w:ascii="Calibri" w:hAnsi="Calibri"/>
          <w:b w:val="0"/>
          <w:i w:val="0"/>
          <w:sz w:val="21"/>
        </w:rPr>
        <w:t>Who would own and maintain the solution after the challenge?</w:t>
      </w:r>
    </w:p>
    <w:p>
      <w:pPr>
        <w:spacing w:before="240" w:after="80"/>
      </w:pPr>
      <w:r>
        <w:rPr>
          <w:rFonts w:ascii="Calibri" w:hAnsi="Calibri"/>
          <w:b/>
          <w:i w:val="0"/>
          <w:color w:val="2E74B5"/>
          <w:sz w:val="29"/>
        </w:rPr>
        <w:t>Volunteer Recommendations</w:t>
      </w:r>
    </w:p>
    <w:p>
      <w:pPr>
        <w:spacing w:before="160" w:after="40"/>
      </w:pPr>
      <w:r>
        <w:rPr>
          <w:rFonts w:ascii="Calibri" w:hAnsi="Calibri"/>
          <w:b/>
          <w:i w:val="0"/>
          <w:color w:val="1F4D78"/>
          <w:sz w:val="23"/>
        </w:rPr>
        <w:t>1. Start with a current-state workflow and data map</w:t>
      </w:r>
    </w:p>
    <w:p>
      <w:pPr>
        <w:spacing w:after="80" w:line="276" w:lineRule="auto"/>
      </w:pPr>
      <w:r>
        <w:rPr>
          <w:rFonts w:ascii="Calibri" w:hAnsi="Calibri"/>
          <w:b w:val="0"/>
          <w:i w:val="0"/>
          <w:sz w:val="21"/>
        </w:rPr>
        <w:t>Map how an incident moves from submission to triage, spreadsheet entry, review, analysis, reporting, action, and closure. Include roles, systems, required fields, rework, and controls.</w:t>
      </w:r>
    </w:p>
    <w:p>
      <w:pPr>
        <w:spacing w:before="160" w:after="40"/>
      </w:pPr>
      <w:r>
        <w:rPr>
          <w:rFonts w:ascii="Calibri" w:hAnsi="Calibri"/>
          <w:b/>
          <w:i w:val="0"/>
          <w:color w:val="1F4D78"/>
          <w:sz w:val="23"/>
        </w:rPr>
        <w:t>2. Separate automation candidates from AI candidates</w:t>
      </w:r>
    </w:p>
    <w:p>
      <w:pPr>
        <w:spacing w:after="80" w:line="276" w:lineRule="auto"/>
      </w:pPr>
      <w:r>
        <w:rPr>
          <w:rFonts w:ascii="Calibri" w:hAnsi="Calibri"/>
          <w:b w:val="0"/>
          <w:i w:val="0"/>
          <w:sz w:val="21"/>
        </w:rPr>
        <w:t>Classify opportunities into process standardization, forms/intake, workflow automation, reporting/BI, and AI-assisted analysis. Many useful improvements may not require generative AI.</w:t>
      </w:r>
    </w:p>
    <w:p>
      <w:pPr>
        <w:spacing w:before="160" w:after="40"/>
      </w:pPr>
      <w:r>
        <w:rPr>
          <w:rFonts w:ascii="Calibri" w:hAnsi="Calibri"/>
          <w:b/>
          <w:i w:val="0"/>
          <w:color w:val="1F4D78"/>
          <w:sz w:val="23"/>
        </w:rPr>
        <w:t>3. Leave McCall with a phased pilot roadmap</w:t>
      </w:r>
    </w:p>
    <w:p>
      <w:pPr>
        <w:spacing w:after="80" w:line="276" w:lineRule="auto"/>
      </w:pPr>
      <w:r>
        <w:rPr>
          <w:rFonts w:ascii="Calibri" w:hAnsi="Calibri"/>
          <w:b w:val="0"/>
          <w:i w:val="0"/>
          <w:sz w:val="21"/>
        </w:rPr>
        <w:t>Recommend a sequenced path: stabilize intake, standardize fields, automate low-risk routing/status steps, improve reporting, then evaluate AI-assisted classification or summarization after governance and data controls are clear.</w:t>
      </w:r>
    </w:p>
    <w:p>
      <w:pPr>
        <w:spacing w:before="240" w:after="80"/>
      </w:pPr>
      <w:r>
        <w:rPr>
          <w:rFonts w:ascii="Calibri" w:hAnsi="Calibri"/>
          <w:b/>
          <w:i w:val="0"/>
          <w:color w:val="2E74B5"/>
          <w:sz w:val="29"/>
        </w:rPr>
        <w:t>Volunteer Alignment</w:t>
      </w:r>
    </w:p>
    <w:tbl>
      <w:tblPr>
        <w:tblW w:type="auto" w:w="0"/>
        <w:jc w:val="center"/>
        <w:tblLayout w:type="fixed"/>
        <w:tblLook w:firstColumn="1" w:firstRow="1" w:lastColumn="0" w:lastRow="0" w:noHBand="0" w:noVBand="1" w:val="04A0"/>
      </w:tblPr>
      <w:tblGrid>
        <w:gridCol w:w="4680"/>
        <w:gridCol w:w="4680"/>
      </w:tblGrid>
      <w:tr>
        <w:tc>
          <w:tcPr>
            <w:tcW w:type="dxa" w:w="3400"/>
            <w:tcMar>
              <w:top w:w="80" w:type="dxa"/>
              <w:start w:w="120" w:type="dxa"/>
              <w:bottom w:w="80" w:type="dxa"/>
              <w:end w:w="120" w:type="dxa"/>
            </w:tcMar>
            <w:shd w:fill="E8EEF5"/>
            <w:vAlign w:val="center"/>
          </w:tcPr>
          <w:p>
            <w:pPr>
              <w:spacing w:after="0"/>
            </w:pPr>
            <w:r>
              <w:rPr>
                <w:rFonts w:ascii="Calibri" w:hAnsi="Calibri"/>
                <w:b/>
                <w:i w:val="0"/>
                <w:color w:val="0B2545"/>
                <w:sz w:val="21"/>
              </w:rPr>
              <w:t>Volunteer Strength</w:t>
            </w:r>
          </w:p>
        </w:tc>
        <w:tc>
          <w:tcPr>
            <w:tcW w:type="dxa" w:w="5960"/>
            <w:tcMar>
              <w:top w:w="80" w:type="dxa"/>
              <w:start w:w="120" w:type="dxa"/>
              <w:bottom w:w="80" w:type="dxa"/>
              <w:end w:w="120" w:type="dxa"/>
            </w:tcMar>
            <w:shd w:fill="E8EEF5"/>
            <w:vAlign w:val="center"/>
          </w:tcPr>
          <w:p>
            <w:pPr>
              <w:spacing w:after="0"/>
            </w:pPr>
            <w:r>
              <w:rPr>
                <w:rFonts w:ascii="Calibri" w:hAnsi="Calibri"/>
                <w:b/>
                <w:i w:val="0"/>
                <w:color w:val="0B2545"/>
                <w:sz w:val="21"/>
              </w:rPr>
              <w:t>How It Serves McCall</w:t>
            </w:r>
          </w:p>
        </w:tc>
      </w:tr>
      <w:tr>
        <w:tc>
          <w:tcPr>
            <w:tcW w:type="dxa" w:w="3400"/>
            <w:tcMar>
              <w:top w:w="80" w:type="dxa"/>
              <w:start w:w="120" w:type="dxa"/>
              <w:bottom w:w="80" w:type="dxa"/>
              <w:end w:w="120" w:type="dxa"/>
            </w:tcMar>
            <w:vAlign w:val="center"/>
          </w:tcPr>
          <w:p>
            <w:pPr>
              <w:spacing w:after="0" w:line="264" w:lineRule="auto"/>
            </w:pPr>
            <w:r>
              <w:rPr>
                <w:rFonts w:ascii="Calibri" w:hAnsi="Calibri"/>
                <w:b w:val="0"/>
                <w:i w:val="0"/>
                <w:sz w:val="19"/>
              </w:rPr>
              <w:t>Process improvement and workflow design</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sz w:val="19"/>
              </w:rPr>
              <w:t>Makes the email-to-spreadsheet process visible and identifies root causes.</w:t>
            </w:r>
          </w:p>
        </w:tc>
      </w:tr>
      <w:tr>
        <w:tc>
          <w:tcPr>
            <w:tcW w:type="dxa" w:w="3400"/>
            <w:tcMar>
              <w:top w:w="80" w:type="dxa"/>
              <w:start w:w="120" w:type="dxa"/>
              <w:bottom w:w="80" w:type="dxa"/>
              <w:end w:w="120" w:type="dxa"/>
            </w:tcMar>
            <w:vAlign w:val="center"/>
          </w:tcPr>
          <w:p>
            <w:pPr>
              <w:spacing w:after="0" w:line="264" w:lineRule="auto"/>
            </w:pPr>
            <w:r>
              <w:rPr>
                <w:rFonts w:ascii="Calibri" w:hAnsi="Calibri"/>
                <w:b w:val="0"/>
                <w:i w:val="0"/>
                <w:sz w:val="19"/>
              </w:rPr>
              <w:t>AI and automation</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sz w:val="19"/>
              </w:rPr>
              <w:t>Distinguishes useful automation from risky or premature AI use.</w:t>
            </w:r>
          </w:p>
        </w:tc>
      </w:tr>
      <w:tr>
        <w:tc>
          <w:tcPr>
            <w:tcW w:type="dxa" w:w="3400"/>
            <w:tcMar>
              <w:top w:w="80" w:type="dxa"/>
              <w:start w:w="120" w:type="dxa"/>
              <w:bottom w:w="80" w:type="dxa"/>
              <w:end w:w="120" w:type="dxa"/>
            </w:tcMar>
            <w:vAlign w:val="center"/>
          </w:tcPr>
          <w:p>
            <w:pPr>
              <w:spacing w:after="0" w:line="264" w:lineRule="auto"/>
            </w:pPr>
            <w:r>
              <w:rPr>
                <w:rFonts w:ascii="Calibri" w:hAnsi="Calibri"/>
                <w:b w:val="0"/>
                <w:i w:val="0"/>
                <w:sz w:val="19"/>
              </w:rPr>
              <w:t>Data analytics and BI</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sz w:val="19"/>
              </w:rPr>
              <w:t>Converts incident data into trends, metrics, and decision-ready reporting.</w:t>
            </w:r>
          </w:p>
        </w:tc>
      </w:tr>
      <w:tr>
        <w:tc>
          <w:tcPr>
            <w:tcW w:type="dxa" w:w="3400"/>
            <w:tcMar>
              <w:top w:w="80" w:type="dxa"/>
              <w:start w:w="120" w:type="dxa"/>
              <w:bottom w:w="80" w:type="dxa"/>
              <w:end w:w="120" w:type="dxa"/>
            </w:tcMar>
            <w:vAlign w:val="center"/>
          </w:tcPr>
          <w:p>
            <w:pPr>
              <w:spacing w:after="0" w:line="264" w:lineRule="auto"/>
            </w:pPr>
            <w:r>
              <w:rPr>
                <w:rFonts w:ascii="Calibri" w:hAnsi="Calibri"/>
                <w:b w:val="0"/>
                <w:i w:val="0"/>
                <w:sz w:val="19"/>
              </w:rPr>
              <w:t>Information security and risk</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sz w:val="19"/>
              </w:rPr>
              <w:t>Protects privacy, access, auditability, retention, and human oversight.</w:t>
            </w:r>
          </w:p>
        </w:tc>
      </w:tr>
      <w:tr>
        <w:tc>
          <w:tcPr>
            <w:tcW w:type="dxa" w:w="3400"/>
            <w:tcMar>
              <w:top w:w="80" w:type="dxa"/>
              <w:start w:w="120" w:type="dxa"/>
              <w:bottom w:w="80" w:type="dxa"/>
              <w:end w:w="120" w:type="dxa"/>
            </w:tcMar>
            <w:vAlign w:val="center"/>
          </w:tcPr>
          <w:p>
            <w:pPr>
              <w:spacing w:after="0" w:line="264" w:lineRule="auto"/>
            </w:pPr>
            <w:r>
              <w:rPr>
                <w:rFonts w:ascii="Calibri" w:hAnsi="Calibri"/>
                <w:b w:val="0"/>
                <w:i w:val="0"/>
                <w:sz w:val="19"/>
              </w:rPr>
              <w:t>Infrastructure and healthcare consulting</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sz w:val="19"/>
              </w:rPr>
              <w:t>Tests whether recommendations fit McCall's real IT setup, support model, and constraints.</w:t>
            </w:r>
          </w:p>
        </w:tc>
      </w:tr>
      <w:tr>
        <w:tc>
          <w:tcPr>
            <w:tcW w:type="dxa" w:w="3400"/>
            <w:tcMar>
              <w:top w:w="80" w:type="dxa"/>
              <w:start w:w="120" w:type="dxa"/>
              <w:bottom w:w="80" w:type="dxa"/>
              <w:end w:w="120" w:type="dxa"/>
            </w:tcMar>
            <w:vAlign w:val="center"/>
          </w:tcPr>
          <w:p>
            <w:pPr>
              <w:spacing w:after="0" w:line="264" w:lineRule="auto"/>
            </w:pPr>
            <w:r>
              <w:rPr>
                <w:rFonts w:ascii="Calibri" w:hAnsi="Calibri"/>
                <w:b w:val="0"/>
                <w:i w:val="0"/>
                <w:sz w:val="19"/>
              </w:rPr>
              <w:t>Change management and UX</w:t>
            </w:r>
          </w:p>
        </w:tc>
        <w:tc>
          <w:tcPr>
            <w:tcW w:type="dxa" w:w="5960"/>
            <w:tcMar>
              <w:top w:w="80" w:type="dxa"/>
              <w:start w:w="120" w:type="dxa"/>
              <w:bottom w:w="80" w:type="dxa"/>
              <w:end w:w="120" w:type="dxa"/>
            </w:tcMar>
            <w:vAlign w:val="center"/>
          </w:tcPr>
          <w:p>
            <w:pPr>
              <w:spacing w:after="0" w:line="264" w:lineRule="auto"/>
            </w:pPr>
            <w:r>
              <w:rPr>
                <w:rFonts w:ascii="Calibri" w:hAnsi="Calibri"/>
                <w:b w:val="0"/>
                <w:i w:val="0"/>
                <w:sz w:val="19"/>
              </w:rPr>
              <w:t>Keeps the future-state process usable for busy staff and sustainable after the sprint.</w:t>
            </w:r>
          </w:p>
        </w:tc>
      </w:tr>
    </w:tbl>
    <w:p>
      <w:pPr>
        <w:spacing w:after="40"/>
      </w:pPr>
    </w:p>
    <w:p>
      <w:pPr>
        <w:spacing w:before="240" w:after="80"/>
      </w:pPr>
      <w:r>
        <w:rPr>
          <w:rFonts w:ascii="Calibri" w:hAnsi="Calibri"/>
          <w:b/>
          <w:i w:val="0"/>
          <w:color w:val="2E74B5"/>
          <w:sz w:val="29"/>
        </w:rPr>
        <w:t>Team Lead Rally Message</w:t>
      </w:r>
    </w:p>
    <w:p>
      <w:pPr>
        <w:spacing w:after="80" w:line="276" w:lineRule="auto"/>
      </w:pPr>
      <w:r>
        <w:rPr>
          <w:rFonts w:ascii="Calibri" w:hAnsi="Calibri"/>
          <w:b w:val="0"/>
          <w:i w:val="0"/>
          <w:sz w:val="21"/>
        </w:rPr>
        <w:t>Lead with the mission before the method. McCall's work is about hope, wellness, healing, connection, and whole-person care. The incident-reporting challenge matters because better quality data can help the organization see patterns, respond faster, reduce staff burden, and protect the people it serves.</w:t>
      </w:r>
    </w:p>
    <w:p>
      <w:pPr>
        <w:spacing w:after="80" w:line="276" w:lineRule="auto"/>
      </w:pPr>
      <w:r>
        <w:rPr>
          <w:rFonts w:ascii="Calibri" w:hAnsi="Calibri"/>
          <w:b w:val="0"/>
          <w:i w:val="0"/>
          <w:sz w:val="21"/>
        </w:rPr>
        <w:t>Recommended opening frame: Our job is not to force an AI solution into McCall's workflow. Our job is to understand how incident reporting affects quality, staff capacity, and client safety, then give McCall practical recommendations they can trust, govern, and maintain.</w:t>
      </w:r>
    </w:p>
    <w:p>
      <w:pPr>
        <w:spacing w:before="240" w:after="80"/>
      </w:pPr>
      <w:r>
        <w:rPr>
          <w:rFonts w:ascii="Calibri" w:hAnsi="Calibri"/>
          <w:b/>
          <w:i w:val="0"/>
          <w:color w:val="2E74B5"/>
          <w:sz w:val="29"/>
        </w:rPr>
        <w:t>Set the Team Up for Success</w:t>
      </w:r>
    </w:p>
    <w:p>
      <w:pPr>
        <w:pStyle w:val="ListBullet"/>
        <w:spacing w:after="40" w:line="276" w:lineRule="auto"/>
        <w:ind w:left="360" w:hanging="144"/>
      </w:pPr>
      <w:r>
        <w:rPr>
          <w:rFonts w:ascii="Calibri" w:hAnsi="Calibri"/>
          <w:b w:val="0"/>
          <w:i w:val="0"/>
          <w:sz w:val="21"/>
        </w:rPr>
        <w:t>Assign each volunteer a listening lane before the connector call: process, data/reporting, AI/automation, security/risk, and technical feasibility.</w:t>
      </w:r>
    </w:p>
    <w:p>
      <w:pPr>
        <w:pStyle w:val="ListBullet"/>
        <w:spacing w:after="40" w:line="276" w:lineRule="auto"/>
        <w:ind w:left="360" w:hanging="144"/>
      </w:pPr>
      <w:r>
        <w:rPr>
          <w:rFonts w:ascii="Calibri" w:hAnsi="Calibri"/>
          <w:b w:val="0"/>
          <w:i w:val="0"/>
          <w:sz w:val="21"/>
        </w:rPr>
        <w:t>Ask everyone to bring two discovery questions and one assumption they want to validate.</w:t>
      </w:r>
    </w:p>
    <w:p>
      <w:pPr>
        <w:pStyle w:val="ListBullet"/>
        <w:spacing w:after="40" w:line="276" w:lineRule="auto"/>
        <w:ind w:left="360" w:hanging="144"/>
      </w:pPr>
      <w:r>
        <w:rPr>
          <w:rFonts w:ascii="Calibri" w:hAnsi="Calibri"/>
          <w:b w:val="0"/>
          <w:i w:val="0"/>
          <w:sz w:val="21"/>
        </w:rPr>
        <w:t>Use a parking lot for attractive ideas that are out of scope or too risky for the sprint.</w:t>
      </w:r>
    </w:p>
    <w:p>
      <w:pPr>
        <w:pStyle w:val="ListBullet"/>
        <w:spacing w:after="40" w:line="276" w:lineRule="auto"/>
        <w:ind w:left="360" w:hanging="144"/>
      </w:pPr>
      <w:r>
        <w:rPr>
          <w:rFonts w:ascii="Calibri" w:hAnsi="Calibri"/>
          <w:b w:val="0"/>
          <w:i w:val="0"/>
          <w:sz w:val="21"/>
        </w:rPr>
        <w:t>Require every recommendation to map to a validated pain point, McCall outcome, owner, dependency, and risk consideration.</w:t>
      </w:r>
    </w:p>
    <w:p>
      <w:pPr>
        <w:pStyle w:val="ListBullet"/>
        <w:spacing w:after="40" w:line="276" w:lineRule="auto"/>
        <w:ind w:left="360" w:hanging="144"/>
      </w:pPr>
      <w:r>
        <w:rPr>
          <w:rFonts w:ascii="Calibri" w:hAnsi="Calibri"/>
          <w:b w:val="0"/>
          <w:i w:val="0"/>
          <w:sz w:val="21"/>
        </w:rPr>
        <w:t>Protect trust: do not request sensitive incident narratives, client identifiers, screenshots with PHI, credentials, or live-system access unless explicitly approved.</w:t>
      </w:r>
    </w:p>
    <w:p>
      <w:pPr>
        <w:pStyle w:val="ListBullet"/>
        <w:spacing w:after="40" w:line="276" w:lineRule="auto"/>
        <w:ind w:left="360" w:hanging="144"/>
      </w:pPr>
      <w:r>
        <w:rPr>
          <w:rFonts w:ascii="Calibri" w:hAnsi="Calibri"/>
          <w:b w:val="0"/>
          <w:i w:val="0"/>
          <w:sz w:val="21"/>
        </w:rPr>
        <w:t>Keep the sprint human-centered: AI should support staff judgment, not replace clinical, compliance, or quality ownership.</w:t>
      </w:r>
    </w:p>
    <w:p>
      <w:pPr>
        <w:spacing w:before="80" w:after="0"/>
      </w:pPr>
      <w:r>
        <w:rPr>
          <w:rFonts w:ascii="Calibri" w:hAnsi="Calibri"/>
          <w:i/>
          <w:sz w:val="17"/>
        </w:rPr>
        <w:t>Source note: Full public source list is included in AGENCY_CHEAT_SHEET.md.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McCall Rapid Impact Challenge | Agency Cheat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