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6841" w14:textId="77777777" w:rsidR="00B113FB" w:rsidRDefault="00B113FB">
      <w:pPr>
        <w:spacing w:before="1200"/>
      </w:pPr>
    </w:p>
    <w:p w14:paraId="13CC6440" w14:textId="77777777" w:rsidR="00B113FB" w:rsidRDefault="00000000">
      <w:pPr>
        <w:spacing w:after="80"/>
        <w:jc w:val="center"/>
      </w:pPr>
      <w:proofErr w:type="spellStart"/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>CloudServe</w:t>
      </w:r>
      <w:proofErr w:type="spellEnd"/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 xml:space="preserve"> Solutions</w:t>
      </w:r>
    </w:p>
    <w:p w14:paraId="232EAE8A" w14:textId="77777777" w:rsidR="00B113FB" w:rsidRDefault="00000000">
      <w:pPr>
        <w:spacing w:after="200"/>
        <w:jc w:val="center"/>
      </w:pPr>
      <w:r>
        <w:rPr>
          <w:rFonts w:ascii="Calibri" w:eastAsia="Calibri" w:hAnsi="Calibri" w:cs="Calibri"/>
          <w:color w:val="1F4E79"/>
          <w:sz w:val="36"/>
          <w:szCs w:val="36"/>
        </w:rPr>
        <w:t>Intelligent Support System</w:t>
      </w:r>
    </w:p>
    <w:p w14:paraId="50EA9BF4" w14:textId="77777777" w:rsidR="00B113FB" w:rsidRDefault="00000000">
      <w:pPr>
        <w:spacing w:after="200"/>
        <w:jc w:val="center"/>
      </w:pPr>
      <w:r>
        <w:rPr>
          <w:color w:val="D6E4F0"/>
          <w:sz w:val="28"/>
          <w:szCs w:val="28"/>
        </w:rPr>
        <w:t>━━━━━━━━━━━━━━━━━━━━━━━━━━━━━━━━━━━━━━━━</w:t>
      </w:r>
    </w:p>
    <w:p w14:paraId="536DC5D8" w14:textId="77777777" w:rsidR="00B113FB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595959"/>
          <w:sz w:val="36"/>
          <w:szCs w:val="36"/>
        </w:rPr>
        <w:t>Effort Log</w:t>
      </w:r>
    </w:p>
    <w:p w14:paraId="354BC005" w14:textId="77777777" w:rsidR="00B113FB" w:rsidRDefault="00000000">
      <w:pPr>
        <w:spacing w:after="80"/>
        <w:jc w:val="center"/>
      </w:pPr>
      <w:r>
        <w:rPr>
          <w:rFonts w:ascii="Calibri" w:eastAsia="Calibri" w:hAnsi="Calibri" w:cs="Calibri"/>
          <w:color w:val="595959"/>
          <w:sz w:val="24"/>
          <w:szCs w:val="24"/>
        </w:rPr>
        <w:t>FDE Capstone Project</w:t>
      </w:r>
    </w:p>
    <w:p w14:paraId="36123D69" w14:textId="5DFBD301" w:rsidR="00B113FB" w:rsidRDefault="00000000">
      <w:pPr>
        <w:spacing w:after="80"/>
        <w:jc w:val="center"/>
      </w:pPr>
      <w:r>
        <w:rPr>
          <w:rFonts w:ascii="Calibri" w:eastAsia="Calibri" w:hAnsi="Calibri" w:cs="Calibri"/>
          <w:color w:val="595959"/>
          <w:sz w:val="24"/>
          <w:szCs w:val="24"/>
        </w:rPr>
        <w:t>Guru</w:t>
      </w:r>
      <w:r w:rsidR="00307672">
        <w:rPr>
          <w:rFonts w:ascii="Calibri" w:eastAsia="Calibri" w:hAnsi="Calibri" w:cs="Calibri"/>
          <w:color w:val="595959"/>
          <w:sz w:val="24"/>
          <w:szCs w:val="24"/>
        </w:rPr>
        <w:t xml:space="preserve">nanje </w:t>
      </w:r>
      <w:r>
        <w:rPr>
          <w:rFonts w:ascii="Calibri" w:eastAsia="Calibri" w:hAnsi="Calibri" w:cs="Calibri"/>
          <w:color w:val="595959"/>
          <w:sz w:val="24"/>
          <w:szCs w:val="24"/>
        </w:rPr>
        <w:t xml:space="preserve"> Wodeyar</w:t>
      </w:r>
    </w:p>
    <w:p w14:paraId="74CAA475" w14:textId="77777777" w:rsidR="00B113FB" w:rsidRDefault="00000000">
      <w:pPr>
        <w:spacing w:after="8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>Sprint Window: September 2 – September 15, 2026</w:t>
      </w:r>
    </w:p>
    <w:p w14:paraId="1D140901" w14:textId="77777777" w:rsidR="00B113FB" w:rsidRDefault="00000000">
      <w:pPr>
        <w:spacing w:after="1200"/>
        <w:jc w:val="center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Total Effort: 84+ hours</w:t>
      </w:r>
    </w:p>
    <w:p w14:paraId="24AA1F71" w14:textId="77777777" w:rsidR="00B113FB" w:rsidRDefault="00000000">
      <w:r>
        <w:br w:type="page"/>
      </w:r>
    </w:p>
    <w:p w14:paraId="2D84EEBF" w14:textId="77777777" w:rsidR="00B113FB" w:rsidRDefault="00000000">
      <w:pPr>
        <w:pStyle w:val="Heading1"/>
        <w:pBdr>
          <w:bottom w:val="single" w:sz="6" w:space="0" w:color="1F4E79"/>
        </w:pBdr>
        <w:spacing w:before="360" w:after="20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1. Project Overview</w:t>
      </w:r>
    </w:p>
    <w:p w14:paraId="5FC7CDCE" w14:textId="77777777" w:rsidR="00B113FB" w:rsidRDefault="00000000">
      <w:pPr>
        <w:spacing w:after="12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This effort log documents the daily work, decisions, and blockers encountered while building the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CloudServe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Intelligent Support System for the FDE Capstone Project. The system is an AI-powered customer support pipeline that automatically classifies, retrieves relevant documentation, and generates cited responses for support tickets.</w:t>
      </w:r>
    </w:p>
    <w:p w14:paraId="0F2F4F6D" w14:textId="77777777" w:rsidR="00B113FB" w:rsidRDefault="00000000">
      <w:pPr>
        <w:spacing w:after="12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The project was executed solo over a 14-day sprint (September 2–15, 2026). Total effort invested is 84+ hours across discovery, requirements, architecture, implementation, testing, evaluation, monitoring, and documentation.</w:t>
      </w:r>
    </w:p>
    <w:p w14:paraId="2506B82E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1.1 Capacity and Actuals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3360"/>
      </w:tblGrid>
      <w:tr w:rsidR="00B113FB" w14:paraId="09DA6F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vAlign w:val="center"/>
          </w:tcPr>
          <w:p w14:paraId="0DD47D4D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Period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2BD7BC7B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Planned Hours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0E66756E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Actual Hours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BB3C006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B113FB" w14:paraId="3AC663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BF2CE12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Week 1 (Sep 2–6)</w:t>
            </w:r>
          </w:p>
        </w:tc>
        <w:tc>
          <w:tcPr>
            <w:tcW w:w="1800" w:type="dxa"/>
            <w:vAlign w:val="center"/>
          </w:tcPr>
          <w:p w14:paraId="4CD857F6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~30</w:t>
            </w:r>
          </w:p>
        </w:tc>
        <w:tc>
          <w:tcPr>
            <w:tcW w:w="1800" w:type="dxa"/>
            <w:vAlign w:val="center"/>
          </w:tcPr>
          <w:p w14:paraId="22B366E3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3360" w:type="dxa"/>
            <w:vAlign w:val="center"/>
          </w:tcPr>
          <w:p w14:paraId="577EE93B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Discovery + requirements + core modules</w:t>
            </w:r>
          </w:p>
        </w:tc>
      </w:tr>
      <w:tr w:rsidR="00B113FB" w14:paraId="0D6AB5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vAlign w:val="center"/>
          </w:tcPr>
          <w:p w14:paraId="67DCB699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Week 2 (Sep 7–13)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1955F0D0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~50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11041E40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48</w:t>
            </w:r>
          </w:p>
        </w:tc>
        <w:tc>
          <w:tcPr>
            <w:tcW w:w="3360" w:type="dxa"/>
            <w:shd w:val="clear" w:color="auto" w:fill="F2F2F2"/>
            <w:vAlign w:val="center"/>
          </w:tcPr>
          <w:p w14:paraId="66094A0D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Full build, evaluation, monitoring, docs</w:t>
            </w:r>
          </w:p>
        </w:tc>
      </w:tr>
      <w:tr w:rsidR="00B113FB" w14:paraId="24579E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1C2EFF5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Week 3 (Sep 14–15)</w:t>
            </w:r>
          </w:p>
        </w:tc>
        <w:tc>
          <w:tcPr>
            <w:tcW w:w="1800" w:type="dxa"/>
            <w:vAlign w:val="center"/>
          </w:tcPr>
          <w:p w14:paraId="3E7C63C5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~10</w:t>
            </w:r>
          </w:p>
        </w:tc>
        <w:tc>
          <w:tcPr>
            <w:tcW w:w="1800" w:type="dxa"/>
            <w:vAlign w:val="center"/>
          </w:tcPr>
          <w:p w14:paraId="450C4745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3360" w:type="dxa"/>
            <w:vAlign w:val="center"/>
          </w:tcPr>
          <w:p w14:paraId="0316FF95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Eval run attempt + report expansion + submission</w:t>
            </w:r>
          </w:p>
        </w:tc>
      </w:tr>
      <w:tr w:rsidR="00B113FB" w14:paraId="68C5F7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vAlign w:val="center"/>
          </w:tcPr>
          <w:p w14:paraId="506CE2AD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Total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7C40D811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~90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5EAE007B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84+</w:t>
            </w:r>
          </w:p>
        </w:tc>
        <w:tc>
          <w:tcPr>
            <w:tcW w:w="3360" w:type="dxa"/>
            <w:shd w:val="clear" w:color="auto" w:fill="F2F2F2"/>
            <w:vAlign w:val="center"/>
          </w:tcPr>
          <w:p w14:paraId="545555B6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Solo developer, full-time focus</w:t>
            </w:r>
          </w:p>
        </w:tc>
      </w:tr>
    </w:tbl>
    <w:p w14:paraId="0DB838D8" w14:textId="77777777" w:rsidR="00B113FB" w:rsidRDefault="00000000">
      <w:r>
        <w:br w:type="page"/>
      </w:r>
    </w:p>
    <w:p w14:paraId="6F6979E7" w14:textId="77777777" w:rsidR="00B113FB" w:rsidRDefault="00000000">
      <w:pPr>
        <w:pStyle w:val="Heading1"/>
        <w:pBdr>
          <w:bottom w:val="single" w:sz="6" w:space="0" w:color="1F4E79"/>
        </w:pBdr>
        <w:spacing w:before="360" w:after="20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2. Daily Effort Log</w:t>
      </w:r>
    </w:p>
    <w:p w14:paraId="3C767F0A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1: Sep 2 (Tue)</w:t>
      </w:r>
    </w:p>
    <w:p w14:paraId="28F480AB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4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B-01</w:t>
      </w:r>
    </w:p>
    <w:p w14:paraId="46F8F863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Initial project scaffold: config module, pipeline stubs, data directory with 500 dev tickets + 80 validation tickets, CI workflow file, evaluation harness entry point. Set up Python 3.10+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venv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, installed all dependencies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langchain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chromadb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pydantic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).</w:t>
      </w:r>
    </w:p>
    <w:p w14:paraId="585DC6C1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23c0bb3 — Initial project scaffold</w:t>
      </w:r>
    </w:p>
    <w:p w14:paraId="209EBD52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548235"/>
          <w:sz w:val="22"/>
          <w:szCs w:val="22"/>
        </w:rPr>
        <w:t xml:space="preserve">Blockers: </w:t>
      </w:r>
      <w:r>
        <w:rPr>
          <w:rFonts w:ascii="Calibri" w:eastAsia="Calibri" w:hAnsi="Calibri" w:cs="Calibri"/>
          <w:color w:val="333333"/>
          <w:sz w:val="22"/>
          <w:szCs w:val="22"/>
        </w:rPr>
        <w:t>None</w:t>
      </w:r>
    </w:p>
    <w:p w14:paraId="04D1B927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2: Sep 3 (Wed)</w:t>
      </w:r>
    </w:p>
    <w:p w14:paraId="7CB8AFC8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5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B-02</w:t>
      </w:r>
    </w:p>
    <w:p w14:paraId="543C88B6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>Built ingest module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/ingest.py):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Pydantic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-based ticket normalisation for all 4 channels (email, chat, phone, portal).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StandardTicket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model with ground-truth label separation. Wrote 20 unit tests covering channel normalisation, missing fields, edge cases. All tests passing.</w:t>
      </w:r>
    </w:p>
    <w:p w14:paraId="31558E1A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 xml:space="preserve">d8166fb — Implement ingest module with </w:t>
      </w:r>
      <w:proofErr w:type="spellStart"/>
      <w:r>
        <w:rPr>
          <w:rFonts w:ascii="Calibri" w:eastAsia="Calibri" w:hAnsi="Calibri" w:cs="Calibri"/>
          <w:color w:val="595959"/>
        </w:rPr>
        <w:t>Pydantic</w:t>
      </w:r>
      <w:proofErr w:type="spellEnd"/>
      <w:r>
        <w:rPr>
          <w:rFonts w:ascii="Calibri" w:eastAsia="Calibri" w:hAnsi="Calibri" w:cs="Calibri"/>
          <w:color w:val="595959"/>
        </w:rPr>
        <w:t xml:space="preserve"> validation</w:t>
      </w:r>
    </w:p>
    <w:p w14:paraId="3A394912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548235"/>
          <w:sz w:val="22"/>
          <w:szCs w:val="22"/>
        </w:rPr>
        <w:t xml:space="preserve">Blockers: </w:t>
      </w:r>
      <w:r>
        <w:rPr>
          <w:rFonts w:ascii="Calibri" w:eastAsia="Calibri" w:hAnsi="Calibri" w:cs="Calibri"/>
          <w:color w:val="333333"/>
          <w:sz w:val="22"/>
          <w:szCs w:val="22"/>
        </w:rPr>
        <w:t>None</w:t>
      </w:r>
    </w:p>
    <w:p w14:paraId="42B51846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3: Sep 4 (Thu)</w:t>
      </w:r>
    </w:p>
    <w:p w14:paraId="3870FC03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6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B-06 (partial)</w:t>
      </w:r>
    </w:p>
    <w:p w14:paraId="6180DCF9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>Stage 1 Discovery Workbook completed and submitted. Began data analysis script for ticket distribution across channels, intents, and urgency levels.</w:t>
      </w:r>
    </w:p>
    <w:p w14:paraId="27AA2D27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f5570c5 — Add Stage 1 Discovery Workbook and data analysis script</w:t>
      </w:r>
    </w:p>
    <w:p w14:paraId="4692EBD6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548235"/>
          <w:sz w:val="22"/>
          <w:szCs w:val="22"/>
        </w:rPr>
        <w:t xml:space="preserve">Blockers: </w:t>
      </w:r>
      <w:r>
        <w:rPr>
          <w:rFonts w:ascii="Calibri" w:eastAsia="Calibri" w:hAnsi="Calibri" w:cs="Calibri"/>
          <w:color w:val="333333"/>
          <w:sz w:val="22"/>
          <w:szCs w:val="22"/>
        </w:rPr>
        <w:t>None</w:t>
      </w:r>
    </w:p>
    <w:p w14:paraId="0D6E5334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4: Sep 5 (Fri)</w:t>
      </w:r>
    </w:p>
    <w:p w14:paraId="5C7A98ED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B-06</w:t>
      </w:r>
    </w:p>
    <w:p w14:paraId="6649AE49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>Stage 2 PRD v1 written. Built classifier module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/classify.py): LLM-based intent classification (22 categories) + urgency (low/medium/high) with confidence scores. Structured JSON output parsing. 20 unit tests with mocked LLM. Initial evaluation on 22-ticket sample — 86.4% intent accuracy. Stage 3 Prompt Library workbook v1 with classification prompt (PR-01).</w:t>
      </w:r>
    </w:p>
    <w:p w14:paraId="33B01FD4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e4e8c33 — Add Stage 2 PRD, classify module, tests; 7ea8269 — Add Stage 3 Prompt Library v1</w:t>
      </w:r>
    </w:p>
    <w:p w14:paraId="06C1E4C8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548235"/>
          <w:sz w:val="22"/>
          <w:szCs w:val="22"/>
        </w:rPr>
        <w:t xml:space="preserve">Blockers: </w:t>
      </w:r>
      <w:r>
        <w:rPr>
          <w:rFonts w:ascii="Calibri" w:eastAsia="Calibri" w:hAnsi="Calibri" w:cs="Calibri"/>
          <w:color w:val="333333"/>
          <w:sz w:val="22"/>
          <w:szCs w:val="22"/>
        </w:rPr>
        <w:t>None</w:t>
      </w:r>
    </w:p>
    <w:p w14:paraId="57727B30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5: Sep 6 (Sat)</w:t>
      </w:r>
    </w:p>
    <w:p w14:paraId="5DECB28F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—</w:t>
      </w:r>
    </w:p>
    <w:p w14:paraId="5C8AF4C9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PRD revision: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model llama-3.1-8b-instant became unavailable on free tier. Researched alternatives, switched to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qwen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/qwen3.8-27b. Made model configurable via .env (GROQ_MODEL). Documented as REV-01 in PRD v2.</w:t>
      </w:r>
    </w:p>
    <w:p w14:paraId="59DD9EE1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(work folded into Sep 7 commit)</w:t>
      </w:r>
    </w:p>
    <w:p w14:paraId="2625121B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lastRenderedPageBreak/>
        <w:t xml:space="preserve">Blockers: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REV-01: LLM model unavailability on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free tier. Resolved by switching model.</w:t>
      </w:r>
    </w:p>
    <w:p w14:paraId="77344CA7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6: Sep 7 (Sun)</w:t>
      </w:r>
    </w:p>
    <w:p w14:paraId="2C6DA160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10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B-03, B-04, B-05, B-07, B-08, B-09, B-10</w:t>
      </w:r>
    </w:p>
    <w:p w14:paraId="04D49959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>Major build day — completed 7 backlog items. Retrieval module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/retrieve.py): document chunking for 29 articles, Chroma vector store with all-MiniLM-L6-v2 embeddings, semantic search with relevance scoring. 13 tests. Route module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/route.py): threshold-based routing with MNR rules for 4 protected intents, confidence threshold at 0.80. 18 tests. Generation module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/generate.py): LLM-based cited answer generation. 26 tests. Guardrails module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/guardrails.py): 5 validation checks (citation, URLs, PII, length, footer). 34 tests. Pipeline orchestration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/pipeline.py):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LangGraph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StateGraph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with conditional edges. Decision logging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/logging_store.py): SQLite-backed decision log with 14-field schema. 13 tests. PRD v2 committed.</w:t>
      </w:r>
    </w:p>
    <w:p w14:paraId="6B0BAB05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ad03809 — Retrieve + Route; dc0d575 — Generate; 1aeb90a — Guardrails; ff59ff0 — Decision logging; b7e966f — PRD v2</w:t>
      </w:r>
    </w:p>
    <w:p w14:paraId="39ACC7CB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Blockers: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ChromaDB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version incompatibility (REV-02) — resolved with broad exception catch in test cleanup.</w:t>
      </w:r>
    </w:p>
    <w:p w14:paraId="34797CA8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7: Sep 8 (Mon)</w:t>
      </w:r>
    </w:p>
    <w:p w14:paraId="33AFFE91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B-11, B-12</w:t>
      </w:r>
    </w:p>
    <w:p w14:paraId="01C5C9BC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>Evaluation harness (evaluation_harness.py): full pipeline execution for batch ticket processing with error isolation (NFR-02), exponential backoff for rate limits, progress logging. Ran first dev batch evaluation. Classifier v2: improved intent classification with heuristics and procedure-vs-mystery framework. Monitoring module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/monitoring.py): metrics computation from evaluation JSON.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Streamlit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dashboard (legacy, later replaced). Commands reference doc.</w:t>
      </w:r>
    </w:p>
    <w:p w14:paraId="1BD8E899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85e7dec — Classifier v2; cc9e75b — Monitoring, dashboard, commands</w:t>
      </w:r>
    </w:p>
    <w:p w14:paraId="6B5FEB02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Blockers: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Rate limiting on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free tier — evaluation runs slow (~1 ticket/min). Backoff logic added.</w:t>
      </w:r>
    </w:p>
    <w:p w14:paraId="59C789C3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8: Sep 9 (Tue)</w:t>
      </w:r>
    </w:p>
    <w:p w14:paraId="56FCD62E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7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B-13, B-14</w:t>
      </w:r>
    </w:p>
    <w:p w14:paraId="3CB18278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>GitHub Actions CI pipeline (.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github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/workflows/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ci.yml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): runs full 157-test suite on every push. Fairness audit module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/fairness_audit.py): bias detection across customer tiers for routing and response quality. Code quality: fixed all lint/format issues across the codebase. Stage 4 Sprint Plan v1 and Stage 5 PRD v2 documents written and submitted.</w:t>
      </w:r>
    </w:p>
    <w:p w14:paraId="00E714AF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29586b5 — Stage 4 + Stage 5 docs; 2fe489d — CI pipeline, fairness audit, lint fixes</w:t>
      </w:r>
    </w:p>
    <w:p w14:paraId="3C111DF2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548235"/>
          <w:sz w:val="22"/>
          <w:szCs w:val="22"/>
        </w:rPr>
        <w:t xml:space="preserve">Blockers: </w:t>
      </w:r>
      <w:r>
        <w:rPr>
          <w:rFonts w:ascii="Calibri" w:eastAsia="Calibri" w:hAnsi="Calibri" w:cs="Calibri"/>
          <w:color w:val="333333"/>
          <w:sz w:val="22"/>
          <w:szCs w:val="22"/>
        </w:rPr>
        <w:t>None</w:t>
      </w:r>
    </w:p>
    <w:p w14:paraId="77B6925F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9: Sep 10 (Wed)</w:t>
      </w:r>
    </w:p>
    <w:p w14:paraId="321A3A6D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B-11 (continued)</w:t>
      </w:r>
    </w:p>
    <w:p w14:paraId="33404170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Ran full validation set (80 tickets) through evaluation harness — 57/80 succeeded, 23 lost to rate limits (429 errors). Added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OpenRouter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as primary LLM provider alongside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fallback. Updated config module for dual-provider support. Prompt registry (prompts/README.md) with full </w:t>
      </w:r>
      <w:r>
        <w:rPr>
          <w:rFonts w:ascii="Calibri" w:eastAsia="Calibri" w:hAnsi="Calibri" w:cs="Calibri"/>
          <w:color w:val="333333"/>
          <w:sz w:val="22"/>
          <w:szCs w:val="22"/>
        </w:rPr>
        <w:lastRenderedPageBreak/>
        <w:t>traceability. README.md rewrite for actual tech stack (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LangChain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LangGraph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OpenRouter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, correct commands). Analysed validation results: 96.5% intent, 73.7% route, 40.4% urgency, 100% MNR.</w:t>
      </w:r>
    </w:p>
    <w:p w14:paraId="431B375C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be76616 — Prompt registry, README update</w:t>
      </w:r>
    </w:p>
    <w:p w14:paraId="06279DD1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Blockers: </w:t>
      </w:r>
      <w:r>
        <w:rPr>
          <w:rFonts w:ascii="Calibri" w:eastAsia="Calibri" w:hAnsi="Calibri" w:cs="Calibri"/>
          <w:color w:val="333333"/>
          <w:sz w:val="22"/>
          <w:szCs w:val="22"/>
        </w:rPr>
        <w:t>Rate limits: 23/80 validation tickets lost to 429 errors despite backoff. Free tier constraint.</w:t>
      </w:r>
    </w:p>
    <w:p w14:paraId="38DE02CA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10: Sep 11 (Thu)</w:t>
      </w:r>
    </w:p>
    <w:p w14:paraId="381DCB23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9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B-12 (enhanced), B-15 (partial)</w:t>
      </w:r>
    </w:p>
    <w:p w14:paraId="6A06C9B1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Migrated monitoring from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Streamlit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to Prometheus + Grafana. Created docker-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compose.monitoring.yml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Prometheus scrape config (2s interval), 3 alert rules (error rate &gt;10%, guardrail failures &gt;20%, rate limit spikes). Full Prometheus client instrumentation in src/metrics.py (Counters, Histograms, Gauges for all pipeline stages).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/metrics endpoint. Grafana with pre-provisioned dashboard. Enhanced monitoring.py with 4 new metric functions: latency percentiles, retrieval quality, confidence calibration (ECE), per-intent precision/recall/F1. Improved urgency classification prompt with detailed criteria, examples, and anti-pattern guidance. README updated for monitoring stack. Evaluation report (12-page DOCX) written.</w:t>
      </w:r>
    </w:p>
    <w:p w14:paraId="21746C2F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2b743bd — README for Prometheus + Grafana; 3e0cc26 — Evaluation report</w:t>
      </w:r>
    </w:p>
    <w:p w14:paraId="0A671B99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548235"/>
          <w:sz w:val="22"/>
          <w:szCs w:val="22"/>
        </w:rPr>
        <w:t xml:space="preserve">Blockers: </w:t>
      </w:r>
      <w:r>
        <w:rPr>
          <w:rFonts w:ascii="Calibri" w:eastAsia="Calibri" w:hAnsi="Calibri" w:cs="Calibri"/>
          <w:color w:val="333333"/>
          <w:sz w:val="22"/>
          <w:szCs w:val="22"/>
        </w:rPr>
        <w:t>None</w:t>
      </w:r>
    </w:p>
    <w:p w14:paraId="309A6BDD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11: Sep 12–13</w:t>
      </w:r>
    </w:p>
    <w:p w14:paraId="2F28C85D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6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—</w:t>
      </w:r>
    </w:p>
    <w:p w14:paraId="4A9B71C6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>Prompt tuning iterations. Test maintenance. Documentation review and cleanup.</w:t>
      </w:r>
    </w:p>
    <w:p w14:paraId="4868988A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(incremental)</w:t>
      </w:r>
    </w:p>
    <w:p w14:paraId="6FB0B747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548235"/>
          <w:sz w:val="22"/>
          <w:szCs w:val="22"/>
        </w:rPr>
        <w:t xml:space="preserve">Blockers: </w:t>
      </w:r>
      <w:r>
        <w:rPr>
          <w:rFonts w:ascii="Calibri" w:eastAsia="Calibri" w:hAnsi="Calibri" w:cs="Calibri"/>
          <w:color w:val="333333"/>
          <w:sz w:val="22"/>
          <w:szCs w:val="22"/>
        </w:rPr>
        <w:t>None</w:t>
      </w:r>
    </w:p>
    <w:p w14:paraId="69741421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12: Sep 14 (Sun)</w:t>
      </w:r>
    </w:p>
    <w:p w14:paraId="25352136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6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B-15</w:t>
      </w:r>
    </w:p>
    <w:p w14:paraId="0247EBB0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Attempted full 500-ticket evaluation run with rate-limit breaks. Hit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daily token limit (200K TPD) at ticket ~155 after ~4 hours.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OpenRouter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also rate-limited. Stopped evaluation run. Effort log created as 8-page DOCX with full daily entries, backlog completion, blockers, and lessons learned. Evaluation report (12-page initial version) committed to docs/.</w:t>
      </w:r>
    </w:p>
    <w:p w14:paraId="1C2974F7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Effort log + evaluation report committed to docs/</w:t>
      </w:r>
    </w:p>
    <w:p w14:paraId="7D78D9C8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Blockers: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200K TPD daily cap — hard limit, not burstable. Cannot complete 500-ticket run on free tier in a single day.</w:t>
      </w:r>
    </w:p>
    <w:p w14:paraId="2047CB63" w14:textId="77777777" w:rsidR="00B113FB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Day 13: Sep 15 (Mon)</w:t>
      </w:r>
    </w:p>
    <w:p w14:paraId="7D526702" w14:textId="77777777" w:rsidR="00B113FB" w:rsidRDefault="00000000">
      <w:pPr>
        <w:spacing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Hours: </w:t>
      </w:r>
      <w:r>
        <w:rPr>
          <w:rFonts w:ascii="Calibri" w:eastAsia="Calibri" w:hAnsi="Calibri" w:cs="Calibri"/>
          <w:color w:val="333333"/>
          <w:sz w:val="22"/>
          <w:szCs w:val="22"/>
        </w:rPr>
        <w:t>5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   |    Backlog items: </w:t>
      </w:r>
      <w:r>
        <w:rPr>
          <w:rFonts w:ascii="Calibri" w:eastAsia="Calibri" w:hAnsi="Calibri" w:cs="Calibri"/>
          <w:color w:val="333333"/>
          <w:sz w:val="22"/>
          <w:szCs w:val="22"/>
        </w:rPr>
        <w:t>B-15</w:t>
      </w:r>
    </w:p>
    <w:p w14:paraId="5D46B3F5" w14:textId="77777777" w:rsidR="00B113FB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Work completed: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Expanded evaluation report from 12 to 35 pages using all available evaluation data (120 dev-500 + 36 dev-50 + 20 dev-20 + 57 validation = 233 total tickets). Added per-intent P/R/F1 tables, urgency confusion matrices for both runs, detailed routing error analysis with root-cause (answerability under-prediction), retrieval relevance score analysis, guardrail per-check breakdown, </w:t>
      </w:r>
      <w:r>
        <w:rPr>
          <w:rFonts w:ascii="Calibri" w:eastAsia="Calibri" w:hAnsi="Calibri" w:cs="Calibri"/>
          <w:color w:val="333333"/>
          <w:sz w:val="22"/>
          <w:szCs w:val="22"/>
        </w:rPr>
        <w:lastRenderedPageBreak/>
        <w:t>confidence calibration (ECE = 0.0053), 3 sample ticket walkthroughs, cross-run consistency table, and two appendices (validation per-intent results, validation route errors). Updated effort log with Sep 14-15 entries. Final submission packaging.</w:t>
      </w:r>
    </w:p>
    <w:p w14:paraId="7C729E22" w14:textId="77777777" w:rsidR="00B113FB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Commits: </w:t>
      </w:r>
      <w:r>
        <w:rPr>
          <w:rFonts w:ascii="Calibri" w:eastAsia="Calibri" w:hAnsi="Calibri" w:cs="Calibri"/>
          <w:color w:val="595959"/>
        </w:rPr>
        <w:t>Final evaluation report + effort log update</w:t>
      </w:r>
    </w:p>
    <w:p w14:paraId="54298047" w14:textId="77777777" w:rsidR="00B113FB" w:rsidRDefault="00000000">
      <w:pPr>
        <w:spacing w:after="20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Blockers: </w:t>
      </w:r>
      <w:r>
        <w:rPr>
          <w:rFonts w:ascii="Calibri" w:eastAsia="Calibri" w:hAnsi="Calibri" w:cs="Calibri"/>
          <w:color w:val="333333"/>
          <w:sz w:val="22"/>
          <w:szCs w:val="22"/>
        </w:rPr>
        <w:t>None — submission day</w:t>
      </w:r>
    </w:p>
    <w:p w14:paraId="572AFC6F" w14:textId="77777777" w:rsidR="00B113FB" w:rsidRDefault="00000000">
      <w:r>
        <w:br w:type="page"/>
      </w:r>
    </w:p>
    <w:p w14:paraId="27230398" w14:textId="77777777" w:rsidR="00B113FB" w:rsidRDefault="00000000">
      <w:pPr>
        <w:pStyle w:val="Heading1"/>
        <w:pBdr>
          <w:bottom w:val="single" w:sz="6" w:space="0" w:color="1F4E79"/>
        </w:pBdr>
        <w:spacing w:before="360" w:after="20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3. Backlog Item Completion</w:t>
      </w:r>
    </w:p>
    <w:p w14:paraId="054DACD3" w14:textId="77777777" w:rsidR="00B113FB" w:rsidRDefault="00000000">
      <w:pPr>
        <w:spacing w:after="12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>Status of all backlog items from the Sprint Plan (Stage 4):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800"/>
        <w:gridCol w:w="900"/>
        <w:gridCol w:w="1260"/>
        <w:gridCol w:w="2800"/>
      </w:tblGrid>
      <w:tr w:rsidR="00B113FB" w14:paraId="386D9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4E79"/>
            <w:vAlign w:val="center"/>
          </w:tcPr>
          <w:p w14:paraId="0FEBBC86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shd w:val="clear" w:color="auto" w:fill="1F4E79"/>
            <w:vAlign w:val="center"/>
          </w:tcPr>
          <w:p w14:paraId="61AC180D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800" w:type="dxa"/>
            <w:shd w:val="clear" w:color="auto" w:fill="1F4E79"/>
            <w:vAlign w:val="center"/>
          </w:tcPr>
          <w:p w14:paraId="22238D7B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Est.</w:t>
            </w:r>
          </w:p>
        </w:tc>
        <w:tc>
          <w:tcPr>
            <w:tcW w:w="900" w:type="dxa"/>
            <w:shd w:val="clear" w:color="auto" w:fill="1F4E79"/>
            <w:vAlign w:val="center"/>
          </w:tcPr>
          <w:p w14:paraId="48F76A98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Actual</w:t>
            </w:r>
          </w:p>
        </w:tc>
        <w:tc>
          <w:tcPr>
            <w:tcW w:w="1260" w:type="dxa"/>
            <w:shd w:val="clear" w:color="auto" w:fill="1F4E79"/>
            <w:vAlign w:val="center"/>
          </w:tcPr>
          <w:p w14:paraId="56C12AED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2800" w:type="dxa"/>
            <w:shd w:val="clear" w:color="auto" w:fill="1F4E79"/>
            <w:vAlign w:val="center"/>
          </w:tcPr>
          <w:p w14:paraId="4B989A8B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Day</w:t>
            </w:r>
          </w:p>
        </w:tc>
      </w:tr>
      <w:tr w:rsidR="00B113FB" w14:paraId="104938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5F00882F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B-01</w:t>
            </w:r>
          </w:p>
        </w:tc>
        <w:tc>
          <w:tcPr>
            <w:tcW w:w="2800" w:type="dxa"/>
            <w:vAlign w:val="center"/>
          </w:tcPr>
          <w:p w14:paraId="32754CB1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Environment + dependency setup</w:t>
            </w:r>
          </w:p>
        </w:tc>
        <w:tc>
          <w:tcPr>
            <w:tcW w:w="800" w:type="dxa"/>
            <w:vAlign w:val="center"/>
          </w:tcPr>
          <w:p w14:paraId="590BDF11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2h</w:t>
            </w:r>
          </w:p>
        </w:tc>
        <w:tc>
          <w:tcPr>
            <w:tcW w:w="900" w:type="dxa"/>
            <w:vAlign w:val="center"/>
          </w:tcPr>
          <w:p w14:paraId="377974EE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2h</w:t>
            </w:r>
          </w:p>
        </w:tc>
        <w:tc>
          <w:tcPr>
            <w:tcW w:w="1260" w:type="dxa"/>
            <w:vAlign w:val="center"/>
          </w:tcPr>
          <w:p w14:paraId="49879B90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vAlign w:val="center"/>
          </w:tcPr>
          <w:p w14:paraId="7267B9A1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2</w:t>
            </w:r>
          </w:p>
        </w:tc>
      </w:tr>
      <w:tr w:rsidR="00B113FB" w14:paraId="667731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vAlign w:val="center"/>
          </w:tcPr>
          <w:p w14:paraId="64196AB5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B-02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3E1F8BB4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Data loading + normalisation (Ingest)</w:t>
            </w:r>
          </w:p>
        </w:tc>
        <w:tc>
          <w:tcPr>
            <w:tcW w:w="800" w:type="dxa"/>
            <w:shd w:val="clear" w:color="auto" w:fill="F2F2F2"/>
            <w:vAlign w:val="center"/>
          </w:tcPr>
          <w:p w14:paraId="5B3F4C16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4h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2656BDB6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5h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68B8C129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12D73E21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3</w:t>
            </w:r>
          </w:p>
        </w:tc>
      </w:tr>
      <w:tr w:rsidR="00B113FB" w14:paraId="5DA5DA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05B6FB4D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B-03</w:t>
            </w:r>
          </w:p>
        </w:tc>
        <w:tc>
          <w:tcPr>
            <w:tcW w:w="2800" w:type="dxa"/>
            <w:vAlign w:val="center"/>
          </w:tcPr>
          <w:p w14:paraId="57D37357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Document chunking + embedding</w:t>
            </w:r>
          </w:p>
        </w:tc>
        <w:tc>
          <w:tcPr>
            <w:tcW w:w="800" w:type="dxa"/>
            <w:vAlign w:val="center"/>
          </w:tcPr>
          <w:p w14:paraId="65FCBD8D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4h</w:t>
            </w:r>
          </w:p>
        </w:tc>
        <w:tc>
          <w:tcPr>
            <w:tcW w:w="900" w:type="dxa"/>
            <w:vAlign w:val="center"/>
          </w:tcPr>
          <w:p w14:paraId="2C00A81C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3h</w:t>
            </w:r>
          </w:p>
        </w:tc>
        <w:tc>
          <w:tcPr>
            <w:tcW w:w="1260" w:type="dxa"/>
            <w:vAlign w:val="center"/>
          </w:tcPr>
          <w:p w14:paraId="303E0481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vAlign w:val="center"/>
          </w:tcPr>
          <w:p w14:paraId="563F8388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7</w:t>
            </w:r>
          </w:p>
        </w:tc>
      </w:tr>
      <w:tr w:rsidR="00B113FB" w14:paraId="148945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vAlign w:val="center"/>
          </w:tcPr>
          <w:p w14:paraId="3ECA1DB0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B-04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6AE1B4C3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Vector store + retrieval (Retrieve)</w:t>
            </w:r>
          </w:p>
        </w:tc>
        <w:tc>
          <w:tcPr>
            <w:tcW w:w="800" w:type="dxa"/>
            <w:shd w:val="clear" w:color="auto" w:fill="F2F2F2"/>
            <w:vAlign w:val="center"/>
          </w:tcPr>
          <w:p w14:paraId="6FE09625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4h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15ED0CA5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3h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420ACB84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332E5BEC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7</w:t>
            </w:r>
          </w:p>
        </w:tc>
      </w:tr>
      <w:tr w:rsidR="00B113FB" w14:paraId="527E6A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7148885D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B-05</w:t>
            </w:r>
          </w:p>
        </w:tc>
        <w:tc>
          <w:tcPr>
            <w:tcW w:w="2800" w:type="dxa"/>
            <w:vAlign w:val="center"/>
          </w:tcPr>
          <w:p w14:paraId="06A45A64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Pipeline orchestration (</w:t>
            </w:r>
            <w:proofErr w:type="spellStart"/>
            <w:r>
              <w:rPr>
                <w:rFonts w:ascii="Calibri" w:eastAsia="Calibri" w:hAnsi="Calibri" w:cs="Calibri"/>
              </w:rPr>
              <w:t>LangGraph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800" w:type="dxa"/>
            <w:vAlign w:val="center"/>
          </w:tcPr>
          <w:p w14:paraId="6A2C5284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5h</w:t>
            </w:r>
          </w:p>
        </w:tc>
        <w:tc>
          <w:tcPr>
            <w:tcW w:w="900" w:type="dxa"/>
            <w:vAlign w:val="center"/>
          </w:tcPr>
          <w:p w14:paraId="416687E4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4h</w:t>
            </w:r>
          </w:p>
        </w:tc>
        <w:tc>
          <w:tcPr>
            <w:tcW w:w="1260" w:type="dxa"/>
            <w:vAlign w:val="center"/>
          </w:tcPr>
          <w:p w14:paraId="15780BEC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vAlign w:val="center"/>
          </w:tcPr>
          <w:p w14:paraId="396E2B43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7</w:t>
            </w:r>
          </w:p>
        </w:tc>
      </w:tr>
      <w:tr w:rsidR="00B113FB" w14:paraId="71B693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vAlign w:val="center"/>
          </w:tcPr>
          <w:p w14:paraId="56CC77CD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B-06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7D1CD5DA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Intent + urgency classifier</w:t>
            </w:r>
          </w:p>
        </w:tc>
        <w:tc>
          <w:tcPr>
            <w:tcW w:w="800" w:type="dxa"/>
            <w:shd w:val="clear" w:color="auto" w:fill="F2F2F2"/>
            <w:vAlign w:val="center"/>
          </w:tcPr>
          <w:p w14:paraId="5644F8FD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6h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2F10F839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8h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390F7547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21130514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4–5</w:t>
            </w:r>
          </w:p>
        </w:tc>
      </w:tr>
      <w:tr w:rsidR="00B113FB" w14:paraId="5DC30D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0441A6AC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B-07</w:t>
            </w:r>
          </w:p>
        </w:tc>
        <w:tc>
          <w:tcPr>
            <w:tcW w:w="2800" w:type="dxa"/>
            <w:vAlign w:val="center"/>
          </w:tcPr>
          <w:p w14:paraId="65A3B646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Routing logic</w:t>
            </w:r>
          </w:p>
        </w:tc>
        <w:tc>
          <w:tcPr>
            <w:tcW w:w="800" w:type="dxa"/>
            <w:vAlign w:val="center"/>
          </w:tcPr>
          <w:p w14:paraId="5494988F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3h</w:t>
            </w:r>
          </w:p>
        </w:tc>
        <w:tc>
          <w:tcPr>
            <w:tcW w:w="900" w:type="dxa"/>
            <w:vAlign w:val="center"/>
          </w:tcPr>
          <w:p w14:paraId="63AD8CD3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2h</w:t>
            </w:r>
          </w:p>
        </w:tc>
        <w:tc>
          <w:tcPr>
            <w:tcW w:w="1260" w:type="dxa"/>
            <w:vAlign w:val="center"/>
          </w:tcPr>
          <w:p w14:paraId="1400638E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vAlign w:val="center"/>
          </w:tcPr>
          <w:p w14:paraId="6DF7FD73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7</w:t>
            </w:r>
          </w:p>
        </w:tc>
      </w:tr>
      <w:tr w:rsidR="00B113FB" w14:paraId="501972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vAlign w:val="center"/>
          </w:tcPr>
          <w:p w14:paraId="1EF64AF8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B-08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69A6D479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Answer generation with citations</w:t>
            </w:r>
          </w:p>
        </w:tc>
        <w:tc>
          <w:tcPr>
            <w:tcW w:w="800" w:type="dxa"/>
            <w:shd w:val="clear" w:color="auto" w:fill="F2F2F2"/>
            <w:vAlign w:val="center"/>
          </w:tcPr>
          <w:p w14:paraId="403211A1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5h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5BDB2800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3h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019A7207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1D152AD8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7</w:t>
            </w:r>
          </w:p>
        </w:tc>
      </w:tr>
      <w:tr w:rsidR="00B113FB" w14:paraId="0FD55E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7B39D418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B-09</w:t>
            </w:r>
          </w:p>
        </w:tc>
        <w:tc>
          <w:tcPr>
            <w:tcW w:w="2800" w:type="dxa"/>
            <w:vAlign w:val="center"/>
          </w:tcPr>
          <w:p w14:paraId="748AA409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Guardrails module (5 checks)</w:t>
            </w:r>
          </w:p>
        </w:tc>
        <w:tc>
          <w:tcPr>
            <w:tcW w:w="800" w:type="dxa"/>
            <w:vAlign w:val="center"/>
          </w:tcPr>
          <w:p w14:paraId="05C3EF46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4h</w:t>
            </w:r>
          </w:p>
        </w:tc>
        <w:tc>
          <w:tcPr>
            <w:tcW w:w="900" w:type="dxa"/>
            <w:vAlign w:val="center"/>
          </w:tcPr>
          <w:p w14:paraId="48BF099A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3h</w:t>
            </w:r>
          </w:p>
        </w:tc>
        <w:tc>
          <w:tcPr>
            <w:tcW w:w="1260" w:type="dxa"/>
            <w:vAlign w:val="center"/>
          </w:tcPr>
          <w:p w14:paraId="63E0231F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vAlign w:val="center"/>
          </w:tcPr>
          <w:p w14:paraId="28B055B9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7</w:t>
            </w:r>
          </w:p>
        </w:tc>
      </w:tr>
      <w:tr w:rsidR="00B113FB" w14:paraId="50AF89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vAlign w:val="center"/>
          </w:tcPr>
          <w:p w14:paraId="0798C727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B-10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0B1CCFAE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Decision logging (SQLite)</w:t>
            </w:r>
          </w:p>
        </w:tc>
        <w:tc>
          <w:tcPr>
            <w:tcW w:w="800" w:type="dxa"/>
            <w:shd w:val="clear" w:color="auto" w:fill="F2F2F2"/>
            <w:vAlign w:val="center"/>
          </w:tcPr>
          <w:p w14:paraId="6B57F5A3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3h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28776D98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2h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08B431F8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03EDB118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7</w:t>
            </w:r>
          </w:p>
        </w:tc>
      </w:tr>
      <w:tr w:rsidR="00B113FB" w14:paraId="391C66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79393FFE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B-11</w:t>
            </w:r>
          </w:p>
        </w:tc>
        <w:tc>
          <w:tcPr>
            <w:tcW w:w="2800" w:type="dxa"/>
            <w:vAlign w:val="center"/>
          </w:tcPr>
          <w:p w14:paraId="2458E218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Evaluation harness (FR-09)</w:t>
            </w:r>
          </w:p>
        </w:tc>
        <w:tc>
          <w:tcPr>
            <w:tcW w:w="800" w:type="dxa"/>
            <w:vAlign w:val="center"/>
          </w:tcPr>
          <w:p w14:paraId="00E67F13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4h</w:t>
            </w:r>
          </w:p>
        </w:tc>
        <w:tc>
          <w:tcPr>
            <w:tcW w:w="900" w:type="dxa"/>
            <w:vAlign w:val="center"/>
          </w:tcPr>
          <w:p w14:paraId="25A5B2E7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6h</w:t>
            </w:r>
          </w:p>
        </w:tc>
        <w:tc>
          <w:tcPr>
            <w:tcW w:w="1260" w:type="dxa"/>
            <w:vAlign w:val="center"/>
          </w:tcPr>
          <w:p w14:paraId="60CD07D5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vAlign w:val="center"/>
          </w:tcPr>
          <w:p w14:paraId="34B25966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8–10</w:t>
            </w:r>
          </w:p>
        </w:tc>
      </w:tr>
      <w:tr w:rsidR="00B113FB" w14:paraId="744577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vAlign w:val="center"/>
          </w:tcPr>
          <w:p w14:paraId="11871C84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B-12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075DB897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Monitoring + observability</w:t>
            </w:r>
          </w:p>
        </w:tc>
        <w:tc>
          <w:tcPr>
            <w:tcW w:w="800" w:type="dxa"/>
            <w:shd w:val="clear" w:color="auto" w:fill="F2F2F2"/>
            <w:vAlign w:val="center"/>
          </w:tcPr>
          <w:p w14:paraId="317F3B05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2h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7907F133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8h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40BD2F2F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34C7E914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8–11</w:t>
            </w:r>
          </w:p>
        </w:tc>
      </w:tr>
      <w:tr w:rsidR="00B113FB" w14:paraId="3E2AEF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27FE0F40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B-13</w:t>
            </w:r>
          </w:p>
        </w:tc>
        <w:tc>
          <w:tcPr>
            <w:tcW w:w="2800" w:type="dxa"/>
            <w:vAlign w:val="center"/>
          </w:tcPr>
          <w:p w14:paraId="589BDB19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CI pipeline (GitHub Actions)</w:t>
            </w:r>
          </w:p>
        </w:tc>
        <w:tc>
          <w:tcPr>
            <w:tcW w:w="800" w:type="dxa"/>
            <w:vAlign w:val="center"/>
          </w:tcPr>
          <w:p w14:paraId="6E31278B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2h</w:t>
            </w:r>
          </w:p>
        </w:tc>
        <w:tc>
          <w:tcPr>
            <w:tcW w:w="900" w:type="dxa"/>
            <w:vAlign w:val="center"/>
          </w:tcPr>
          <w:p w14:paraId="6EC6FB0D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2h</w:t>
            </w:r>
          </w:p>
        </w:tc>
        <w:tc>
          <w:tcPr>
            <w:tcW w:w="1260" w:type="dxa"/>
            <w:vAlign w:val="center"/>
          </w:tcPr>
          <w:p w14:paraId="629A0FCA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vAlign w:val="center"/>
          </w:tcPr>
          <w:p w14:paraId="4B5CB224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9</w:t>
            </w:r>
          </w:p>
        </w:tc>
      </w:tr>
      <w:tr w:rsidR="00B113FB" w14:paraId="360D18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vAlign w:val="center"/>
          </w:tcPr>
          <w:p w14:paraId="102AA60E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B-14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4F311517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Fairness audit</w:t>
            </w:r>
          </w:p>
        </w:tc>
        <w:tc>
          <w:tcPr>
            <w:tcW w:w="800" w:type="dxa"/>
            <w:shd w:val="clear" w:color="auto" w:fill="F2F2F2"/>
            <w:vAlign w:val="center"/>
          </w:tcPr>
          <w:p w14:paraId="2903016D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3h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735A85EA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3h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72D0619C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Done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3F3D8466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9</w:t>
            </w:r>
          </w:p>
        </w:tc>
      </w:tr>
      <w:tr w:rsidR="00B113FB" w14:paraId="11D4F1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2F621ECC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B-15</w:t>
            </w:r>
          </w:p>
        </w:tc>
        <w:tc>
          <w:tcPr>
            <w:tcW w:w="2800" w:type="dxa"/>
            <w:vAlign w:val="center"/>
          </w:tcPr>
          <w:p w14:paraId="624435EC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Report, video, submission</w:t>
            </w:r>
          </w:p>
        </w:tc>
        <w:tc>
          <w:tcPr>
            <w:tcW w:w="800" w:type="dxa"/>
            <w:vAlign w:val="center"/>
          </w:tcPr>
          <w:p w14:paraId="6DD59951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6h</w:t>
            </w:r>
          </w:p>
        </w:tc>
        <w:tc>
          <w:tcPr>
            <w:tcW w:w="900" w:type="dxa"/>
            <w:vAlign w:val="center"/>
          </w:tcPr>
          <w:p w14:paraId="3667988F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In progress</w:t>
            </w:r>
          </w:p>
        </w:tc>
        <w:tc>
          <w:tcPr>
            <w:tcW w:w="1260" w:type="dxa"/>
            <w:vAlign w:val="center"/>
          </w:tcPr>
          <w:p w14:paraId="3F548196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In progress</w:t>
            </w:r>
          </w:p>
        </w:tc>
        <w:tc>
          <w:tcPr>
            <w:tcW w:w="2800" w:type="dxa"/>
            <w:vAlign w:val="center"/>
          </w:tcPr>
          <w:p w14:paraId="27FC36F4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Sep 11–15</w:t>
            </w:r>
          </w:p>
        </w:tc>
      </w:tr>
    </w:tbl>
    <w:p w14:paraId="314F0F6A" w14:textId="77777777" w:rsidR="00B113FB" w:rsidRDefault="00B113FB">
      <w:pPr>
        <w:spacing w:after="200"/>
      </w:pPr>
    </w:p>
    <w:p w14:paraId="410F1978" w14:textId="77777777" w:rsidR="00B113FB" w:rsidRDefault="00000000">
      <w:pPr>
        <w:spacing w:after="120" w:line="276" w:lineRule="auto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Estimate accuracy: The original estimate for remaining work was 45 hours. Actual effort was approximately 84+ hours including discovery, requirements phases, and scope expansion (Prometheus + Grafana migration, enhanced monitoring metrics, multiple evaluation runs). The monitoring module (B-12) required significantly more effort than estimated due to the migration from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Streamlit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to a production-grade Prometheus + Grafana stack.</w:t>
      </w:r>
    </w:p>
    <w:p w14:paraId="7B50E0C4" w14:textId="77777777" w:rsidR="00B113FB" w:rsidRDefault="00000000">
      <w:pPr>
        <w:pStyle w:val="Heading1"/>
        <w:pBdr>
          <w:bottom w:val="single" w:sz="6" w:space="0" w:color="1F4E79"/>
        </w:pBdr>
        <w:spacing w:before="360" w:after="20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4. Blockers and Resolutions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1800"/>
        <w:gridCol w:w="2400"/>
        <w:gridCol w:w="1760"/>
      </w:tblGrid>
      <w:tr w:rsidR="00B113FB" w14:paraId="360B2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vAlign w:val="center"/>
          </w:tcPr>
          <w:p w14:paraId="68CBA6AD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67C63534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Blocker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39F3FD7C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Impact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60503F9C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Resolution</w:t>
            </w:r>
          </w:p>
        </w:tc>
        <w:tc>
          <w:tcPr>
            <w:tcW w:w="1760" w:type="dxa"/>
            <w:shd w:val="clear" w:color="auto" w:fill="1F4E79"/>
            <w:vAlign w:val="center"/>
          </w:tcPr>
          <w:p w14:paraId="01A51B0B" w14:textId="77777777" w:rsidR="00B113FB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Time Lost</w:t>
            </w:r>
          </w:p>
        </w:tc>
      </w:tr>
      <w:tr w:rsidR="00B113FB" w14:paraId="763273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63EBC956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Sep 6</w:t>
            </w:r>
          </w:p>
        </w:tc>
        <w:tc>
          <w:tcPr>
            <w:tcW w:w="2400" w:type="dxa"/>
            <w:vAlign w:val="center"/>
          </w:tcPr>
          <w:p w14:paraId="6797DBEE" w14:textId="77777777" w:rsidR="00B113FB" w:rsidRDefault="00000000">
            <w:pPr>
              <w:spacing w:before="30" w:after="30"/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Groq</w:t>
            </w:r>
            <w:proofErr w:type="spellEnd"/>
            <w:r>
              <w:rPr>
                <w:rFonts w:ascii="Calibri" w:eastAsia="Calibri" w:hAnsi="Calibri" w:cs="Calibri"/>
              </w:rPr>
              <w:t xml:space="preserve"> model (llama-3.1-8b-instant) unavailable on free tier</w:t>
            </w:r>
          </w:p>
        </w:tc>
        <w:tc>
          <w:tcPr>
            <w:tcW w:w="1800" w:type="dxa"/>
            <w:vAlign w:val="center"/>
          </w:tcPr>
          <w:p w14:paraId="47DD24AF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Classification and generation blocked</w:t>
            </w:r>
          </w:p>
        </w:tc>
        <w:tc>
          <w:tcPr>
            <w:tcW w:w="2400" w:type="dxa"/>
            <w:vAlign w:val="center"/>
          </w:tcPr>
          <w:p w14:paraId="09D524A5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 xml:space="preserve">Switched to </w:t>
            </w:r>
            <w:proofErr w:type="spellStart"/>
            <w:r>
              <w:rPr>
                <w:rFonts w:ascii="Calibri" w:eastAsia="Calibri" w:hAnsi="Calibri" w:cs="Calibri"/>
              </w:rPr>
              <w:t>qwen</w:t>
            </w:r>
            <w:proofErr w:type="spellEnd"/>
            <w:r>
              <w:rPr>
                <w:rFonts w:ascii="Calibri" w:eastAsia="Calibri" w:hAnsi="Calibri" w:cs="Calibri"/>
              </w:rPr>
              <w:t>/qwen3.8-27b; made model configurable via .env</w:t>
            </w:r>
          </w:p>
        </w:tc>
        <w:tc>
          <w:tcPr>
            <w:tcW w:w="1760" w:type="dxa"/>
            <w:vAlign w:val="center"/>
          </w:tcPr>
          <w:p w14:paraId="50EB83F7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~2h</w:t>
            </w:r>
          </w:p>
        </w:tc>
      </w:tr>
      <w:tr w:rsidR="00B113FB" w14:paraId="01679E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vAlign w:val="center"/>
          </w:tcPr>
          <w:p w14:paraId="0878392C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Sep 7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073601AA" w14:textId="77777777" w:rsidR="00B113FB" w:rsidRDefault="00000000">
            <w:pPr>
              <w:spacing w:before="30" w:after="30"/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ChromaDB</w:t>
            </w:r>
            <w:proofErr w:type="spellEnd"/>
            <w:r>
              <w:rPr>
                <w:rFonts w:ascii="Calibri" w:eastAsia="Calibri" w:hAnsi="Calibri" w:cs="Calibri"/>
              </w:rPr>
              <w:t xml:space="preserve"> version incompatibility (</w:t>
            </w:r>
            <w:proofErr w:type="spellStart"/>
            <w:r>
              <w:rPr>
                <w:rFonts w:ascii="Calibri" w:eastAsia="Calibri" w:hAnsi="Calibri" w:cs="Calibri"/>
              </w:rPr>
              <w:t>delete_collection</w:t>
            </w:r>
            <w:proofErr w:type="spellEnd"/>
            <w:r>
              <w:rPr>
                <w:rFonts w:ascii="Calibri" w:eastAsia="Calibri" w:hAnsi="Calibri" w:cs="Calibri"/>
              </w:rPr>
              <w:t xml:space="preserve"> raises different exceptions)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3DEA7E78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Test cleanup failed across environments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6802A5C5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Broad exception catch for test cleanup only (not production)</w:t>
            </w:r>
          </w:p>
        </w:tc>
        <w:tc>
          <w:tcPr>
            <w:tcW w:w="1760" w:type="dxa"/>
            <w:shd w:val="clear" w:color="auto" w:fill="F2F2F2"/>
            <w:vAlign w:val="center"/>
          </w:tcPr>
          <w:p w14:paraId="489E7126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&lt;1h</w:t>
            </w:r>
          </w:p>
        </w:tc>
      </w:tr>
      <w:tr w:rsidR="00B113FB" w14:paraId="26B95C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F4938BF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Sep 8–10</w:t>
            </w:r>
          </w:p>
        </w:tc>
        <w:tc>
          <w:tcPr>
            <w:tcW w:w="2400" w:type="dxa"/>
            <w:vAlign w:val="center"/>
          </w:tcPr>
          <w:p w14:paraId="3712F63E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Rate limiting (429) on free-tier LLM providers</w:t>
            </w:r>
          </w:p>
        </w:tc>
        <w:tc>
          <w:tcPr>
            <w:tcW w:w="1800" w:type="dxa"/>
            <w:vAlign w:val="center"/>
          </w:tcPr>
          <w:p w14:paraId="6D7D7B77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23/80 validation tickets lost; slow eval runs (~1 ticket/min)</w:t>
            </w:r>
          </w:p>
        </w:tc>
        <w:tc>
          <w:tcPr>
            <w:tcW w:w="2400" w:type="dxa"/>
            <w:vAlign w:val="center"/>
          </w:tcPr>
          <w:p w14:paraId="01F6875C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 xml:space="preserve">Added exponential backoff; added </w:t>
            </w:r>
            <w:proofErr w:type="spellStart"/>
            <w:r>
              <w:rPr>
                <w:rFonts w:ascii="Calibri" w:eastAsia="Calibri" w:hAnsi="Calibri" w:cs="Calibri"/>
              </w:rPr>
              <w:t>OpenRouter</w:t>
            </w:r>
            <w:proofErr w:type="spellEnd"/>
            <w:r>
              <w:rPr>
                <w:rFonts w:ascii="Calibri" w:eastAsia="Calibri" w:hAnsi="Calibri" w:cs="Calibri"/>
              </w:rPr>
              <w:t xml:space="preserve"> as secondary provider</w:t>
            </w:r>
          </w:p>
        </w:tc>
        <w:tc>
          <w:tcPr>
            <w:tcW w:w="1760" w:type="dxa"/>
            <w:vAlign w:val="center"/>
          </w:tcPr>
          <w:p w14:paraId="69B3831A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~4h</w:t>
            </w:r>
          </w:p>
        </w:tc>
      </w:tr>
      <w:tr w:rsidR="00B113FB" w14:paraId="44514E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vAlign w:val="center"/>
          </w:tcPr>
          <w:p w14:paraId="301EAC76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lastRenderedPageBreak/>
              <w:t>Sep 11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23CAFE6A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Git CRLF warnings + data/lock permission denied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3D8EF04A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git add failed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2FA5212C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Added data/lock to .</w:t>
            </w:r>
            <w:proofErr w:type="spellStart"/>
            <w:r>
              <w:rPr>
                <w:rFonts w:ascii="Calibri" w:eastAsia="Calibri" w:hAnsi="Calibri" w:cs="Calibri"/>
              </w:rPr>
              <w:t>gitignore</w:t>
            </w:r>
            <w:proofErr w:type="spellEnd"/>
            <w:r>
              <w:rPr>
                <w:rFonts w:ascii="Calibri" w:eastAsia="Calibri" w:hAnsi="Calibri" w:cs="Calibri"/>
              </w:rPr>
              <w:t xml:space="preserve">; configured </w:t>
            </w:r>
            <w:proofErr w:type="spellStart"/>
            <w:r>
              <w:rPr>
                <w:rFonts w:ascii="Calibri" w:eastAsia="Calibri" w:hAnsi="Calibri" w:cs="Calibri"/>
              </w:rPr>
              <w:t>core.autocrlf</w:t>
            </w:r>
            <w:proofErr w:type="spellEnd"/>
          </w:p>
        </w:tc>
        <w:tc>
          <w:tcPr>
            <w:tcW w:w="1760" w:type="dxa"/>
            <w:shd w:val="clear" w:color="auto" w:fill="F2F2F2"/>
            <w:vAlign w:val="center"/>
          </w:tcPr>
          <w:p w14:paraId="6CF66A1A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&lt;0.5h</w:t>
            </w:r>
          </w:p>
        </w:tc>
      </w:tr>
      <w:tr w:rsidR="00B113FB" w14:paraId="60FDB6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7E3C4880" w14:textId="77777777" w:rsidR="00B113FB" w:rsidRDefault="00000000">
            <w:pPr>
              <w:spacing w:before="30" w:after="30"/>
            </w:pPr>
            <w:r>
              <w:rPr>
                <w:rFonts w:ascii="Calibri" w:eastAsia="Calibri" w:hAnsi="Calibri" w:cs="Calibri"/>
              </w:rPr>
              <w:t>Sep 14</w:t>
            </w:r>
          </w:p>
        </w:tc>
        <w:tc>
          <w:tcPr>
            <w:tcW w:w="2400" w:type="dxa"/>
            <w:vAlign w:val="center"/>
          </w:tcPr>
          <w:p w14:paraId="69B660D1" w14:textId="77777777" w:rsidR="00B113FB" w:rsidRDefault="00000000">
            <w:pPr>
              <w:spacing w:before="30" w:after="30"/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Groq</w:t>
            </w:r>
            <w:proofErr w:type="spellEnd"/>
            <w:r>
              <w:rPr>
                <w:rFonts w:ascii="Calibri" w:eastAsia="Calibri" w:hAnsi="Calibri" w:cs="Calibri"/>
              </w:rPr>
              <w:t xml:space="preserve"> daily token cap (200K TPD) hit at ticket ~155/500</w:t>
            </w:r>
          </w:p>
        </w:tc>
        <w:tc>
          <w:tcPr>
            <w:tcW w:w="1800" w:type="dxa"/>
            <w:vAlign w:val="center"/>
          </w:tcPr>
          <w:p w14:paraId="14AD17C2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Cannot complete 500-ticket run in a single day on free tier</w:t>
            </w:r>
          </w:p>
        </w:tc>
        <w:tc>
          <w:tcPr>
            <w:tcW w:w="2400" w:type="dxa"/>
            <w:vAlign w:val="center"/>
          </w:tcPr>
          <w:p w14:paraId="4F751B2F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Used existing 120-result run from Sep 8 + 57-result validation run for report</w:t>
            </w:r>
          </w:p>
        </w:tc>
        <w:tc>
          <w:tcPr>
            <w:tcW w:w="1760" w:type="dxa"/>
            <w:vAlign w:val="center"/>
          </w:tcPr>
          <w:p w14:paraId="5AA0AC45" w14:textId="77777777" w:rsidR="00B113FB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</w:rPr>
              <w:t>~4h</w:t>
            </w:r>
          </w:p>
        </w:tc>
      </w:tr>
    </w:tbl>
    <w:p w14:paraId="005D60C2" w14:textId="77777777" w:rsidR="00B113FB" w:rsidRDefault="00000000">
      <w:r>
        <w:br w:type="page"/>
      </w:r>
    </w:p>
    <w:p w14:paraId="19559A7E" w14:textId="77777777" w:rsidR="00B113FB" w:rsidRDefault="00000000">
      <w:pPr>
        <w:pStyle w:val="Heading1"/>
        <w:pBdr>
          <w:bottom w:val="single" w:sz="6" w:space="0" w:color="1F4E79"/>
        </w:pBdr>
        <w:spacing w:before="360" w:after="20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5. Key Technical Decisions</w:t>
      </w:r>
    </w:p>
    <w:p w14:paraId="0414871B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proofErr w:type="spell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LangGraph</w:t>
      </w:r>
      <w:proofErr w:type="spellEnd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 over simple sequential pipeline: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StateGraph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with conditional edges allows escalated tickets to skip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generate+validate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stages. Adds architectural clarity and matches the real-world branching logic.</w:t>
      </w:r>
    </w:p>
    <w:p w14:paraId="228FC28D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Dual LLM provider (</w:t>
      </w:r>
      <w:proofErr w:type="spell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OpenRouter</w:t>
      </w:r>
      <w:proofErr w:type="spellEnd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):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After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Groq's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model availability issues, added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OpenRouter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as primary with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Groq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as fallback. Both use Llama 3.1 8B to keep results comparable.</w:t>
      </w:r>
    </w:p>
    <w:p w14:paraId="0027598C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Chroma over FAISS: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LangChain's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Chroma integration is simpler for the 29-document knowledge base. FAISS would be overkill and harder to debug.</w:t>
      </w:r>
    </w:p>
    <w:p w14:paraId="00A31001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Prometheus + Grafana over </w:t>
      </w:r>
      <w:proofErr w:type="spell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Streamlit</w:t>
      </w:r>
      <w:proofErr w:type="spellEnd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Initially built a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Streamlit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dashboard but migrated to Prometheus + Grafana for production-grade observability. The /metrics endpoint integrates with industry-standard tooling.</w:t>
      </w:r>
    </w:p>
    <w:p w14:paraId="0AA99610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5 guardrail checks with blocking semantics: </w:t>
      </w:r>
      <w:r>
        <w:rPr>
          <w:rFonts w:ascii="Calibri" w:eastAsia="Calibri" w:hAnsi="Calibri" w:cs="Calibri"/>
          <w:color w:val="333333"/>
          <w:sz w:val="22"/>
          <w:szCs w:val="22"/>
        </w:rPr>
        <w:t>Any single check failure blocks the response. This is intentionally conservative — false negatives (sending a bad response) are worse than false positives (escalating an answerable ticket).</w:t>
      </w:r>
    </w:p>
    <w:p w14:paraId="26EE9F4B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Urgency prompt rewrite over model change: </w:t>
      </w:r>
      <w:r>
        <w:rPr>
          <w:rFonts w:ascii="Calibri" w:eastAsia="Calibri" w:hAnsi="Calibri" w:cs="Calibri"/>
          <w:color w:val="333333"/>
          <w:sz w:val="22"/>
          <w:szCs w:val="22"/>
        </w:rPr>
        <w:t>Urgency accuracy is low (30–40%), but the fix is better prompt engineering, not a different model. The classifier works well for intent; urgency needs more granular criteria.</w:t>
      </w:r>
    </w:p>
    <w:p w14:paraId="2B61D73D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SQLite for decision log: </w:t>
      </w:r>
      <w:r>
        <w:rPr>
          <w:rFonts w:ascii="Calibri" w:eastAsia="Calibri" w:hAnsi="Calibri" w:cs="Calibri"/>
          <w:color w:val="333333"/>
          <w:sz w:val="22"/>
          <w:szCs w:val="22"/>
        </w:rPr>
        <w:t>Lightweight, zero-config, and sufficient for the audit trail. Every pipeline decision is logged with 14 fields for post-hoc analysis.</w:t>
      </w:r>
    </w:p>
    <w:p w14:paraId="638B1494" w14:textId="77777777" w:rsidR="00B113FB" w:rsidRDefault="00000000">
      <w:pPr>
        <w:pStyle w:val="Heading1"/>
        <w:pBdr>
          <w:bottom w:val="single" w:sz="6" w:space="0" w:color="1F4E79"/>
        </w:pBdr>
        <w:spacing w:before="360" w:after="20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6. Lessons Learned</w:t>
      </w:r>
    </w:p>
    <w:p w14:paraId="69A14E4D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Free-tier rate limits dominate evaluation time: </w:t>
      </w:r>
      <w:r>
        <w:rPr>
          <w:rFonts w:ascii="Calibri" w:eastAsia="Calibri" w:hAnsi="Calibri" w:cs="Calibri"/>
          <w:color w:val="333333"/>
          <w:sz w:val="22"/>
          <w:szCs w:val="22"/>
        </w:rPr>
        <w:t>The 23/80 validation failure rate was the biggest friction point. Building the backoff logic early and planning runs with breaks would have saved time.</w:t>
      </w:r>
    </w:p>
    <w:p w14:paraId="6C45C653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Urgency is fundamentally harder than intent: </w:t>
      </w:r>
      <w:r>
        <w:rPr>
          <w:rFonts w:ascii="Calibri" w:eastAsia="Calibri" w:hAnsi="Calibri" w:cs="Calibri"/>
          <w:color w:val="333333"/>
          <w:sz w:val="22"/>
          <w:szCs w:val="22"/>
        </w:rPr>
        <w:t>Intent has clear lexical signals; urgency requires understanding business impact, which the LLM interprets through topic keywords instead. This was not obvious from the PRD.</w:t>
      </w:r>
    </w:p>
    <w:p w14:paraId="4BD63CA3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Test-driven development paid off: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157 tests caught regressions immediately when changing the classifier prompt, switching LLM providers, or refactoring the pipeline. The investment in mocking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LangChain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calls was worth it.</w:t>
      </w:r>
    </w:p>
    <w:p w14:paraId="74E11500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Monitoring scope expanded significantly: </w:t>
      </w:r>
      <w:r>
        <w:rPr>
          <w:rFonts w:ascii="Calibri" w:eastAsia="Calibri" w:hAnsi="Calibri" w:cs="Calibri"/>
          <w:color w:val="333333"/>
          <w:sz w:val="22"/>
          <w:szCs w:val="22"/>
        </w:rPr>
        <w:t>What started as 'add basic metrics' grew into full Prometheus instrumentation, Grafana dashboards, alert rules, and an enhanced offline metrics module. This was the right call for production-readiness but consumed 4x the estimated time.</w:t>
      </w:r>
    </w:p>
    <w:p w14:paraId="79EF8E64" w14:textId="77777777" w:rsidR="00B113FB" w:rsidRDefault="0000000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Start evaluation runs early: </w:t>
      </w:r>
      <w:r>
        <w:rPr>
          <w:rFonts w:ascii="Calibri" w:eastAsia="Calibri" w:hAnsi="Calibri" w:cs="Calibri"/>
          <w:color w:val="333333"/>
          <w:sz w:val="22"/>
          <w:szCs w:val="22"/>
        </w:rPr>
        <w:t>Each 500-ticket run takes 8+ hours on a free tier. Starting the first full run on Day 4 (as planned) was critical — it revealed the urgency problem and rate-limit constraints while there was still time to address them.</w:t>
      </w:r>
    </w:p>
    <w:sectPr w:rsidR="00B113F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FF740" w14:textId="77777777" w:rsidR="007365F1" w:rsidRDefault="007365F1">
      <w:r>
        <w:separator/>
      </w:r>
    </w:p>
  </w:endnote>
  <w:endnote w:type="continuationSeparator" w:id="0">
    <w:p w14:paraId="7B727F40" w14:textId="77777777" w:rsidR="007365F1" w:rsidRDefault="00736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61E1" w14:textId="77777777" w:rsidR="00B113FB" w:rsidRDefault="00000000">
    <w:pPr>
      <w:jc w:val="center"/>
    </w:pPr>
    <w:r>
      <w:rPr>
        <w:rFonts w:ascii="Calibri" w:eastAsia="Calibri" w:hAnsi="Calibri" w:cs="Calibri"/>
        <w:color w:val="595959"/>
        <w:sz w:val="18"/>
        <w:szCs w:val="18"/>
      </w:rPr>
      <w:t xml:space="preserve">Page </w:t>
    </w: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PAGE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307672">
      <w:rPr>
        <w:rFonts w:ascii="Calibri" w:eastAsia="Calibri" w:hAnsi="Calibri" w:cs="Calibri"/>
        <w:noProof/>
        <w:color w:val="595959"/>
        <w:sz w:val="18"/>
        <w:szCs w:val="18"/>
      </w:rPr>
      <w:t>1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79CC7" w14:textId="77777777" w:rsidR="007365F1" w:rsidRDefault="007365F1">
      <w:r>
        <w:separator/>
      </w:r>
    </w:p>
  </w:footnote>
  <w:footnote w:type="continuationSeparator" w:id="0">
    <w:p w14:paraId="1E01BEBC" w14:textId="77777777" w:rsidR="007365F1" w:rsidRDefault="00736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A3990" w14:textId="77777777" w:rsidR="00B113FB" w:rsidRDefault="00000000">
    <w:pPr>
      <w:pBdr>
        <w:bottom w:val="single" w:sz="3" w:space="0" w:color="D6E4F0"/>
      </w:pBdr>
      <w:jc w:val="right"/>
    </w:pPr>
    <w:proofErr w:type="spellStart"/>
    <w:r>
      <w:rPr>
        <w:rFonts w:ascii="Calibri" w:eastAsia="Calibri" w:hAnsi="Calibri" w:cs="Calibri"/>
        <w:i/>
        <w:iCs/>
        <w:color w:val="595959"/>
        <w:sz w:val="18"/>
        <w:szCs w:val="18"/>
      </w:rPr>
      <w:t>CloudServe</w:t>
    </w:r>
    <w:proofErr w:type="spellEnd"/>
    <w:r>
      <w:rPr>
        <w:rFonts w:ascii="Calibri" w:eastAsia="Calibri" w:hAnsi="Calibri" w:cs="Calibri"/>
        <w:i/>
        <w:iCs/>
        <w:color w:val="595959"/>
        <w:sz w:val="18"/>
        <w:szCs w:val="18"/>
      </w:rPr>
      <w:t xml:space="preserve"> Solutions — Effort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67B78"/>
    <w:multiLevelType w:val="hybridMultilevel"/>
    <w:tmpl w:val="E94A533A"/>
    <w:lvl w:ilvl="0" w:tplc="2AF67BF6">
      <w:start w:val="1"/>
      <w:numFmt w:val="bullet"/>
      <w:lvlText w:val="•"/>
      <w:lvlJc w:val="left"/>
      <w:pPr>
        <w:ind w:left="720" w:hanging="360"/>
      </w:pPr>
    </w:lvl>
    <w:lvl w:ilvl="1" w:tplc="0BAC0432">
      <w:numFmt w:val="decimal"/>
      <w:lvlText w:val=""/>
      <w:lvlJc w:val="left"/>
    </w:lvl>
    <w:lvl w:ilvl="2" w:tplc="2F68F462">
      <w:numFmt w:val="decimal"/>
      <w:lvlText w:val=""/>
      <w:lvlJc w:val="left"/>
    </w:lvl>
    <w:lvl w:ilvl="3" w:tplc="021A09BA">
      <w:numFmt w:val="decimal"/>
      <w:lvlText w:val=""/>
      <w:lvlJc w:val="left"/>
    </w:lvl>
    <w:lvl w:ilvl="4" w:tplc="810AF888">
      <w:numFmt w:val="decimal"/>
      <w:lvlText w:val=""/>
      <w:lvlJc w:val="left"/>
    </w:lvl>
    <w:lvl w:ilvl="5" w:tplc="062E61E6">
      <w:numFmt w:val="decimal"/>
      <w:lvlText w:val=""/>
      <w:lvlJc w:val="left"/>
    </w:lvl>
    <w:lvl w:ilvl="6" w:tplc="35FEC0B0">
      <w:numFmt w:val="decimal"/>
      <w:lvlText w:val=""/>
      <w:lvlJc w:val="left"/>
    </w:lvl>
    <w:lvl w:ilvl="7" w:tplc="B720C1EE">
      <w:numFmt w:val="decimal"/>
      <w:lvlText w:val=""/>
      <w:lvlJc w:val="left"/>
    </w:lvl>
    <w:lvl w:ilvl="8" w:tplc="793EC92A">
      <w:numFmt w:val="decimal"/>
      <w:lvlText w:val=""/>
      <w:lvlJc w:val="left"/>
    </w:lvl>
  </w:abstractNum>
  <w:abstractNum w:abstractNumId="1" w15:restartNumberingAfterBreak="0">
    <w:nsid w:val="5B7D067C"/>
    <w:multiLevelType w:val="hybridMultilevel"/>
    <w:tmpl w:val="93220ECC"/>
    <w:lvl w:ilvl="0" w:tplc="F60EF784">
      <w:start w:val="1"/>
      <w:numFmt w:val="bullet"/>
      <w:lvlText w:val="●"/>
      <w:lvlJc w:val="left"/>
      <w:pPr>
        <w:ind w:left="720" w:hanging="360"/>
      </w:pPr>
    </w:lvl>
    <w:lvl w:ilvl="1" w:tplc="3BB4D2A6">
      <w:start w:val="1"/>
      <w:numFmt w:val="bullet"/>
      <w:lvlText w:val="○"/>
      <w:lvlJc w:val="left"/>
      <w:pPr>
        <w:ind w:left="1440" w:hanging="360"/>
      </w:pPr>
    </w:lvl>
    <w:lvl w:ilvl="2" w:tplc="DCB0FAA6">
      <w:start w:val="1"/>
      <w:numFmt w:val="bullet"/>
      <w:lvlText w:val="■"/>
      <w:lvlJc w:val="left"/>
      <w:pPr>
        <w:ind w:left="2160" w:hanging="360"/>
      </w:pPr>
    </w:lvl>
    <w:lvl w:ilvl="3" w:tplc="797CF49A">
      <w:start w:val="1"/>
      <w:numFmt w:val="bullet"/>
      <w:lvlText w:val="●"/>
      <w:lvlJc w:val="left"/>
      <w:pPr>
        <w:ind w:left="2880" w:hanging="360"/>
      </w:pPr>
    </w:lvl>
    <w:lvl w:ilvl="4" w:tplc="5D4A64D4">
      <w:start w:val="1"/>
      <w:numFmt w:val="bullet"/>
      <w:lvlText w:val="○"/>
      <w:lvlJc w:val="left"/>
      <w:pPr>
        <w:ind w:left="3600" w:hanging="360"/>
      </w:pPr>
    </w:lvl>
    <w:lvl w:ilvl="5" w:tplc="B04C0ABE">
      <w:start w:val="1"/>
      <w:numFmt w:val="bullet"/>
      <w:lvlText w:val="■"/>
      <w:lvlJc w:val="left"/>
      <w:pPr>
        <w:ind w:left="4320" w:hanging="360"/>
      </w:pPr>
    </w:lvl>
    <w:lvl w:ilvl="6" w:tplc="85405056">
      <w:start w:val="1"/>
      <w:numFmt w:val="bullet"/>
      <w:lvlText w:val="●"/>
      <w:lvlJc w:val="left"/>
      <w:pPr>
        <w:ind w:left="5040" w:hanging="360"/>
      </w:pPr>
    </w:lvl>
    <w:lvl w:ilvl="7" w:tplc="77CA2432">
      <w:start w:val="1"/>
      <w:numFmt w:val="bullet"/>
      <w:lvlText w:val="●"/>
      <w:lvlJc w:val="left"/>
      <w:pPr>
        <w:ind w:left="5760" w:hanging="360"/>
      </w:pPr>
    </w:lvl>
    <w:lvl w:ilvl="8" w:tplc="F2846F14">
      <w:start w:val="1"/>
      <w:numFmt w:val="bullet"/>
      <w:lvlText w:val="●"/>
      <w:lvlJc w:val="left"/>
      <w:pPr>
        <w:ind w:left="6480" w:hanging="360"/>
      </w:pPr>
    </w:lvl>
  </w:abstractNum>
  <w:num w:numId="1" w16cid:durableId="6642123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3FB"/>
    <w:rsid w:val="00307672"/>
    <w:rsid w:val="007365F1"/>
    <w:rsid w:val="00B113FB"/>
    <w:rsid w:val="00DE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3709"/>
  <w15:docId w15:val="{D3940E60-B133-4819-96A9-B803BB6F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2045</Words>
  <Characters>11663</Characters>
  <Application>Microsoft Office Word</Application>
  <DocSecurity>0</DocSecurity>
  <Lines>97</Lines>
  <Paragraphs>27</Paragraphs>
  <ScaleCrop>false</ScaleCrop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Gurunanje Wodeyar</cp:lastModifiedBy>
  <cp:revision>2</cp:revision>
  <dcterms:created xsi:type="dcterms:W3CDTF">2026-09-15T17:03:00Z</dcterms:created>
  <dcterms:modified xsi:type="dcterms:W3CDTF">2026-09-15T17:28:00Z</dcterms:modified>
</cp:coreProperties>
</file>