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Plantillas de Configuración Básica de Gestión para Equipamiento Cisco</w:t>
      </w:r>
    </w:p>
    <w:p>
      <w:r>
        <w:br w:type="page"/>
      </w:r>
    </w:p>
    <w:p>
      <w:pPr>
        <w:pStyle w:val="Heading1"/>
      </w:pPr>
      <w:r>
        <w:t>PLANTILLAS DE CONFIGURACIÓN</w:t>
      </w:r>
    </w:p>
    <w:p>
      <w:pPr>
        <w:pStyle w:val="Heading2"/>
      </w:pPr>
      <w:r>
        <w:t>Configuración común a todos los servicios</w:t>
      </w:r>
    </w:p>
    <w:p>
      <w:pPr>
        <w:pStyle w:val="Heading3"/>
      </w:pPr>
      <w:r>
        <w:t>Definición del banner</w:t>
      </w:r>
    </w:p>
    <w:p>
      <w:r>
        <w:t xml:space="preserve">Desde el modo de configuración del equipo, se especifica el banner que se mostrará antes de que el usuario introduzca sus credenciales de acceso: </w:t>
      </w:r>
    </w:p>
    <w:p>
      <w:r>
        <w:t xml:space="preserve">banner login @ {{ Texto_Banner_Pre_Autenticacion }} @ </w:t>
      </w:r>
    </w:p>
    <w:p>
      <w:r>
        <w:t xml:space="preserve">A continuación, se introduce el banner que se mostrará una vez que el usuario haya sido autenticado correctamente: </w:t>
      </w:r>
    </w:p>
    <w:p>
      <w:r>
        <w:t xml:space="preserve">banner exec @ {{ Texto_Banner_Post_Autenticacion }} @ </w:t>
      </w:r>
    </w:p>
    <w:p>
      <w:r>
        <w:t xml:space="preserve">NOTA: La escritura de los &lt;Texto_Banner&gt; debe comenzar y terminar con un &lt;Caracter_Delimitador&gt; (%, &amp;, $, @, …) para funcionar correctamente. Además, este carácter no se puede utilizar dentro de &lt;Texto_Banner&gt;. Durante la introducción del texto es posible utilizar la tecla Enter para producir saltos de línea. Cada línea admite un máximo de 255 caracteres. </w:t>
      </w:r>
    </w:p>
    <w:p>
      <w:pPr>
        <w:pStyle w:val="Heading3"/>
      </w:pPr>
      <w:r>
        <w:t>Configuración de fecha y zona horaria</w:t>
      </w:r>
    </w:p>
    <w:p>
      <w:r>
        <w:t xml:space="preserve">Desde el modo enable, se ajusta la fecha y hora locales del equipo. </w:t>
      </w:r>
    </w:p>
    <w:p>
      <w:r>
        <w:t>clock set {{ hora_minuto_segundo }} {{ dia }} {{ mes }} {{ ano }}</w:t>
      </w:r>
    </w:p>
    <w:p>
      <w:r>
        <w:t xml:space="preserve">Desde el modo de configuración, se configura la zona horaria y los parámetros del cambio de horario de verano. </w:t>
      </w:r>
    </w:p>
    <w:p>
      <w:r>
        <w:t xml:space="preserve"> clock timezone MET 1 </w:t>
        <w:br/>
        <w:t xml:space="preserve"> clock summer-time METDST recurring last Sun Mar 2:00 last Sun oct 3:00</w:t>
      </w:r>
    </w:p>
    <w:p>
      <w:pPr>
        <w:pStyle w:val="Heading3"/>
      </w:pPr>
      <w:r>
        <w:t>Nombre del equipo</w:t>
      </w:r>
    </w:p>
    <w:p>
      <w:r>
        <w:t xml:space="preserve">Asignación del mnemónico del EDC. Desde el modo de configuración:  </w:t>
      </w:r>
    </w:p>
    <w:p>
      <w:r>
        <w:t xml:space="preserve">hostname {{ Mnemonico_EDC }} </w:t>
      </w:r>
    </w:p>
    <w:p>
      <w:pPr>
        <w:pStyle w:val="Heading3"/>
      </w:pPr>
      <w:r>
        <w:t>Desactivación de servicios no necesarios</w:t>
      </w:r>
    </w:p>
    <w:p>
      <w:r>
        <w:t xml:space="preserve">Por motivos de seguridad, se desactivarán una serie de protocolos y servicios que no van a ser utilizados en el EDC. Desde el modo de configuración: </w:t>
      </w:r>
    </w:p>
    <w:p>
      <w:r>
        <w:t xml:space="preserve"> no cdp run </w:t>
        <w:br/>
        <w:t xml:space="preserve"> no service tcp-small-servers </w:t>
        <w:br/>
        <w:t xml:space="preserve"> no service udp-small-servers no service finger </w:t>
        <w:br/>
        <w:t xml:space="preserve"> no service dhcp </w:t>
        <w:br/>
        <w:t xml:space="preserve"> {% if modelo_equipo != "Cisco C1000"  %} </w:t>
        <w:br/>
        <w:t xml:space="preserve"> no ip source-route </w:t>
        <w:br/>
        <w:t xml:space="preserve"> {% endif %} </w:t>
        <w:br/>
        <w:t xml:space="preserve"> no ip source-route </w:t>
        <w:br/>
        <w:t xml:space="preserve"> no ip domain-lookup </w:t>
        <w:br/>
        <w:t xml:space="preserve"> no service config </w:t>
        <w:br/>
        <w:t xml:space="preserve"> no ip bootp server   !!! * </w:t>
        <w:br/>
        <w:t xml:space="preserve"> no ip name-server </w:t>
      </w:r>
    </w:p>
    <w:p>
      <w:r>
        <w:t xml:space="preserve">* Determinados modelos no admiten este comando al no disponer de la funcionalidad, por lo que no es problemático si al introducirlo da error. </w:t>
      </w:r>
    </w:p>
    <w:p>
      <w:r>
        <w:t xml:space="preserve">Configuración de otros parámetros generales. Desde el modo de configuración: </w:t>
      </w:r>
    </w:p>
    <w:p>
      <w:r>
        <w:t xml:space="preserve"> service nagle </w:t>
        <w:br/>
        <w:t xml:space="preserve"> service tcp-keepalives-in </w:t>
        <w:br/>
        <w:t xml:space="preserve"> ip subnet-zero </w:t>
        <w:br/>
        <w:t xml:space="preserve"> service timestamps debug datetime localtime msec show-timezone </w:t>
        <w:br/>
        <w:t xml:space="preserve"> service timestamps log datetime localtime msec show-timezone</w:t>
      </w:r>
    </w:p>
    <w:p>
      <w:pPr>
        <w:pStyle w:val="Heading3"/>
      </w:pPr>
      <w:r>
        <w:t>Gestión por loopback</w:t>
      </w:r>
    </w:p>
    <w:p>
      <w:r>
        <w:t xml:space="preserve">Se crea la interfaz loopback de gestión.  </w:t>
      </w:r>
    </w:p>
    <w:p>
      <w:r>
        <w:t xml:space="preserve"> interface loopback 600 </w:t>
        <w:br/>
        <w:t xml:space="preserve"> description Direccion IP de gestion EDC </w:t>
        <w:br/>
        <w:t xml:space="preserve"> ip address {{IPGestion}} 255.255.255.255 </w:t>
        <w:br/>
        <w:t xml:space="preserve"> no ip directed-broadcast </w:t>
        <w:br/>
        <w:t xml:space="preserve"> no ip proxy-arp </w:t>
        <w:br/>
        <w:t xml:space="preserve"> no shutdown </w:t>
        <w:br/>
        <w:t xml:space="preserve"> exit </w:t>
      </w:r>
    </w:p>
    <w:p>
      <w:r>
        <w:t xml:space="preserve"> ip tftp source-interface Loopback 600 </w:t>
        <w:br/>
        <w:t xml:space="preserve"> ip ftp source-interface Loopback 600 </w:t>
        <w:br/>
        <w:t xml:space="preserve"> ip tacacs source-interface Loopback 600 </w:t>
        <w:br/>
        <w:t xml:space="preserve"> logging source-interface Loopback 600 </w:t>
        <w:br/>
        <w:t xml:space="preserve"> snmp-server trap-source Loopback 600 </w:t>
        <w:br/>
        <w:t xml:space="preserve"> ntp source Loopback 600 </w:t>
      </w:r>
    </w:p>
    <w:p>
      <w:r>
        <w:t>Donde: &lt;IPGestión&gt; Es la dirección IP utilizada para la gestión del EDC. Por tanto, debe ser única en todo el ámbito del servicio.</w:t>
      </w:r>
    </w:p>
    <w:p>
      <w:r>
        <w:br w:type="page"/>
      </w:r>
    </w:p>
    <w:p>
      <w:r>
        <w:t xml:space="preserve">A plain paragraph having some </w:t>
      </w:r>
      <w:r>
        <w:rPr>
          <w:b/>
        </w:rPr>
        <w:t>bold</w:t>
      </w:r>
      <w:r>
        <w:t xml:space="preserve">and some </w:t>
      </w:r>
      <w:r>
        <w:rPr>
          <w:i/>
        </w:rPr>
        <w:t>italic.</w:t>
      </w:r>
    </w:p>
    <w:p/>
    <w:p>
      <w:pPr>
        <w:pStyle w:val="Heading1"/>
      </w:pPr>
      <w:r>
        <w:t>Heading, level 1</w:t>
      </w:r>
    </w:p>
    <w:p>
      <w:pPr>
        <w:pStyle w:val="Heading2"/>
      </w:pPr>
      <w:r>
        <w:t>Heading, level 1</w:t>
      </w:r>
    </w:p>
    <w:p>
      <w:pPr>
        <w:pStyle w:val="Heading3"/>
      </w:pPr>
      <w:r>
        <w:t>Heading, level 1</w:t>
      </w:r>
    </w:p>
    <w:p>
      <w:pPr>
        <w:pStyle w:val="Heading4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pPr>
        <w:pStyle w:val="ListNumber"/>
      </w:pPr>
      <w:r>
        <w:t>second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