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m="http://schemas.openxmlformats.org/officeDocument/2006/math">
  <w:body>
    <w:p>
      <w:pPr>
        <w:spacing w:before="480" w:after="480" w:line="288" w:lineRule="auto"/>
        <w:ind w:left="0"/>
      </w:pPr>
      <w:r>
        <w:rPr>
          <w:rFonts w:eastAsia="等线" w:ascii="Arial" w:cs="Arial" w:hAnsi="Arial"/>
          <w:b w:val="true"/>
          <w:sz w:val="52"/>
        </w:rPr>
        <w:t>SWAT+红心村建模</w:t>
      </w:r>
    </w:p>
    <w:p>
      <w:pPr>
        <w:pStyle w:val="2"/>
        <w:spacing w:before="320" w:after="120" w:line="288" w:lineRule="auto"/>
        <w:ind w:left="0"/>
        <w:jc w:val="left"/>
        <w:outlineLvl w:val="1"/>
      </w:pPr>
      <w:bookmarkStart w:name="heading_0" w:id="0"/>
      <w:r>
        <w:rPr>
          <w:rFonts w:eastAsia="等线" w:ascii="Arial" w:cs="Arial" w:hAnsi="Arial"/>
          <w:b w:val="true"/>
          <w:sz w:val="32"/>
        </w:rPr>
        <w:t>数据：</w:t>
      </w:r>
      <w:bookmarkEnd w:id="0"/>
    </w:p>
    <w:p>
      <w:pPr>
        <w:spacing w:before="120" w:after="120" w:line="288" w:lineRule="auto"/>
        <w:ind w:left="0"/>
        <w:jc w:val="left"/>
      </w:pPr>
      <w:r>
        <w:rPr>
          <w:rFonts w:eastAsia="等线" w:ascii="Arial" w:cs="Arial" w:hAnsi="Arial"/>
          <w:sz w:val="22"/>
        </w:rPr>
        <w:t>模拟时所有数据统一设置投影坐标系：WGS_1984_UTM_51N</w:t>
      </w:r>
    </w:p>
    <w:p>
      <w:pPr>
        <w:numPr>
          <w:numId w:val="1"/>
        </w:numPr>
        <w:spacing w:before="120" w:after="120" w:line="288" w:lineRule="auto"/>
        <w:ind w:left="0"/>
        <w:jc w:val="left"/>
      </w:pPr>
      <w:r>
        <w:rPr>
          <w:rFonts w:eastAsia="等线" w:ascii="Arial" w:cs="Arial" w:hAnsi="Arial"/>
          <w:sz w:val="22"/>
        </w:rPr>
        <w:t>DEM</w:t>
      </w:r>
    </w:p>
    <w:p>
      <w:pPr>
        <w:numPr>
          <w:numId w:val="2"/>
        </w:numPr>
        <w:spacing w:before="120" w:after="120" w:line="288" w:lineRule="auto"/>
        <w:ind w:left="453"/>
        <w:jc w:val="left"/>
      </w:pPr>
      <w:r>
        <w:rPr>
          <w:rFonts w:eastAsia="等线" w:ascii="Arial" w:cs="Arial" w:hAnsi="Arial"/>
          <w:sz w:val="22"/>
        </w:rPr>
        <w:t>数据源</w:t>
      </w:r>
      <w:hyperlink r:id="rId5">
        <w:r>
          <w:rPr>
            <w:rFonts w:eastAsia="等线" w:ascii="Arial" w:cs="Arial" w:hAnsi="Arial"/>
            <w:color w:val="3370ff"/>
            <w:sz w:val="22"/>
          </w:rPr>
          <w:t>Copernicus GLO-30 Digital Elevation Model</w:t>
        </w:r>
      </w:hyperlink>
    </w:p>
    <w:p>
      <w:pPr>
        <w:numPr>
          <w:numId w:val="3"/>
        </w:numPr>
        <w:spacing w:before="120" w:after="120" w:line="288" w:lineRule="auto"/>
        <w:ind w:left="453"/>
        <w:jc w:val="left"/>
      </w:pPr>
      <w:r>
        <w:rPr>
          <w:rFonts w:eastAsia="等线" w:ascii="Arial" w:cs="Arial" w:hAnsi="Arial"/>
          <w:sz w:val="22"/>
        </w:rPr>
        <w:t>地理坐标系：WGS_1984</w:t>
      </w:r>
    </w:p>
    <w:p>
      <w:pPr>
        <w:numPr>
          <w:numId w:val="4"/>
        </w:numPr>
        <w:spacing w:before="120" w:after="120" w:line="288" w:lineRule="auto"/>
        <w:ind w:left="453"/>
        <w:jc w:val="left"/>
      </w:pPr>
      <w:r>
        <w:rPr>
          <w:rFonts w:eastAsia="等线" w:ascii="Arial" w:cs="Arial" w:hAnsi="Arial"/>
          <w:sz w:val="22"/>
        </w:rPr>
        <w:t>分辨率：30米</w:t>
      </w:r>
    </w:p>
    <w:p>
      <w:pPr>
        <w:numPr>
          <w:numId w:val="5"/>
        </w:numPr>
        <w:spacing w:before="120" w:after="120" w:line="288" w:lineRule="auto"/>
        <w:ind w:left="0"/>
        <w:jc w:val="left"/>
      </w:pPr>
      <w:r>
        <w:rPr>
          <w:rFonts w:eastAsia="等线" w:ascii="Arial" w:cs="Arial" w:hAnsi="Arial"/>
          <w:sz w:val="22"/>
        </w:rPr>
        <w:t>空间数据</w:t>
      </w:r>
    </w:p>
    <w:p>
      <w:pPr>
        <w:numPr>
          <w:numId w:val="6"/>
        </w:numPr>
        <w:spacing w:before="120" w:after="120" w:line="288" w:lineRule="auto"/>
        <w:ind w:left="453"/>
        <w:jc w:val="left"/>
      </w:pPr>
      <w:r>
        <w:rPr>
          <w:rFonts w:eastAsia="等线" w:ascii="Arial" w:cs="Arial" w:hAnsi="Arial"/>
          <w:sz w:val="22"/>
        </w:rPr>
        <w:t>水系数据：全国4、5级水系</w:t>
      </w:r>
    </w:p>
    <w:p>
      <w:pPr>
        <w:numPr>
          <w:numId w:val="7"/>
        </w:numPr>
        <w:spacing w:before="120" w:after="120" w:line="288" w:lineRule="auto"/>
        <w:ind w:left="453"/>
        <w:jc w:val="left"/>
      </w:pPr>
      <w:r>
        <w:rPr>
          <w:rFonts w:eastAsia="等线" w:ascii="Arial" w:cs="Arial" w:hAnsi="Arial"/>
          <w:sz w:val="22"/>
        </w:rPr>
        <w:t>湖泊水库：</w:t>
      </w:r>
      <w:r>
        <w:rPr>
          <w:rFonts w:eastAsia="等线" w:ascii="Arial" w:cs="Arial" w:hAnsi="Arial"/>
          <w:sz w:val="22"/>
        </w:rPr>
        <w:t>察尔森水库</w:t>
      </w:r>
      <w:r>
        <w:rPr>
          <w:rFonts w:eastAsia="等线" w:ascii="Arial" w:cs="Arial" w:hAnsi="Arial"/>
          <w:sz w:val="22"/>
        </w:rPr>
        <w:t>（res12）</w:t>
      </w:r>
    </w:p>
    <w:p>
      <w:pPr>
        <w:numPr>
          <w:numId w:val="8"/>
        </w:numPr>
        <w:spacing w:before="120" w:after="120" w:line="288" w:lineRule="auto"/>
        <w:ind w:left="0"/>
        <w:jc w:val="left"/>
      </w:pPr>
      <w:r>
        <w:rPr>
          <w:rFonts w:eastAsia="等线" w:ascii="Arial" w:cs="Arial" w:hAnsi="Arial"/>
          <w:sz w:val="22"/>
        </w:rPr>
        <w:t>气象和降水</w:t>
      </w:r>
    </w:p>
    <w:p>
      <w:pPr>
        <w:numPr>
          <w:numId w:val="9"/>
        </w:numPr>
        <w:spacing w:before="120" w:after="120" w:line="288" w:lineRule="auto"/>
        <w:ind w:left="453"/>
        <w:jc w:val="left"/>
      </w:pPr>
      <w:r>
        <w:rPr>
          <w:rFonts w:eastAsia="等线" w:ascii="Arial" w:cs="Arial" w:hAnsi="Arial"/>
          <w:sz w:val="22"/>
        </w:rPr>
        <w:t>中国区域地面气象要素驱动数据集 （CMFD）</w:t>
      </w:r>
    </w:p>
    <w:p>
      <w:pPr>
        <w:numPr>
          <w:numId w:val="10"/>
        </w:numPr>
        <w:spacing w:before="120" w:after="120" w:line="288" w:lineRule="auto"/>
        <w:ind w:left="907"/>
        <w:jc w:val="left"/>
      </w:pPr>
      <w:r>
        <w:rPr>
          <w:rFonts w:eastAsia="等线" w:ascii="Arial" w:cs="Arial" w:hAnsi="Arial"/>
          <w:sz w:val="22"/>
        </w:rPr>
        <w:t xml:space="preserve">何杰, 阳坤, 李新, 唐文君, 邵长坤, 姜尧志, 丁宝弘. (2024). 中国区域地面气象要素驱动数据集 v2.0（1951-2024）. 国家青藏高原科学数据中心. </w:t>
      </w:r>
      <w:hyperlink r:id="rId6">
        <w:r>
          <w:rPr>
            <w:rFonts w:eastAsia="等线" w:ascii="Arial" w:cs="Arial" w:hAnsi="Arial"/>
            <w:color w:val="3370ff"/>
            <w:sz w:val="22"/>
          </w:rPr>
          <w:t>https://doi.org/10.11888/Atmos.tpdc.302088.</w:t>
        </w:r>
      </w:hyperlink>
      <w:r>
        <w:rPr>
          <w:rFonts w:eastAsia="等线" w:ascii="Arial" w:cs="Arial" w:hAnsi="Arial"/>
          <w:sz w:val="22"/>
        </w:rPr>
        <w:t xml:space="preserve"> </w:t>
      </w:r>
      <w:hyperlink r:id="rId7">
        <w:r>
          <w:rPr>
            <w:rFonts w:eastAsia="等线" w:ascii="Arial" w:cs="Arial" w:hAnsi="Arial"/>
            <w:color w:val="3370ff"/>
            <w:sz w:val="22"/>
          </w:rPr>
          <w:t>https://cstr.cn/18406.11.Atmos.tpdc.302088.</w:t>
        </w:r>
      </w:hyperlink>
    </w:p>
    <w:p>
      <w:pPr>
        <w:numPr>
          <w:numId w:val="11"/>
        </w:numPr>
        <w:spacing w:before="120" w:after="120" w:line="288" w:lineRule="auto"/>
        <w:ind w:left="907"/>
        <w:jc w:val="left"/>
      </w:pPr>
      <w:r>
        <w:rPr>
          <w:rFonts w:eastAsia="等线" w:ascii="Arial" w:cs="Arial" w:hAnsi="Arial"/>
          <w:sz w:val="22"/>
        </w:rPr>
        <w:t>格网数据</w:t>
      </w:r>
    </w:p>
    <w:p>
      <w:pPr>
        <w:numPr>
          <w:numId w:val="12"/>
        </w:numPr>
        <w:spacing w:before="120" w:after="120" w:line="288" w:lineRule="auto"/>
        <w:ind w:left="453"/>
        <w:jc w:val="left"/>
      </w:pPr>
      <w:r>
        <w:rPr>
          <w:rFonts w:eastAsia="等线" w:ascii="Arial" w:cs="Arial" w:hAnsi="Arial"/>
          <w:sz w:val="22"/>
        </w:rPr>
        <w:t>中国近地表日气温数据集（CDAT）</w:t>
      </w:r>
    </w:p>
    <w:p>
      <w:pPr>
        <w:numPr>
          <w:numId w:val="13"/>
        </w:numPr>
        <w:spacing w:before="120" w:after="120" w:line="288" w:lineRule="auto"/>
        <w:ind w:left="907"/>
        <w:jc w:val="left"/>
      </w:pPr>
      <w:r>
        <w:rPr>
          <w:rFonts w:eastAsia="等线" w:ascii="Arial" w:cs="Arial" w:hAnsi="Arial"/>
          <w:sz w:val="22"/>
        </w:rPr>
        <w:t>https://www.ncdc.ac.cn/portal/metadata/5a845a59-8d89-440f-a183-2b50fd915c59</w:t>
      </w:r>
      <w:r>
        <w:rPr>
          <w:rFonts w:eastAsia="等线" w:ascii="Arial" w:cs="Arial" w:hAnsi="Arial"/>
          <w:sz w:val="22"/>
        </w:rPr>
        <w:t>最新到2018年和CMFD分辨率相同</w:t>
      </w:r>
    </w:p>
    <w:p>
      <w:pPr>
        <w:numPr>
          <w:numId w:val="14"/>
        </w:numPr>
        <w:spacing w:before="120" w:after="120" w:line="288" w:lineRule="auto"/>
        <w:ind w:left="453"/>
        <w:jc w:val="left"/>
      </w:pPr>
      <w:r>
        <w:rPr>
          <w:rFonts w:eastAsia="等线" w:ascii="Arial" w:cs="Arial" w:hAnsi="Arial"/>
          <w:sz w:val="22"/>
        </w:rPr>
        <w:t>All-sky daily min ambient air temperature datasets at 1-km resolution from 2013-2022 in China</w:t>
      </w:r>
      <w:r>
        <w:rPr>
          <w:rFonts w:eastAsia="等线" w:ascii="Arial" w:cs="Arial" w:hAnsi="Arial"/>
          <w:sz w:val="22"/>
        </w:rPr>
        <w:t>https://doi.org/10.5281/zenodo.10983207</w:t>
      </w:r>
      <w:hyperlink r:id="rId8">
        <w:r>
          <w:rPr>
            <w:rFonts w:eastAsia="等线" w:ascii="Arial" w:cs="Arial" w:hAnsi="Arial"/>
            <w:color w:val="3370ff"/>
            <w:sz w:val="22"/>
            <w:u w:val="single"/>
          </w:rPr>
          <w:t>https://doi.org/10.5281/zenodo.10983199</w:t>
        </w:r>
      </w:hyperlink>
    </w:p>
    <w:p>
      <w:pPr>
        <w:numPr>
          <w:numId w:val="15"/>
        </w:numPr>
        <w:spacing w:before="120" w:after="120" w:line="288" w:lineRule="auto"/>
        <w:ind w:left="907"/>
        <w:jc w:val="left"/>
      </w:pPr>
      <w:r>
        <w:rPr>
          <w:rFonts w:eastAsia="等线" w:ascii="Arial" w:cs="Arial" w:hAnsi="Arial"/>
          <w:sz w:val="22"/>
        </w:rPr>
        <w:t>补充2019-2022年</w:t>
      </w:r>
    </w:p>
    <w:p>
      <w:pPr>
        <w:numPr>
          <w:numId w:val="16"/>
        </w:numPr>
        <w:spacing w:before="120" w:after="120" w:line="288" w:lineRule="auto"/>
        <w:ind w:left="907"/>
        <w:jc w:val="left"/>
      </w:pPr>
      <w:r>
        <w:rPr>
          <w:rFonts w:eastAsia="等线" w:ascii="Arial" w:cs="Arial" w:hAnsi="Arial"/>
          <w:sz w:val="22"/>
        </w:rPr>
        <w:t>空间分辨率   1km（重采样到 0.1°）</w:t>
      </w:r>
    </w:p>
    <w:p>
      <w:pPr>
        <w:numPr>
          <w:numId w:val="17"/>
        </w:numPr>
        <w:spacing w:before="120" w:after="120" w:line="288" w:lineRule="auto"/>
        <w:ind w:left="0"/>
        <w:jc w:val="left"/>
      </w:pPr>
      <w:r>
        <w:rPr>
          <w:rFonts w:eastAsia="等线" w:ascii="Arial" w:cs="Arial" w:hAnsi="Arial"/>
          <w:sz w:val="22"/>
        </w:rPr>
        <w:t>土地利用</w:t>
      </w:r>
    </w:p>
    <w:p>
      <w:pPr>
        <w:numPr>
          <w:numId w:val="18"/>
        </w:numPr>
        <w:spacing w:before="120" w:after="120" w:line="288" w:lineRule="auto"/>
        <w:ind w:left="453"/>
        <w:jc w:val="left"/>
      </w:pPr>
      <w:r>
        <w:rPr>
          <w:rFonts w:eastAsia="等线" w:ascii="Arial" w:cs="Arial" w:hAnsi="Arial"/>
          <w:sz w:val="22"/>
        </w:rPr>
        <w:t>CLCD (China Land Cover Dataset)。武汉大学杨杰教授团队发布，针对中国区域长序列分类精度较好。30米分辨率</w:t>
      </w:r>
    </w:p>
    <w:p>
      <w:pPr>
        <w:numPr>
          <w:numId w:val="19"/>
        </w:numPr>
        <w:spacing w:before="120" w:after="120" w:line="288" w:lineRule="auto"/>
        <w:ind w:left="453"/>
        <w:jc w:val="left"/>
      </w:pPr>
      <w:r>
        <w:rPr>
          <w:rFonts w:eastAsia="等线" w:ascii="Arial" w:cs="Arial" w:hAnsi="Arial"/>
          <w:sz w:val="22"/>
        </w:rPr>
        <w:t>投影坐标系：albert</w:t>
      </w:r>
    </w:p>
    <w:p>
      <w:pPr>
        <w:numPr>
          <w:numId w:val="20"/>
        </w:numPr>
        <w:spacing w:before="120" w:after="120" w:line="288" w:lineRule="auto"/>
        <w:ind w:left="453"/>
        <w:jc w:val="left"/>
      </w:pPr>
      <w:r>
        <w:rPr>
          <w:rFonts w:eastAsia="等线" w:ascii="Arial" w:cs="Arial" w:hAnsi="Arial"/>
          <w:sz w:val="22"/>
        </w:rPr>
        <w:t>https://zhuanlan.zhihu.com/p/580289051</w:t>
      </w:r>
    </w:p>
    <w:p>
      <w:pPr>
        <w:numPr>
          <w:numId w:val="21"/>
        </w:numPr>
        <w:spacing w:before="120" w:after="120" w:line="288" w:lineRule="auto"/>
        <w:ind w:left="453"/>
        <w:jc w:val="left"/>
      </w:pPr>
      <w:r>
        <w:rPr>
          <w:rFonts w:eastAsia="等线" w:ascii="Arial" w:cs="Arial" w:hAnsi="Arial"/>
          <w:sz w:val="22"/>
        </w:rPr>
        <w:t>https://zenodo.org/records/5816591</w:t>
      </w:r>
    </w:p>
    <w:p>
      <w:pPr>
        <w:numPr>
          <w:numId w:val="22"/>
        </w:numPr>
        <w:spacing w:before="120" w:after="120" w:line="288" w:lineRule="auto"/>
        <w:ind w:left="0"/>
        <w:jc w:val="left"/>
      </w:pPr>
      <w:r>
        <w:rPr>
          <w:rFonts w:eastAsia="等线" w:ascii="Arial" w:cs="Arial" w:hAnsi="Arial"/>
          <w:sz w:val="22"/>
        </w:rPr>
        <w:t>土壤</w:t>
      </w:r>
    </w:p>
    <w:p>
      <w:pPr>
        <w:numPr>
          <w:numId w:val="23"/>
        </w:numPr>
        <w:spacing w:before="120" w:after="120" w:line="288" w:lineRule="auto"/>
        <w:ind w:left="453"/>
        <w:jc w:val="left"/>
      </w:pPr>
      <w:r>
        <w:rPr>
          <w:rFonts w:eastAsia="等线" w:ascii="Arial" w:cs="Arial" w:hAnsi="Arial"/>
          <w:sz w:val="22"/>
        </w:rPr>
        <w:t>HWSD 世界土壤数据库 1km分辨率</w:t>
      </w:r>
    </w:p>
    <w:p>
      <w:pPr>
        <w:numPr>
          <w:numId w:val="24"/>
        </w:numPr>
        <w:spacing w:before="120" w:after="120" w:line="288" w:lineRule="auto"/>
        <w:ind w:left="0"/>
        <w:jc w:val="left"/>
      </w:pPr>
      <w:r>
        <w:rPr>
          <w:rFonts w:eastAsia="等线" w:ascii="Arial" w:cs="Arial" w:hAnsi="Arial"/>
          <w:sz w:val="22"/>
        </w:rPr>
        <w:t>流量实测数据</w:t>
      </w:r>
    </w:p>
    <w:p>
      <w:pPr>
        <w:numPr>
          <w:numId w:val="25"/>
        </w:numPr>
        <w:spacing w:before="120" w:after="120" w:line="288" w:lineRule="auto"/>
        <w:ind w:left="453"/>
        <w:jc w:val="left"/>
      </w:pPr>
      <w:r>
        <w:rPr>
          <w:rFonts w:eastAsia="等线" w:ascii="Arial" w:cs="Arial" w:hAnsi="Arial"/>
          <w:sz w:val="22"/>
        </w:rPr>
        <w:t>水文站点名单（8个）</w:t>
      </w:r>
    </w:p>
    <w:p>
      <w:pPr>
        <w:numPr>
          <w:numId w:val="26"/>
        </w:numPr>
        <w:spacing w:before="120" w:after="120" w:line="288" w:lineRule="auto"/>
        <w:ind w:left="907"/>
        <w:jc w:val="left"/>
      </w:pPr>
      <w:r>
        <w:rPr>
          <w:rFonts w:eastAsia="等线" w:ascii="Arial" w:cs="Arial" w:hAnsi="Arial"/>
          <w:sz w:val="22"/>
        </w:rPr>
        <w:t>五岔沟 120.333333, 46.75</w:t>
      </w:r>
    </w:p>
    <w:p>
      <w:pPr>
        <w:numPr>
          <w:numId w:val="27"/>
        </w:numPr>
        <w:spacing w:before="120" w:after="120" w:line="288" w:lineRule="auto"/>
        <w:ind w:left="907"/>
        <w:jc w:val="left"/>
      </w:pPr>
      <w:r>
        <w:rPr>
          <w:rFonts w:eastAsia="等线" w:ascii="Arial" w:cs="Arial" w:hAnsi="Arial"/>
          <w:sz w:val="22"/>
        </w:rPr>
        <w:t>索伦 121.316667, 46.583333</w:t>
      </w:r>
    </w:p>
    <w:p>
      <w:pPr>
        <w:numPr>
          <w:numId w:val="28"/>
        </w:numPr>
        <w:spacing w:before="120" w:after="120" w:line="288" w:lineRule="auto"/>
        <w:ind w:left="907"/>
        <w:jc w:val="left"/>
      </w:pPr>
      <w:r>
        <w:rPr>
          <w:rFonts w:eastAsia="等线" w:ascii="Arial" w:cs="Arial" w:hAnsi="Arial"/>
          <w:sz w:val="22"/>
        </w:rPr>
        <w:t>察尔森下  121.904726, 46.307632</w:t>
      </w:r>
    </w:p>
    <w:p>
      <w:pPr>
        <w:numPr>
          <w:numId w:val="29"/>
        </w:numPr>
        <w:spacing w:before="120" w:after="120" w:line="288" w:lineRule="auto"/>
        <w:ind w:left="907"/>
        <w:jc w:val="left"/>
      </w:pPr>
      <w:r>
        <w:rPr>
          <w:rFonts w:eastAsia="等线" w:ascii="Arial" w:cs="Arial" w:hAnsi="Arial"/>
          <w:sz w:val="22"/>
        </w:rPr>
        <w:t>乌兰浩特  122.10205, 46.078946</w:t>
      </w:r>
    </w:p>
    <w:p>
      <w:pPr>
        <w:numPr>
          <w:numId w:val="30"/>
        </w:numPr>
        <w:spacing w:before="120" w:after="120" w:line="288" w:lineRule="auto"/>
        <w:ind w:left="907"/>
        <w:jc w:val="left"/>
      </w:pPr>
      <w:r>
        <w:rPr>
          <w:rFonts w:eastAsia="等线" w:ascii="Arial" w:cs="Arial" w:hAnsi="Arial"/>
          <w:sz w:val="22"/>
          <w:shd w:fill="fff67a"/>
        </w:rPr>
        <w:t>镇西  122.371902, 45.849787（流域出口）</w:t>
      </w:r>
    </w:p>
    <w:p>
      <w:pPr>
        <w:numPr>
          <w:numId w:val="31"/>
        </w:numPr>
        <w:spacing w:before="120" w:after="120" w:line="288" w:lineRule="auto"/>
        <w:ind w:left="907"/>
        <w:jc w:val="left"/>
      </w:pPr>
      <w:r>
        <w:rPr>
          <w:rFonts w:eastAsia="等线" w:ascii="Arial" w:cs="Arial" w:hAnsi="Arial"/>
          <w:sz w:val="22"/>
        </w:rPr>
        <w:t>大石寨 121.374206, 46.274834</w:t>
      </w:r>
    </w:p>
    <w:p>
      <w:pPr>
        <w:numPr>
          <w:numId w:val="32"/>
        </w:numPr>
        <w:spacing w:before="120" w:after="120" w:line="288" w:lineRule="auto"/>
        <w:ind w:left="907"/>
        <w:jc w:val="left"/>
      </w:pPr>
      <w:r>
        <w:rPr>
          <w:rFonts w:eastAsia="等线" w:ascii="Arial" w:cs="Arial" w:hAnsi="Arial"/>
          <w:sz w:val="22"/>
        </w:rPr>
        <w:t>阿力得尔 120.966667, 46.216667</w:t>
      </w:r>
    </w:p>
    <w:p>
      <w:pPr>
        <w:numPr>
          <w:numId w:val="33"/>
        </w:numPr>
        <w:spacing w:before="120" w:after="120" w:line="288" w:lineRule="auto"/>
        <w:ind w:left="907"/>
        <w:jc w:val="left"/>
      </w:pPr>
      <w:r>
        <w:rPr>
          <w:rFonts w:eastAsia="等线" w:ascii="Arial" w:cs="Arial" w:hAnsi="Arial"/>
          <w:sz w:val="22"/>
        </w:rPr>
        <w:t>保隆 121.466667, 46.066667</w:t>
      </w:r>
    </w:p>
    <w:p>
      <w:pPr>
        <w:pStyle w:val="2"/>
        <w:spacing w:before="320" w:after="120" w:line="288" w:lineRule="auto"/>
        <w:ind w:left="0"/>
        <w:jc w:val="left"/>
        <w:outlineLvl w:val="1"/>
      </w:pPr>
      <w:bookmarkStart w:name="heading_1" w:id="1"/>
      <w:r>
        <w:rPr>
          <w:rFonts w:eastAsia="等线" w:ascii="Arial" w:cs="Arial" w:hAnsi="Arial"/>
          <w:b w:val="true"/>
          <w:sz w:val="32"/>
        </w:rPr>
        <w:t>数据处理</w:t>
      </w:r>
      <w:bookmarkEnd w:id="1"/>
    </w:p>
    <w:p>
      <w:pPr>
        <w:numPr>
          <w:numId w:val="34"/>
        </w:numPr>
        <w:spacing w:before="120" w:after="120" w:line="288" w:lineRule="auto"/>
        <w:ind w:left="0"/>
        <w:jc w:val="left"/>
      </w:pPr>
      <w:r>
        <w:rPr>
          <w:rFonts w:eastAsia="等线" w:ascii="Arial" w:cs="Arial" w:hAnsi="Arial"/>
          <w:sz w:val="22"/>
        </w:rPr>
        <w:t>气象和降水数据</w:t>
      </w:r>
    </w:p>
    <w:p>
      <w:pPr>
        <w:numPr>
          <w:numId w:val="35"/>
        </w:numPr>
        <w:spacing w:before="120" w:after="120" w:line="288" w:lineRule="auto"/>
        <w:ind w:left="453"/>
        <w:jc w:val="left"/>
      </w:pPr>
      <w:r>
        <w:rPr>
          <w:rFonts w:eastAsia="等线" w:ascii="Arial" w:cs="Arial" w:hAnsi="Arial"/>
          <w:sz w:val="22"/>
        </w:rPr>
        <w:t>包含变量: ['lrad', 'prec', 'rhum', 'srad', 'temp', 'wind']共 78 个文件</w:t>
        <w:br/>
      </w:r>
      <w:r>
        <w:rPr>
          <w:rFonts w:eastAsia="等线" w:ascii="Arial" w:cs="Arial" w:hAnsi="Arial"/>
          <w:sz w:val="22"/>
        </w:rPr>
        <w:t>文件类型: lrad_CMFD_V0200_B-01_01dy_010deg_201201-201212.nc</w:t>
      </w:r>
    </w:p>
    <w:p>
      <w:pPr>
        <w:numPr>
          <w:numId w:val="36"/>
        </w:numPr>
        <w:spacing w:before="120" w:after="120" w:line="288" w:lineRule="auto"/>
        <w:ind w:left="453"/>
        <w:jc w:val="left"/>
      </w:pPr>
      <w:r>
        <w:rPr>
          <w:rFonts w:eastAsia="等线" w:ascii="Arial" w:cs="Arial" w:hAnsi="Arial"/>
          <w:sz w:val="22"/>
        </w:rPr>
        <w:t>处理过程</w:t>
      </w:r>
    </w:p>
    <w:p>
      <w:pPr>
        <w:numPr>
          <w:numId w:val="37"/>
        </w:numPr>
        <w:spacing w:before="120" w:after="120" w:line="288" w:lineRule="auto"/>
        <w:ind w:left="453"/>
        <w:jc w:val="left"/>
      </w:pPr>
      <w:r>
        <w:rPr>
          <w:rFonts w:eastAsia="等线" w:ascii="Arial" w:cs="Arial" w:hAnsi="Arial"/>
          <w:sz w:val="22"/>
        </w:rPr>
        <w:t>获取流域范围，将格网数据裁剪成流域范围，其中每1°间隔的点作为虚拟气象站。生成后直接输入到</w:t>
      </w:r>
      <w:r>
        <w:rPr>
          <w:rFonts w:eastAsia="等线" w:ascii="Arial" w:cs="Arial" w:hAnsi="Arial"/>
          <w:sz w:val="22"/>
        </w:rPr>
        <w:t>Q</w:t>
      </w:r>
      <w:r>
        <w:rPr>
          <w:rFonts w:eastAsia="等线" w:ascii="Arial" w:cs="Arial" w:hAnsi="Arial"/>
          <w:sz w:val="22"/>
        </w:rPr>
        <w:t>SWAT+中，它会</w:t>
      </w:r>
      <w:r>
        <w:rPr>
          <w:rFonts w:eastAsia="等线" w:ascii="Arial" w:cs="Arial" w:hAnsi="Arial"/>
          <w:sz w:val="22"/>
        </w:rPr>
        <w:t>为</w:t>
      </w:r>
      <w:r>
        <w:rPr>
          <w:rFonts w:eastAsia="等线" w:ascii="Arial" w:cs="Arial" w:hAnsi="Arial"/>
          <w:sz w:val="22"/>
        </w:rPr>
        <w:t>子流域</w:t>
      </w:r>
      <w:r>
        <w:rPr>
          <w:rFonts w:eastAsia="等线" w:ascii="Arial" w:cs="Arial" w:hAnsi="Arial"/>
          <w:sz w:val="22"/>
        </w:rPr>
        <w:t>匹配</w:t>
      </w:r>
      <w:r>
        <w:rPr>
          <w:rFonts w:eastAsia="等线" w:ascii="Arial" w:cs="Arial" w:hAnsi="Arial"/>
          <w:sz w:val="22"/>
        </w:rPr>
        <w:t>到最近的虚拟气象站。</w:t>
      </w:r>
    </w:p>
    <w:p>
      <w:pPr>
        <w:numPr>
          <w:numId w:val="38"/>
        </w:numPr>
        <w:spacing w:before="120" w:after="120" w:line="288" w:lineRule="auto"/>
        <w:ind w:left="453"/>
        <w:jc w:val="left"/>
      </w:pPr>
      <w:r>
        <w:rPr>
          <w:rFonts w:eastAsia="等线" w:ascii="Arial" w:cs="Arial" w:hAnsi="Arial"/>
          <w:sz w:val="22"/>
        </w:rPr>
        <w:t xml:space="preserve">流域范围大致 (119.8 - 122.6°E, 45.6 - 47.2°N) </w:t>
      </w:r>
    </w:p>
    <w:p>
      <w:pPr>
        <w:numPr>
          <w:numId w:val="39"/>
        </w:numPr>
        <w:spacing w:before="120" w:after="120" w:line="288" w:lineRule="auto"/>
        <w:ind w:left="453"/>
        <w:jc w:val="left"/>
      </w:pPr>
      <w:r>
        <w:rPr>
          <w:rFonts w:eastAsia="等线" w:ascii="Arial" w:cs="Arial" w:hAnsi="Arial"/>
          <w:sz w:val="22"/>
        </w:rPr>
        <w:t>每隔0.1°设置一个点，共四百多个格点，作为虚拟气象站。</w:t>
      </w:r>
    </w:p>
    <w:p>
      <w:pPr>
        <w:numPr>
          <w:numId w:val="40"/>
        </w:numPr>
        <w:spacing w:before="120" w:after="120" w:line="288" w:lineRule="auto"/>
        <w:ind w:left="453"/>
        <w:jc w:val="left"/>
      </w:pPr>
      <w:r>
        <w:rPr>
          <w:rFonts w:eastAsia="等线" w:ascii="Arial" w:cs="Arial" w:hAnsi="Arial"/>
          <w:sz w:val="22"/>
        </w:rPr>
        <w:t>数据计算</w:t>
      </w:r>
    </w:p>
    <w:p>
      <w:pPr>
        <w:numPr>
          <w:numId w:val="41"/>
        </w:numPr>
        <w:spacing w:before="120" w:after="120" w:line="288" w:lineRule="auto"/>
        <w:ind w:left="453"/>
        <w:jc w:val="left"/>
      </w:pPr>
      <w:r>
        <w:rPr>
          <w:rFonts w:eastAsia="Consolas" w:ascii="Consolas" w:cs="Consolas" w:hAnsi="Consolas"/>
          <w:sz w:val="22"/>
          <w:shd w:fill="EFF0F1"/>
        </w:rPr>
        <w:t>temp</w:t>
      </w:r>
      <w:r>
        <w:rPr>
          <w:rFonts w:eastAsia="等线" w:ascii="Arial" w:cs="Arial" w:hAnsi="Arial"/>
          <w:sz w:val="22"/>
        </w:rPr>
        <w:t>: K → 减 273.15 得 °C</w:t>
      </w:r>
    </w:p>
    <w:p>
      <w:pPr>
        <w:numPr>
          <w:numId w:val="42"/>
        </w:numPr>
        <w:spacing w:before="120" w:after="120" w:line="288" w:lineRule="auto"/>
        <w:ind w:left="453"/>
        <w:jc w:val="left"/>
      </w:pPr>
      <w:r>
        <w:rPr>
          <w:rFonts w:eastAsia="Consolas" w:ascii="Consolas" w:cs="Consolas" w:hAnsi="Consolas"/>
          <w:sz w:val="22"/>
          <w:shd w:fill="EFF0F1"/>
        </w:rPr>
        <w:t>prec</w:t>
      </w:r>
      <w:r>
        <w:rPr>
          <w:rFonts w:eastAsia="等线" w:ascii="Arial" w:cs="Arial" w:hAnsi="Arial"/>
          <w:sz w:val="22"/>
        </w:rPr>
        <w:t>: kg/m²/s → 乘 86400 得 mm/day</w:t>
      </w:r>
    </w:p>
    <w:p>
      <w:pPr>
        <w:numPr>
          <w:numId w:val="43"/>
        </w:numPr>
        <w:spacing w:before="120" w:after="120" w:line="288" w:lineRule="auto"/>
        <w:ind w:left="453"/>
        <w:jc w:val="left"/>
      </w:pPr>
      <w:r>
        <w:rPr>
          <w:rFonts w:eastAsia="Consolas" w:ascii="Consolas" w:cs="Consolas" w:hAnsi="Consolas"/>
          <w:sz w:val="22"/>
          <w:shd w:fill="EFF0F1"/>
        </w:rPr>
        <w:t>rhum</w:t>
      </w:r>
      <w:r>
        <w:rPr>
          <w:rFonts w:eastAsia="等线" w:ascii="Arial" w:cs="Arial" w:hAnsi="Arial"/>
          <w:sz w:val="22"/>
        </w:rPr>
        <w:t>: % → 除以 100 得 0~1 比例</w:t>
      </w:r>
    </w:p>
    <w:p>
      <w:pPr>
        <w:numPr>
          <w:numId w:val="44"/>
        </w:numPr>
        <w:spacing w:before="120" w:after="120" w:line="288" w:lineRule="auto"/>
        <w:ind w:left="453"/>
        <w:jc w:val="left"/>
      </w:pPr>
      <w:r>
        <w:rPr>
          <w:rFonts w:eastAsia="Consolas" w:ascii="Consolas" w:cs="Consolas" w:hAnsi="Consolas"/>
          <w:sz w:val="22"/>
          <w:shd w:fill="EFF0F1"/>
        </w:rPr>
        <w:t>srad</w:t>
      </w:r>
      <w:r>
        <w:rPr>
          <w:rFonts w:eastAsia="等线" w:ascii="Arial" w:cs="Arial" w:hAnsi="Arial"/>
          <w:sz w:val="22"/>
        </w:rPr>
        <w:t>: W/m² → 乘 0.0864 得 MJ/m²/day</w:t>
      </w:r>
    </w:p>
    <w:p>
      <w:pPr>
        <w:numPr>
          <w:numId w:val="45"/>
        </w:numPr>
        <w:spacing w:before="120" w:after="120" w:line="288" w:lineRule="auto"/>
        <w:ind w:left="453"/>
        <w:jc w:val="left"/>
      </w:pPr>
      <w:r>
        <w:rPr>
          <w:rFonts w:eastAsia="Consolas" w:ascii="Consolas" w:cs="Consolas" w:hAnsi="Consolas"/>
          <w:sz w:val="22"/>
          <w:shd w:fill="EFF0F1"/>
        </w:rPr>
        <w:t>wind</w:t>
      </w:r>
      <w:r>
        <w:rPr>
          <w:rFonts w:eastAsia="等线" w:ascii="Arial" w:cs="Arial" w:hAnsi="Arial"/>
          <w:sz w:val="22"/>
        </w:rPr>
        <w:t>: m/s → 不需要转换</w:t>
      </w:r>
    </w:p>
    <w:p>
      <w:pPr>
        <w:numPr>
          <w:numId w:val="46"/>
        </w:numPr>
        <w:spacing w:before="120" w:after="120" w:line="288" w:lineRule="auto"/>
        <w:ind w:left="0"/>
        <w:jc w:val="left"/>
      </w:pPr>
      <w:r>
        <w:rPr>
          <w:rFonts w:eastAsia="等线" w:ascii="Arial" w:cs="Arial" w:hAnsi="Arial"/>
          <w:sz w:val="22"/>
        </w:rPr>
        <w:t>土地利用数据</w:t>
      </w:r>
    </w:p>
    <w:p>
      <w:pPr>
        <w:numPr>
          <w:numId w:val="47"/>
        </w:numPr>
        <w:spacing w:before="120" w:after="120" w:line="288" w:lineRule="auto"/>
        <w:ind w:left="453"/>
        <w:jc w:val="left"/>
      </w:pPr>
      <w:r>
        <w:rPr>
          <w:rFonts w:eastAsia="Consolas" w:ascii="Consolas" w:cs="Consolas" w:hAnsi="Consolas"/>
          <w:sz w:val="22"/>
          <w:shd w:fill="EFF0F1"/>
        </w:rPr>
        <w:t>1</w:t>
      </w:r>
      <w:r>
        <w:rPr>
          <w:rFonts w:eastAsia="等线" w:ascii="Arial" w:cs="Arial" w:hAnsi="Arial"/>
          <w:sz w:val="22"/>
        </w:rPr>
        <w:t xml:space="preserve"> - Cropland (耕地) 映射到 </w:t>
      </w:r>
      <w:r>
        <w:rPr>
          <w:rFonts w:eastAsia="Consolas" w:ascii="Consolas" w:cs="Consolas" w:hAnsi="Consolas"/>
          <w:sz w:val="22"/>
          <w:shd w:fill="EFF0F1"/>
        </w:rPr>
        <w:t>AGRL</w:t>
      </w:r>
      <w:r>
        <w:rPr>
          <w:rFonts w:eastAsia="等线" w:ascii="Arial" w:cs="Arial" w:hAnsi="Arial"/>
          <w:sz w:val="22"/>
        </w:rPr>
        <w:t xml:space="preserve"> (Agricultural Land-Generic)</w:t>
      </w:r>
    </w:p>
    <w:p>
      <w:pPr>
        <w:numPr>
          <w:numId w:val="48"/>
        </w:numPr>
        <w:spacing w:before="120" w:after="120" w:line="288" w:lineRule="auto"/>
        <w:ind w:left="453"/>
        <w:jc w:val="left"/>
      </w:pPr>
      <w:r>
        <w:rPr>
          <w:rFonts w:eastAsia="Consolas" w:ascii="Consolas" w:cs="Consolas" w:hAnsi="Consolas"/>
          <w:sz w:val="22"/>
          <w:shd w:fill="EFF0F1"/>
        </w:rPr>
        <w:t>2</w:t>
      </w:r>
      <w:r>
        <w:rPr>
          <w:rFonts w:eastAsia="等线" w:ascii="Arial" w:cs="Arial" w:hAnsi="Arial"/>
          <w:sz w:val="22"/>
        </w:rPr>
        <w:t xml:space="preserve"> - Forest (林地) 映射到 </w:t>
      </w:r>
      <w:r>
        <w:rPr>
          <w:rFonts w:eastAsia="Consolas" w:ascii="Consolas" w:cs="Consolas" w:hAnsi="Consolas"/>
          <w:sz w:val="22"/>
          <w:shd w:fill="EFF0F1"/>
        </w:rPr>
        <w:t>FRST</w:t>
      </w:r>
      <w:r>
        <w:rPr>
          <w:rFonts w:eastAsia="等线" w:ascii="Arial" w:cs="Arial" w:hAnsi="Arial"/>
          <w:sz w:val="22"/>
        </w:rPr>
        <w:t xml:space="preserve"> (Forest-Mixed) 或 </w:t>
      </w:r>
      <w:r>
        <w:rPr>
          <w:rFonts w:eastAsia="Consolas" w:ascii="Consolas" w:cs="Consolas" w:hAnsi="Consolas"/>
          <w:sz w:val="22"/>
          <w:shd w:fill="EFF0F1"/>
        </w:rPr>
        <w:t>FRSD</w:t>
      </w:r>
      <w:r>
        <w:rPr>
          <w:rFonts w:eastAsia="等线" w:ascii="Arial" w:cs="Arial" w:hAnsi="Arial"/>
          <w:sz w:val="22"/>
        </w:rPr>
        <w:t xml:space="preserve"> (落叶林) / </w:t>
      </w:r>
      <w:r>
        <w:rPr>
          <w:rFonts w:eastAsia="Consolas" w:ascii="Consolas" w:cs="Consolas" w:hAnsi="Consolas"/>
          <w:sz w:val="22"/>
          <w:shd w:fill="EFF0F1"/>
        </w:rPr>
        <w:t>FRSE</w:t>
      </w:r>
      <w:r>
        <w:rPr>
          <w:rFonts w:eastAsia="等线" w:ascii="Arial" w:cs="Arial" w:hAnsi="Arial"/>
          <w:sz w:val="22"/>
        </w:rPr>
        <w:t xml:space="preserve"> (常绿林)</w:t>
      </w:r>
    </w:p>
    <w:p>
      <w:pPr>
        <w:numPr>
          <w:numId w:val="49"/>
        </w:numPr>
        <w:spacing w:before="120" w:after="120" w:line="288" w:lineRule="auto"/>
        <w:ind w:left="453"/>
        <w:jc w:val="left"/>
      </w:pPr>
      <w:r>
        <w:rPr>
          <w:rFonts w:eastAsia="Consolas" w:ascii="Consolas" w:cs="Consolas" w:hAnsi="Consolas"/>
          <w:sz w:val="22"/>
          <w:shd w:fill="EFF0F1"/>
        </w:rPr>
        <w:t>3</w:t>
      </w:r>
      <w:r>
        <w:rPr>
          <w:rFonts w:eastAsia="等线" w:ascii="Arial" w:cs="Arial" w:hAnsi="Arial"/>
          <w:sz w:val="22"/>
        </w:rPr>
        <w:t xml:space="preserve"> - Shrub (灌木) 映射到 </w:t>
      </w:r>
      <w:r>
        <w:rPr>
          <w:rFonts w:eastAsia="Consolas" w:ascii="Consolas" w:cs="Consolas" w:hAnsi="Consolas"/>
          <w:sz w:val="22"/>
          <w:shd w:fill="EFF0F1"/>
        </w:rPr>
        <w:t>RNGB</w:t>
      </w:r>
      <w:r>
        <w:rPr>
          <w:rFonts w:eastAsia="等线" w:ascii="Arial" w:cs="Arial" w:hAnsi="Arial"/>
          <w:sz w:val="22"/>
        </w:rPr>
        <w:t xml:space="preserve"> (Range-Brush)</w:t>
      </w:r>
    </w:p>
    <w:p>
      <w:pPr>
        <w:numPr>
          <w:numId w:val="50"/>
        </w:numPr>
        <w:spacing w:before="120" w:after="120" w:line="288" w:lineRule="auto"/>
        <w:ind w:left="453"/>
        <w:jc w:val="left"/>
      </w:pPr>
      <w:r>
        <w:rPr>
          <w:rFonts w:eastAsia="Consolas" w:ascii="Consolas" w:cs="Consolas" w:hAnsi="Consolas"/>
          <w:sz w:val="22"/>
          <w:shd w:fill="EFF0F1"/>
        </w:rPr>
        <w:t>4</w:t>
      </w:r>
      <w:r>
        <w:rPr>
          <w:rFonts w:eastAsia="等线" w:ascii="Arial" w:cs="Arial" w:hAnsi="Arial"/>
          <w:sz w:val="22"/>
        </w:rPr>
        <w:t xml:space="preserve"> - Grassland (草地) 映射到 </w:t>
      </w:r>
      <w:r>
        <w:rPr>
          <w:rFonts w:eastAsia="Consolas" w:ascii="Consolas" w:cs="Consolas" w:hAnsi="Consolas"/>
          <w:sz w:val="22"/>
          <w:shd w:fill="EFF0F1"/>
        </w:rPr>
        <w:t>PAST</w:t>
      </w:r>
      <w:r>
        <w:rPr>
          <w:rFonts w:eastAsia="等线" w:ascii="Arial" w:cs="Arial" w:hAnsi="Arial"/>
          <w:sz w:val="22"/>
        </w:rPr>
        <w:t xml:space="preserve"> (Pasture) 或 </w:t>
      </w:r>
      <w:r>
        <w:rPr>
          <w:rFonts w:eastAsia="Consolas" w:ascii="Consolas" w:cs="Consolas" w:hAnsi="Consolas"/>
          <w:sz w:val="22"/>
          <w:shd w:fill="EFF0F1"/>
        </w:rPr>
        <w:t>RNGE</w:t>
      </w:r>
      <w:r>
        <w:rPr>
          <w:rFonts w:eastAsia="等线" w:ascii="Arial" w:cs="Arial" w:hAnsi="Arial"/>
          <w:sz w:val="22"/>
        </w:rPr>
        <w:t xml:space="preserve"> (Range-Grasses)</w:t>
      </w:r>
    </w:p>
    <w:p>
      <w:pPr>
        <w:numPr>
          <w:numId w:val="51"/>
        </w:numPr>
        <w:spacing w:before="120" w:after="120" w:line="288" w:lineRule="auto"/>
        <w:ind w:left="453"/>
        <w:jc w:val="left"/>
      </w:pPr>
      <w:r>
        <w:rPr>
          <w:rFonts w:eastAsia="Consolas" w:ascii="Consolas" w:cs="Consolas" w:hAnsi="Consolas"/>
          <w:sz w:val="22"/>
          <w:shd w:fill="EFF0F1"/>
        </w:rPr>
        <w:t>5</w:t>
      </w:r>
      <w:r>
        <w:rPr>
          <w:rFonts w:eastAsia="等线" w:ascii="Arial" w:cs="Arial" w:hAnsi="Arial"/>
          <w:sz w:val="22"/>
        </w:rPr>
        <w:t xml:space="preserve"> - Water (水体) 映射到 </w:t>
      </w:r>
      <w:r>
        <w:rPr>
          <w:rFonts w:eastAsia="Consolas" w:ascii="Consolas" w:cs="Consolas" w:hAnsi="Consolas"/>
          <w:sz w:val="22"/>
          <w:shd w:fill="EFF0F1"/>
        </w:rPr>
        <w:t>WATR</w:t>
      </w:r>
      <w:r>
        <w:rPr>
          <w:rFonts w:eastAsia="等线" w:ascii="Arial" w:cs="Arial" w:hAnsi="Arial"/>
          <w:sz w:val="22"/>
        </w:rPr>
        <w:t xml:space="preserve"> (Water)</w:t>
      </w:r>
    </w:p>
    <w:p>
      <w:pPr>
        <w:numPr>
          <w:numId w:val="52"/>
        </w:numPr>
        <w:spacing w:before="120" w:after="120" w:line="288" w:lineRule="auto"/>
        <w:ind w:left="453"/>
        <w:jc w:val="left"/>
      </w:pPr>
      <w:r>
        <w:rPr>
          <w:rFonts w:eastAsia="Consolas" w:ascii="Consolas" w:cs="Consolas" w:hAnsi="Consolas"/>
          <w:sz w:val="22"/>
          <w:shd w:fill="EFF0F1"/>
        </w:rPr>
        <w:t>6</w:t>
      </w:r>
      <w:r>
        <w:rPr>
          <w:rFonts w:eastAsia="等线" w:ascii="Arial" w:cs="Arial" w:hAnsi="Arial"/>
          <w:sz w:val="22"/>
        </w:rPr>
        <w:t xml:space="preserve"> - Snow/Ice (冰雪) 映射到 </w:t>
      </w:r>
      <w:r>
        <w:rPr>
          <w:rFonts w:eastAsia="Consolas" w:ascii="Consolas" w:cs="Consolas" w:hAnsi="Consolas"/>
          <w:sz w:val="22"/>
          <w:shd w:fill="EFF0F1"/>
        </w:rPr>
        <w:t>SNOW</w:t>
      </w:r>
      <w:r>
        <w:rPr>
          <w:rFonts w:eastAsia="等线" w:ascii="Arial" w:cs="Arial" w:hAnsi="Arial"/>
          <w:sz w:val="22"/>
        </w:rPr>
        <w:t xml:space="preserve"> (Snow) （通常内蒙古大部分区域非积雪期无此分类，不影响）</w:t>
      </w:r>
    </w:p>
    <w:p>
      <w:pPr>
        <w:numPr>
          <w:numId w:val="53"/>
        </w:numPr>
        <w:spacing w:before="120" w:after="120" w:line="288" w:lineRule="auto"/>
        <w:ind w:left="453"/>
        <w:jc w:val="left"/>
      </w:pPr>
      <w:r>
        <w:rPr>
          <w:rFonts w:eastAsia="Consolas" w:ascii="Consolas" w:cs="Consolas" w:hAnsi="Consolas"/>
          <w:sz w:val="22"/>
          <w:shd w:fill="EFF0F1"/>
        </w:rPr>
        <w:t>7</w:t>
      </w:r>
      <w:r>
        <w:rPr>
          <w:rFonts w:eastAsia="等线" w:ascii="Arial" w:cs="Arial" w:hAnsi="Arial"/>
          <w:sz w:val="22"/>
        </w:rPr>
        <w:t xml:space="preserve"> - Barren (裸地) 映射到 </w:t>
      </w:r>
      <w:r>
        <w:rPr>
          <w:rFonts w:eastAsia="Consolas" w:ascii="Consolas" w:cs="Consolas" w:hAnsi="Consolas"/>
          <w:sz w:val="22"/>
          <w:shd w:fill="EFF0F1"/>
        </w:rPr>
        <w:t>BARR</w:t>
      </w:r>
      <w:r>
        <w:rPr>
          <w:rFonts w:eastAsia="等线" w:ascii="Arial" w:cs="Arial" w:hAnsi="Arial"/>
          <w:sz w:val="22"/>
        </w:rPr>
        <w:t xml:space="preserve"> (Barren)</w:t>
      </w:r>
    </w:p>
    <w:p>
      <w:pPr>
        <w:numPr>
          <w:numId w:val="54"/>
        </w:numPr>
        <w:spacing w:before="120" w:after="120" w:line="288" w:lineRule="auto"/>
        <w:ind w:left="453"/>
        <w:jc w:val="left"/>
      </w:pPr>
      <w:r>
        <w:rPr>
          <w:rFonts w:eastAsia="Consolas" w:ascii="Consolas" w:cs="Consolas" w:hAnsi="Consolas"/>
          <w:sz w:val="22"/>
          <w:shd w:fill="EFF0F1"/>
        </w:rPr>
        <w:t>8</w:t>
      </w:r>
      <w:r>
        <w:rPr>
          <w:rFonts w:eastAsia="等线" w:ascii="Arial" w:cs="Arial" w:hAnsi="Arial"/>
          <w:sz w:val="22"/>
        </w:rPr>
        <w:t xml:space="preserve"> - Impervious (不透水面/建设用地) 映射到 </w:t>
      </w:r>
      <w:r>
        <w:rPr>
          <w:rFonts w:eastAsia="Consolas" w:ascii="Consolas" w:cs="Consolas" w:hAnsi="Consolas"/>
          <w:sz w:val="22"/>
          <w:shd w:fill="EFF0F1"/>
        </w:rPr>
        <w:t>URBN</w:t>
      </w:r>
      <w:r>
        <w:rPr>
          <w:rFonts w:eastAsia="等线" w:ascii="Arial" w:cs="Arial" w:hAnsi="Arial"/>
          <w:sz w:val="22"/>
        </w:rPr>
        <w:t xml:space="preserve"> (Urban) 或 </w:t>
      </w:r>
      <w:r>
        <w:rPr>
          <w:rFonts w:eastAsia="Consolas" w:ascii="Consolas" w:cs="Consolas" w:hAnsi="Consolas"/>
          <w:sz w:val="22"/>
          <w:shd w:fill="EFF0F1"/>
        </w:rPr>
        <w:t>URML</w:t>
      </w:r>
      <w:r>
        <w:rPr>
          <w:rFonts w:eastAsia="等线" w:ascii="Arial" w:cs="Arial" w:hAnsi="Arial"/>
          <w:sz w:val="22"/>
        </w:rPr>
        <w:t xml:space="preserve"> (中密度城市)</w:t>
      </w:r>
    </w:p>
    <w:p>
      <w:pPr>
        <w:numPr>
          <w:numId w:val="55"/>
        </w:numPr>
        <w:spacing w:before="120" w:after="120" w:line="288" w:lineRule="auto"/>
        <w:ind w:left="453"/>
        <w:jc w:val="left"/>
      </w:pPr>
      <w:r>
        <w:rPr>
          <w:rFonts w:eastAsia="Consolas" w:ascii="Consolas" w:cs="Consolas" w:hAnsi="Consolas"/>
          <w:sz w:val="22"/>
          <w:shd w:fill="EFF0F1"/>
        </w:rPr>
        <w:t>9</w:t>
      </w:r>
      <w:r>
        <w:rPr>
          <w:rFonts w:eastAsia="等线" w:ascii="Arial" w:cs="Arial" w:hAnsi="Arial"/>
          <w:sz w:val="22"/>
        </w:rPr>
        <w:t xml:space="preserve"> - Wetland (湿地) 映射到 </w:t>
      </w:r>
      <w:r>
        <w:rPr>
          <w:rFonts w:eastAsia="Consolas" w:ascii="Consolas" w:cs="Consolas" w:hAnsi="Consolas"/>
          <w:sz w:val="22"/>
          <w:shd w:fill="EFF0F1"/>
        </w:rPr>
        <w:t>WETL</w:t>
      </w:r>
      <w:r>
        <w:rPr>
          <w:rFonts w:eastAsia="等线" w:ascii="Arial" w:cs="Arial" w:hAnsi="Arial"/>
          <w:sz w:val="22"/>
        </w:rPr>
        <w:t xml:space="preserve"> (Wetlands-Mixed)</w:t>
      </w:r>
    </w:p>
    <w:p>
      <w:pPr>
        <w:spacing w:before="120" w:after="120" w:line="288" w:lineRule="auto"/>
        <w:ind w:left="453"/>
        <w:jc w:val="left"/>
      </w:pPr>
      <w:r>
        <w:rPr>
          <w:rFonts w:eastAsia="等线" w:ascii="Arial" w:cs="Arial" w:hAnsi="Arial"/>
          <w:sz w:val="22"/>
        </w:rPr>
        <w:t>Landuse</w:t>
      </w:r>
    </w:p>
    <w:p>
      <w:pPr>
        <w:spacing w:before="120" w:after="120" w:line="288" w:lineRule="auto"/>
        <w:ind w:left="453"/>
        <w:jc w:val="center"/>
      </w:pPr>
      <w:r>
        <w:drawing>
          <wp:inline distT="0" distR="0" distB="0" distL="0">
            <wp:extent cx="5257800" cy="3657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5257800" cy="3657600"/>
                    </a:xfrm>
                    <a:prstGeom prst="rect">
                      <a:avLst/>
                    </a:prstGeom>
                  </pic:spPr>
                </pic:pic>
              </a:graphicData>
            </a:graphic>
          </wp:inline>
        </w:drawing>
      </w:r>
    </w:p>
    <w:p>
      <w:pPr>
        <w:numPr>
          <w:numId w:val="56"/>
        </w:numPr>
        <w:spacing w:before="120" w:after="120" w:line="288" w:lineRule="auto"/>
        <w:ind w:left="0"/>
        <w:jc w:val="left"/>
      </w:pPr>
      <w:r>
        <w:rPr>
          <w:rFonts w:eastAsia="等线" w:ascii="Arial" w:cs="Arial" w:hAnsi="Arial"/>
          <w:sz w:val="22"/>
        </w:rPr>
        <w:t>土壤数据</w:t>
      </w:r>
    </w:p>
    <w:p>
      <w:pPr>
        <w:numPr>
          <w:numId w:val="57"/>
        </w:numPr>
        <w:spacing w:before="120" w:after="120" w:line="288" w:lineRule="auto"/>
        <w:ind w:left="453"/>
        <w:jc w:val="left"/>
      </w:pPr>
      <w:r>
        <w:rPr>
          <w:rFonts w:eastAsia="等线" w:ascii="Arial" w:cs="Arial" w:hAnsi="Arial"/>
          <w:sz w:val="22"/>
        </w:rPr>
        <w:t>HWSD数据 1km空间分辨率。tif文件记录每个栅格的土壤id，通过id查找对应的土壤属性</w:t>
      </w:r>
    </w:p>
    <w:p>
      <w:pPr>
        <w:numPr>
          <w:numId w:val="58"/>
        </w:numPr>
        <w:spacing w:before="120" w:after="120" w:line="288" w:lineRule="auto"/>
        <w:ind w:left="453"/>
        <w:jc w:val="left"/>
      </w:pPr>
      <w:r>
        <w:rPr>
          <w:rFonts w:eastAsia="等线" w:ascii="Arial" w:cs="Arial" w:hAnsi="Arial"/>
          <w:sz w:val="22"/>
        </w:rPr>
        <w:t>裁剪成流域范围后，得到 19种 土壤 ID (MU_GLOBAL 代码)：[7001, 11000, 11003, 11112, 11115, 11120, 11141, 11145, 11355, 11356, 11394, 11404, 11413, 11418, 11540, 11909, 11920, 11927, 13575]</w:t>
      </w:r>
    </w:p>
    <w:p>
      <w:pPr>
        <w:numPr>
          <w:numId w:val="59"/>
        </w:numPr>
        <w:spacing w:before="120" w:after="120" w:line="288" w:lineRule="auto"/>
        <w:ind w:left="453"/>
        <w:jc w:val="left"/>
      </w:pPr>
      <w:r>
        <w:rPr>
          <w:rFonts w:eastAsia="等线" w:ascii="Arial" w:cs="Arial" w:hAnsi="Arial"/>
          <w:sz w:val="22"/>
        </w:rPr>
        <w:t>让 Python 读取了两个表：</w:t>
      </w:r>
    </w:p>
    <w:p>
      <w:pPr>
        <w:numPr>
          <w:numId w:val="60"/>
        </w:numPr>
        <w:spacing w:before="120" w:after="120" w:line="288" w:lineRule="auto"/>
        <w:ind w:left="907"/>
        <w:jc w:val="left"/>
      </w:pPr>
      <w:r>
        <w:rPr>
          <w:rFonts w:eastAsia="等线" w:ascii="Arial" w:cs="Arial" w:hAnsi="Arial"/>
          <w:sz w:val="22"/>
        </w:rPr>
        <w:t>HWSD2_SMU（制图单位表）：大类的土壤概况属性。在这里可以查19种 ID（相当于 19 种土壤区块编号）的大类特征。</w:t>
      </w:r>
    </w:p>
    <w:p>
      <w:pPr>
        <w:numPr>
          <w:numId w:val="61"/>
        </w:numPr>
        <w:spacing w:before="120" w:after="120" w:line="288" w:lineRule="auto"/>
        <w:ind w:left="907"/>
        <w:jc w:val="left"/>
      </w:pPr>
      <w:r>
        <w:rPr>
          <w:rFonts w:eastAsia="等线" w:ascii="Arial" w:cs="Arial" w:hAnsi="Arial"/>
          <w:sz w:val="22"/>
        </w:rPr>
        <w:t>HWSD2_LAYERS（土层物理表）：这个最重要的表。它里面记载了从地表到地下不同深度层（TOPDEP顶部 和 BOTDEP底部）的物理成分。提取的原始属性有：</w:t>
      </w:r>
      <w:r>
        <w:rPr>
          <w:rFonts w:eastAsia="Consolas" w:ascii="Consolas" w:cs="Consolas" w:hAnsi="Consolas"/>
          <w:sz w:val="22"/>
          <w:shd w:fill="EFF0F1"/>
        </w:rPr>
        <w:t>SAND(沙粒百分比), SILT(粉粒), CLAY(粘粒)、ORG_CARBON (有机碳百分比)、REF_BULK (基准干容重)、COARSE (碎石粗粒比例)、ELEC_COND (电导率)</w:t>
      </w:r>
    </w:p>
    <w:p>
      <w:pPr>
        <w:spacing w:before="120" w:after="120" w:line="288" w:lineRule="auto"/>
        <w:ind w:left="453"/>
        <w:jc w:val="left"/>
      </w:pPr>
      <w:r>
        <w:rPr>
          <w:rFonts w:eastAsia="等线" w:ascii="Arial" w:cs="Arial" w:hAnsi="Arial"/>
          <w:sz w:val="22"/>
        </w:rPr>
        <w:t>soil</w:t>
      </w:r>
    </w:p>
    <w:p>
      <w:pPr>
        <w:spacing w:before="120" w:after="120" w:line="288" w:lineRule="auto"/>
        <w:ind w:left="907"/>
        <w:jc w:val="center"/>
      </w:pPr>
      <w:r>
        <w:drawing>
          <wp:inline distT="0" distR="0" distB="0" distL="0">
            <wp:extent cx="5257800" cy="36861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3686175"/>
                    </a:xfrm>
                    <a:prstGeom prst="rect">
                      <a:avLst/>
                    </a:prstGeom>
                  </pic:spPr>
                </pic:pic>
              </a:graphicData>
            </a:graphic>
          </wp:inline>
        </w:drawing>
      </w:r>
    </w:p>
    <w:p>
      <w:pPr>
        <w:numPr>
          <w:numId w:val="62"/>
        </w:numPr>
        <w:spacing w:before="120" w:after="120" w:line="288" w:lineRule="auto"/>
        <w:ind w:left="907"/>
        <w:jc w:val="left"/>
      </w:pPr>
      <w:r>
        <w:rPr>
          <w:rFonts w:eastAsia="等线" w:ascii="Arial" w:cs="Arial" w:hAnsi="Arial"/>
          <w:sz w:val="22"/>
        </w:rPr>
        <w:t>HWSD v2.0 使用的是 WRB (World Reference Base for Soil Resources) 土壤分类体系，即世界土壤资源参考基础（国际土壤学会推荐的国际标准分类）</w:t>
      </w:r>
    </w:p>
    <w:p>
      <w:pPr>
        <w:pStyle w:val="2"/>
        <w:spacing w:before="320" w:after="120" w:line="288" w:lineRule="auto"/>
        <w:ind w:left="0"/>
        <w:jc w:val="left"/>
        <w:outlineLvl w:val="1"/>
      </w:pPr>
      <w:bookmarkStart w:name="heading_2" w:id="2"/>
      <w:r>
        <w:rPr>
          <w:rFonts w:eastAsia="等线" w:ascii="Arial" w:cs="Arial" w:hAnsi="Arial"/>
          <w:b w:val="true"/>
          <w:sz w:val="32"/>
        </w:rPr>
        <w:t>建模过程</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SWAT+初步流域划分</w:t>
      </w:r>
      <w:bookmarkEnd w:id="3"/>
    </w:p>
    <w:p>
      <w:pPr>
        <w:spacing w:before="120" w:after="120" w:line="288" w:lineRule="auto"/>
        <w:ind w:left="0"/>
        <w:jc w:val="left"/>
      </w:pPr>
      <w:r>
        <w:rPr>
          <w:rFonts w:eastAsia="等线" w:ascii="Arial" w:cs="Arial" w:hAnsi="Arial"/>
          <w:sz w:val="22"/>
        </w:rPr>
        <w:t>根据DEM数据、基础地理信息数据中的河网数据（用的4、5级河流）作为burn-in数据。</w:t>
      </w:r>
    </w:p>
    <w:p>
      <w:pPr>
        <w:pStyle w:val="3"/>
        <w:spacing w:before="300" w:after="120" w:line="288" w:lineRule="auto"/>
        <w:ind w:left="0"/>
        <w:jc w:val="left"/>
        <w:outlineLvl w:val="2"/>
      </w:pPr>
      <w:bookmarkStart w:name="heading_4" w:id="4"/>
      <w:r>
        <w:rPr>
          <w:rFonts w:eastAsia="等线" w:ascii="Arial" w:cs="Arial" w:hAnsi="Arial"/>
          <w:b w:val="true"/>
          <w:sz w:val="30"/>
        </w:rPr>
        <w:t>流域划分</w:t>
      </w:r>
      <w:bookmarkEnd w:id="4"/>
    </w:p>
    <w:p>
      <w:pPr>
        <w:spacing w:before="120" w:after="120" w:line="288" w:lineRule="auto"/>
        <w:ind w:left="0"/>
        <w:jc w:val="left"/>
      </w:pPr>
      <w:r>
        <w:rPr>
          <w:rFonts w:eastAsia="等线" w:ascii="Arial" w:cs="Arial" w:hAnsi="Arial"/>
          <w:sz w:val="22"/>
        </w:rPr>
        <w:t>确定下游水文站位置及其控制的研究范围</w:t>
      </w:r>
    </w:p>
    <w:p>
      <w:pPr>
        <w:numPr>
          <w:numId w:val="63"/>
        </w:numPr>
        <w:spacing w:before="120" w:after="120" w:line="288" w:lineRule="auto"/>
        <w:ind w:left="0"/>
        <w:jc w:val="left"/>
      </w:pPr>
      <w:r>
        <w:rPr>
          <w:rFonts w:eastAsia="等线" w:ascii="Arial" w:cs="Arial" w:hAnsi="Arial"/>
          <w:sz w:val="22"/>
        </w:rPr>
        <w:t>使用30米分辨率dem数据划分，</w:t>
      </w:r>
      <w:r>
        <w:rPr>
          <w:rFonts w:eastAsia="等线" w:ascii="Arial" w:cs="Arial" w:hAnsi="Arial"/>
          <w:sz w:val="22"/>
        </w:rPr>
        <w:t>将镇西</w:t>
      </w:r>
      <w:r>
        <w:rPr>
          <w:rFonts w:eastAsia="等线" w:ascii="Arial" w:cs="Arial" w:hAnsi="Arial"/>
          <w:sz w:val="22"/>
        </w:rPr>
        <w:t>水文站</w:t>
      </w:r>
      <w:r>
        <w:rPr>
          <w:rFonts w:eastAsia="等线" w:ascii="Arial" w:cs="Arial" w:hAnsi="Arial"/>
          <w:sz w:val="22"/>
        </w:rPr>
        <w:t>设置为整个流域出口点，其他水文站作为outles点。</w:t>
      </w:r>
    </w:p>
    <w:p>
      <w:pPr>
        <w:numPr>
          <w:numId w:val="64"/>
        </w:numPr>
        <w:spacing w:before="120" w:after="120" w:line="288" w:lineRule="auto"/>
        <w:ind w:left="453"/>
        <w:jc w:val="left"/>
      </w:pPr>
      <w:r>
        <w:rPr>
          <w:rFonts w:eastAsia="等线" w:ascii="Arial" w:cs="Arial" w:hAnsi="Arial"/>
          <w:sz w:val="22"/>
        </w:rPr>
        <w:t>说明：在QSWAT+中进行流域划分时，将水文站点坐标添加为outlet点，这些点会被转换为河道网络中的一个节点，并在对应的subbasin/channel输出流量。目前在率定脚本中，我只读取了流域出口河道。其他站点的输出流量记录在channel_sd_day.txt文件中。</w:t>
      </w:r>
    </w:p>
    <w:p>
      <w:pPr>
        <w:numPr>
          <w:numId w:val="65"/>
        </w:numPr>
        <w:spacing w:before="120" w:after="120" w:line="288" w:lineRule="auto"/>
        <w:ind w:left="453"/>
        <w:jc w:val="left"/>
      </w:pPr>
      <w:r>
        <w:rPr>
          <w:rFonts w:eastAsia="等线" w:ascii="Arial" w:cs="Arial" w:hAnsi="Arial"/>
          <w:sz w:val="22"/>
        </w:rPr>
        <w:t>后续如果要使用其他水文站点率定，需要找到其他水文站对应的channel编号。先找到outlet点对应的channel名称，然后通过数据库查询；或者通过channels图层属性表根据经纬度找到对应的channel编号。</w:t>
      </w:r>
    </w:p>
    <w:p>
      <w:pPr>
        <w:spacing w:before="120" w:after="120" w:line="288" w:lineRule="auto"/>
        <w:ind w:left="0"/>
        <w:jc w:val="center"/>
      </w:pPr>
      <w:r>
        <w:drawing>
          <wp:inline distT="0" distR="0" distB="0" distL="0">
            <wp:extent cx="3028950" cy="9048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3028950" cy="904875"/>
                    </a:xfrm>
                    <a:prstGeom prst="rect">
                      <a:avLst/>
                    </a:prstGeom>
                  </pic:spPr>
                </pic:pic>
              </a:graphicData>
            </a:graphic>
          </wp:inline>
        </w:drawing>
      </w:r>
    </w:p>
    <w:p>
      <w:pPr>
        <w:spacing w:before="120" w:after="120" w:line="288" w:lineRule="auto"/>
        <w:ind w:left="0"/>
        <w:jc w:val="center"/>
      </w:pPr>
      <w:r>
        <w:drawing>
          <wp:inline distT="0" distR="0" distB="0" distL="0">
            <wp:extent cx="4610100" cy="3648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4610100" cy="3648075"/>
                    </a:xfrm>
                    <a:prstGeom prst="rect">
                      <a:avLst/>
                    </a:prstGeom>
                  </pic:spPr>
                </pic:pic>
              </a:graphicData>
            </a:graphic>
          </wp:inline>
        </w:drawing>
      </w:r>
    </w:p>
    <w:p>
      <w:pPr>
        <w:spacing w:before="120" w:after="120" w:line="288" w:lineRule="auto"/>
        <w:ind w:left="0"/>
        <w:jc w:val="center"/>
      </w:pPr>
      <w:r>
        <w:drawing>
          <wp:inline distT="0" distR="0" distB="0" distL="0">
            <wp:extent cx="4114800" cy="4219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4114800" cy="4219575"/>
                    </a:xfrm>
                    <a:prstGeom prst="rect">
                      <a:avLst/>
                    </a:prstGeom>
                  </pic:spPr>
                </pic:pic>
              </a:graphicData>
            </a:graphic>
          </wp:inline>
        </w:drawing>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0pt;mso-width-percent:0;mso-height-percent:0;mso-width-percent:0;mso-height-percent:0" type="#_x0000_t75" o:ole="">
            <v:imagedata r:id="rId15" o:title=""/>
          </v:shape>
          <o:OLEObject DrawAspect="Icon" ObjectID="_1718471219" ProgID="Excel.Sheet.12" ShapeID="_x0000_i1025"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将stream threshold减小为40.5</w:t>
      </w:r>
      <w:r>
        <w:rPr>
          <w:rFonts w:eastAsia="等线" w:ascii="Arial" w:cs="Arial" w:hAnsi="Arial"/>
          <w:sz w:val="22"/>
        </w:rPr>
        <w:t>km^2，增加子流域的数量。</w:t>
      </w:r>
    </w:p>
    <w:p>
      <w:pPr>
        <w:spacing w:before="120" w:after="120" w:line="288" w:lineRule="auto"/>
        <w:ind w:left="0"/>
        <w:jc w:val="left"/>
      </w:pPr>
      <w:r>
        <w:rPr>
          <w:rFonts w:eastAsia="等线" w:ascii="Arial" w:cs="Arial" w:hAnsi="Arial"/>
          <w:sz w:val="22"/>
        </w:rPr>
        <w:t>channel没有减小，因为没有将子流域内部划分更精细，减小会显著增加计算时间。</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"Create landscape"、“Merge subbasins”、"Add Lakes"</w:t>
      </w:r>
      <w:bookmarkEnd w:id="5"/>
    </w:p>
    <w:p>
      <w:pPr>
        <w:numPr>
          <w:numId w:val="66"/>
        </w:numPr>
        <w:spacing w:before="120" w:after="120" w:line="288" w:lineRule="auto"/>
        <w:ind w:left="0"/>
        <w:jc w:val="left"/>
      </w:pPr>
      <w:r>
        <w:rPr>
          <w:rFonts w:eastAsia="等线" w:ascii="Arial" w:cs="Arial" w:hAnsi="Arial"/>
          <w:sz w:val="22"/>
        </w:rPr>
        <w:t>Create landscape（创建景观/地形单元）：保留默认值</w:t>
      </w:r>
    </w:p>
    <w:p>
      <w:pPr>
        <w:spacing w:before="120" w:after="120" w:line="288" w:lineRule="auto"/>
        <w:ind w:left="0"/>
        <w:jc w:val="center"/>
      </w:pPr>
      <w:r>
        <w:drawing>
          <wp:inline distT="0" distR="0" distB="0" distL="0">
            <wp:extent cx="4591050" cy="2590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4591050" cy="2590800"/>
                    </a:xfrm>
                    <a:prstGeom prst="rect">
                      <a:avLst/>
                    </a:prstGeom>
                  </pic:spPr>
                </pic:pic>
              </a:graphicData>
            </a:graphic>
          </wp:inline>
        </w:drawing>
      </w:r>
    </w:p>
    <w:p>
      <w:pPr>
        <w:numPr>
          <w:numId w:val="67"/>
        </w:numPr>
        <w:spacing w:before="120" w:after="120" w:line="288" w:lineRule="auto"/>
        <w:ind w:left="0"/>
        <w:jc w:val="left"/>
      </w:pPr>
      <w:r>
        <w:rPr>
          <w:rFonts w:eastAsia="等线" w:ascii="Arial" w:cs="Arial" w:hAnsi="Arial"/>
          <w:sz w:val="22"/>
        </w:rPr>
        <w:t>Merge subbasins</w:t>
      </w:r>
    </w:p>
    <w:p>
      <w:pPr>
        <w:spacing w:before="120" w:after="120" w:line="288" w:lineRule="auto"/>
        <w:ind w:left="453"/>
        <w:jc w:val="center"/>
      </w:pPr>
      <w:r>
        <w:drawing>
          <wp:inline distT="0" distR="0" distB="0" distL="0">
            <wp:extent cx="4057650" cy="31242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7"/>
                    <a:stretch>
                      <a:fillRect/>
                    </a:stretch>
                  </pic:blipFill>
                  <pic:spPr>
                    <a:xfrm>
                      <a:off x="0" y="0"/>
                      <a:ext cx="4057650" cy="3124200"/>
                    </a:xfrm>
                    <a:prstGeom prst="rect">
                      <a:avLst/>
                    </a:prstGeom>
                  </pic:spPr>
                </pic:pic>
              </a:graphicData>
            </a:graphic>
          </wp:inline>
        </w:drawing>
      </w:r>
    </w:p>
    <w:p>
      <w:pPr>
        <w:numPr>
          <w:numId w:val="68"/>
        </w:numPr>
        <w:spacing w:before="120" w:after="120" w:line="288" w:lineRule="auto"/>
        <w:ind w:left="453"/>
        <w:jc w:val="left"/>
      </w:pPr>
      <w:r>
        <w:rPr>
          <w:rFonts w:eastAsia="等线" w:ascii="Arial" w:cs="Arial" w:hAnsi="Arial"/>
          <w:sz w:val="22"/>
        </w:rPr>
        <w:t>合并面积小于5%平均子流域面积的小子流域；</w:t>
      </w:r>
    </w:p>
    <w:p>
      <w:pPr>
        <w:numPr>
          <w:numId w:val="69"/>
        </w:numPr>
        <w:spacing w:before="120" w:after="120" w:line="288" w:lineRule="auto"/>
        <w:ind w:left="453"/>
        <w:jc w:val="left"/>
      </w:pPr>
      <w:r>
        <w:rPr>
          <w:rFonts w:eastAsia="等线" w:ascii="Arial" w:cs="Arial" w:hAnsi="Arial"/>
          <w:sz w:val="22"/>
        </w:rPr>
        <w:t>有3个小的subbasin存在outlet，不能合并</w:t>
      </w:r>
    </w:p>
    <w:p>
      <w:pPr>
        <w:spacing w:before="120" w:after="120" w:line="288" w:lineRule="auto"/>
        <w:ind w:left="453"/>
        <w:jc w:val="center"/>
      </w:pPr>
      <w:r>
        <w:drawing>
          <wp:inline distT="0" distR="0" distB="0" distL="0">
            <wp:extent cx="2733675" cy="27336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8"/>
                    <a:stretch>
                      <a:fillRect/>
                    </a:stretch>
                  </pic:blipFill>
                  <pic:spPr>
                    <a:xfrm>
                      <a:off x="0" y="0"/>
                      <a:ext cx="2733675" cy="2733675"/>
                    </a:xfrm>
                    <a:prstGeom prst="rect">
                      <a:avLst/>
                    </a:prstGeom>
                  </pic:spPr>
                </pic:pic>
              </a:graphicData>
            </a:graphic>
          </wp:inline>
        </w:drawing>
      </w:r>
    </w:p>
    <w:p>
      <w:pPr>
        <w:numPr>
          <w:numId w:val="70"/>
        </w:numPr>
        <w:spacing w:before="120" w:after="120" w:line="288" w:lineRule="auto"/>
        <w:ind w:left="0"/>
        <w:jc w:val="left"/>
      </w:pPr>
      <w:r>
        <w:rPr>
          <w:rFonts w:eastAsia="等线" w:ascii="Arial" w:cs="Arial" w:hAnsi="Arial"/>
          <w:sz w:val="22"/>
        </w:rPr>
        <w:t>Add Lakes</w:t>
      </w:r>
    </w:p>
    <w:p>
      <w:pPr>
        <w:numPr>
          <w:numId w:val="71"/>
        </w:numPr>
        <w:spacing w:before="120" w:after="120" w:line="288" w:lineRule="auto"/>
        <w:ind w:left="453"/>
        <w:jc w:val="left"/>
      </w:pPr>
      <w:r>
        <w:rPr>
          <w:rFonts w:eastAsia="等线" w:ascii="Arial" w:cs="Arial" w:hAnsi="Arial"/>
          <w:sz w:val="22"/>
        </w:rPr>
        <w:t>从</w:t>
      </w:r>
      <w:r>
        <w:rPr>
          <w:rFonts w:eastAsia="等线" w:ascii="Arial" w:cs="Arial" w:hAnsi="Arial"/>
          <w:sz w:val="22"/>
        </w:rPr>
        <w:t>天地图上下载的湖泊水库数据</w:t>
      </w:r>
      <w:r>
        <w:rPr>
          <w:rFonts w:eastAsia="等线" w:ascii="Arial" w:cs="Arial" w:hAnsi="Arial"/>
          <w:sz w:val="22"/>
        </w:rPr>
        <w:t>，裁剪。得到研究区内一个名为察尔森水库的区域。hyda_proj_clip.shp</w:t>
      </w:r>
    </w:p>
    <w:p>
      <w:pPr>
        <w:spacing w:before="120" w:after="120" w:line="288" w:lineRule="auto"/>
        <w:ind w:left="453"/>
        <w:jc w:val="center"/>
      </w:pPr>
      <w:r>
        <w:drawing>
          <wp:inline distT="0" distR="0" distB="0" distL="0">
            <wp:extent cx="4524375" cy="3562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9"/>
                    <a:stretch>
                      <a:fillRect/>
                    </a:stretch>
                  </pic:blipFill>
                  <pic:spPr>
                    <a:xfrm>
                      <a:off x="0" y="0"/>
                      <a:ext cx="4524375" cy="3562350"/>
                    </a:xfrm>
                    <a:prstGeom prst="rect">
                      <a:avLst/>
                    </a:prstGeom>
                  </pic:spPr>
                </pic:pic>
              </a:graphicData>
            </a:graphic>
          </wp:inline>
        </w:drawing>
      </w:r>
    </w:p>
    <w:p>
      <w:pPr>
        <w:spacing w:before="120" w:after="120" w:line="288" w:lineRule="auto"/>
        <w:ind w:left="453"/>
        <w:jc w:val="center"/>
      </w:pPr>
      <w:r>
        <w:drawing>
          <wp:inline distT="0" distR="0" distB="0" distL="0">
            <wp:extent cx="3152775" cy="13430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0"/>
                    <a:stretch>
                      <a:fillRect/>
                    </a:stretch>
                  </pic:blipFill>
                  <pic:spPr>
                    <a:xfrm>
                      <a:off x="0" y="0"/>
                      <a:ext cx="3152775" cy="1343025"/>
                    </a:xfrm>
                    <a:prstGeom prst="rect">
                      <a:avLst/>
                    </a:prstGeom>
                  </pic:spPr>
                </pic:pic>
              </a:graphicData>
            </a:graphic>
          </wp:inline>
        </w:drawing>
      </w:r>
    </w:p>
    <w:p>
      <w:pPr>
        <w:numPr>
          <w:numId w:val="72"/>
        </w:numPr>
        <w:spacing w:before="120" w:after="120" w:line="288" w:lineRule="auto"/>
        <w:ind w:left="453"/>
        <w:jc w:val="left"/>
      </w:pPr>
      <w:r>
        <w:rPr>
          <w:rFonts w:eastAsia="等线" w:ascii="Arial" w:cs="Arial" w:hAnsi="Arial"/>
          <w:sz w:val="22"/>
        </w:rPr>
        <w:t>将水库的shapefile进行修改</w:t>
      </w:r>
    </w:p>
    <w:p>
      <w:pPr>
        <w:spacing w:before="120" w:after="120" w:line="288" w:lineRule="auto"/>
        <w:ind w:left="453"/>
        <w:jc w:val="center"/>
      </w:pPr>
      <w:r>
        <w:drawing>
          <wp:inline distT="0" distR="0" distB="0" distL="0">
            <wp:extent cx="4371975" cy="30670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1"/>
                    <a:stretch>
                      <a:fillRect/>
                    </a:stretch>
                  </pic:blipFill>
                  <pic:spPr>
                    <a:xfrm>
                      <a:off x="0" y="0"/>
                      <a:ext cx="4371975" cy="3067050"/>
                    </a:xfrm>
                    <a:prstGeom prst="rect">
                      <a:avLst/>
                    </a:prstGeom>
                  </pic:spPr>
                </pic:pic>
              </a:graphicData>
            </a:graphic>
          </wp:inline>
        </w:drawing>
      </w:r>
    </w:p>
    <w:p>
      <w:pPr>
        <w:numPr>
          <w:numId w:val="73"/>
        </w:numPr>
        <w:spacing w:before="120" w:after="120" w:line="288" w:lineRule="auto"/>
        <w:ind w:left="453"/>
        <w:jc w:val="left"/>
      </w:pPr>
      <w:r>
        <w:rPr>
          <w:rFonts w:eastAsia="等线" w:ascii="Arial" w:cs="Arial" w:hAnsi="Arial"/>
          <w:sz w:val="22"/>
        </w:rPr>
        <w:t>修改添加水库点revorivoir</w:t>
      </w:r>
    </w:p>
    <w:p>
      <w:pPr>
        <w:pStyle w:val="3"/>
        <w:spacing w:before="300" w:after="120" w:line="288" w:lineRule="auto"/>
        <w:ind w:left="0"/>
        <w:jc w:val="left"/>
        <w:outlineLvl w:val="2"/>
      </w:pPr>
      <w:bookmarkStart w:name="heading_6" w:id="6"/>
      <w:r>
        <w:rPr>
          <w:rFonts w:eastAsia="等线" w:ascii="Arial" w:cs="Arial" w:hAnsi="Arial"/>
          <w:b w:val="true"/>
          <w:sz w:val="30"/>
        </w:rPr>
        <w:t xml:space="preserve">将土壤数据和气象导入SWAT+物理数据库 </w:t>
      </w:r>
      <w:bookmarkEnd w:id="6"/>
    </w:p>
    <w:p>
      <w:pPr>
        <w:spacing w:before="120" w:after="120" w:line="288" w:lineRule="auto"/>
        <w:ind w:left="0"/>
        <w:jc w:val="left"/>
      </w:pPr>
      <w:r>
        <w:rPr>
          <w:rFonts w:eastAsia="等线" w:ascii="Arial" w:cs="Arial" w:hAnsi="Arial"/>
          <w:sz w:val="22"/>
        </w:rPr>
        <w:t>用python脚本将土壤数据和lookup数据都存入到工程里的sqlite数据库中</w:t>
      </w:r>
      <w:r>
        <w:rPr>
          <w:rFonts w:eastAsia="等线" w:ascii="Arial" w:cs="Arial" w:hAnsi="Arial"/>
          <w:sz w:val="22"/>
        </w:rPr>
        <w:t>。</w:t>
      </w:r>
    </w:p>
    <w:p>
      <w:pPr>
        <w:spacing w:before="120" w:after="120" w:line="288" w:lineRule="auto"/>
        <w:ind w:left="0"/>
        <w:jc w:val="center"/>
      </w:pPr>
      <w:r>
        <w:drawing>
          <wp:inline distT="0" distR="0" distB="0" distL="0">
            <wp:extent cx="5257800" cy="27908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2"/>
                    <a:stretch>
                      <a:fillRect/>
                    </a:stretch>
                  </pic:blipFill>
                  <pic:spPr>
                    <a:xfrm>
                      <a:off x="0" y="0"/>
                      <a:ext cx="5257800" cy="2790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3543300" cy="42576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3"/>
                    <a:stretch>
                      <a:fillRect/>
                    </a:stretch>
                  </pic:blipFill>
                  <pic:spPr>
                    <a:xfrm>
                      <a:off x="0" y="0"/>
                      <a:ext cx="3543300" cy="4257675"/>
                    </a:xfrm>
                    <a:prstGeom prst="rect">
                      <a:avLst/>
                    </a:prstGeom>
                  </pic:spPr>
                </pic:pic>
              </a:graphicData>
            </a:graphic>
          </wp:inline>
        </w:drawing>
      </w:r>
    </w:p>
    <w:p>
      <w:pPr>
        <w:numPr>
          <w:numId w:val="74"/>
        </w:numPr>
        <w:spacing w:before="120" w:after="120" w:line="288" w:lineRule="auto"/>
        <w:ind w:left="0"/>
        <w:jc w:val="left"/>
      </w:pPr>
      <w:r>
        <w:rPr>
          <w:rFonts w:eastAsia="等线" w:ascii="Arial" w:cs="Arial" w:hAnsi="Arial"/>
          <w:sz w:val="22"/>
        </w:rPr>
        <w:t>HWSD 2.0v数据有7层</w:t>
      </w:r>
    </w:p>
    <w:p>
      <w:pPr>
        <w:numPr>
          <w:numId w:val="75"/>
        </w:numPr>
        <w:spacing w:before="120" w:after="120" w:line="288" w:lineRule="auto"/>
        <w:ind w:left="0"/>
        <w:jc w:val="left"/>
      </w:pPr>
      <w:r>
        <w:rPr>
          <w:rFonts w:eastAsia="等线" w:ascii="Arial" w:cs="Arial" w:hAnsi="Arial"/>
          <w:sz w:val="22"/>
        </w:rPr>
        <w:t xml:space="preserve">SWAT+ 的 </w:t>
      </w:r>
      <w:r>
        <w:rPr>
          <w:rFonts w:eastAsia="Consolas" w:ascii="Consolas" w:cs="Consolas" w:hAnsi="Consolas"/>
          <w:sz w:val="22"/>
          <w:shd w:fill="EFF0F1"/>
        </w:rPr>
        <w:t>soils_sol_layer</w:t>
      </w:r>
      <w:r>
        <w:rPr>
          <w:rFonts w:eastAsia="等线" w:ascii="Arial" w:cs="Arial" w:hAnsi="Arial"/>
          <w:sz w:val="22"/>
        </w:rPr>
        <w:t xml:space="preserve"> 表中，每一层需要填写从地表算起的累积深度（SOL_Z，单位 mm）。对应关系如下：</w:t>
      </w:r>
    </w:p>
    <w:p>
      <w:pPr>
        <w:spacing w:before="120" w:after="120" w:line="288" w:lineRule="auto"/>
        <w:ind w:left="0"/>
      </w:pPr>
      <w:r>
        <w:object>
          <v:shape id="_x0000_i1026" style="width:414pt;height:147pt;mso-width-percent:0;mso-height-percent:0;mso-width-percent:0;mso-height-percent:0" type="#_x0000_t75" o:ole="">
            <v:imagedata r:id="rId25" o:title=""/>
          </v:shape>
          <o:OLEObject DrawAspect="Icon" ObjectID="_1718471220" ProgID="Excel.Sheet.12" ShapeID="_x0000_i1026" Type="Embed" r:id="rId24"/>
        </w:object>
      </w:r>
    </w:p>
    <w:p>
      <w:pPr>
        <w:spacing w:after="120"/>
        <w:ind w:left="0"/>
        <w:jc w:val="center"/>
      </w:pPr>
      <w:r>
        <w:rPr>
          <w:rFonts w:eastAsia="等线" w:ascii="Arial" w:cs="Arial" w:hAnsi="Arial"/>
          <w:b w:val="true"/>
          <w:sz w:val="22"/>
        </w:rPr>
        <w:t>点击图片可查看完整电子表格</w:t>
      </w:r>
    </w:p>
    <w:p>
      <w:pPr>
        <w:numPr>
          <w:numId w:val="76"/>
        </w:numPr>
        <w:spacing w:before="120" w:after="120" w:line="288" w:lineRule="auto"/>
        <w:ind w:left="0"/>
        <w:jc w:val="left"/>
      </w:pPr>
      <w:r>
        <w:rPr>
          <w:rFonts w:eastAsia="等线" w:ascii="Arial" w:cs="Arial" w:hAnsi="Arial"/>
          <w:sz w:val="22"/>
        </w:rPr>
        <w:t>SWAT+ 每层要求的参数及其获取方式：</w:t>
      </w:r>
    </w:p>
    <w:p>
      <w:pPr>
        <w:spacing w:before="120" w:after="120" w:line="288" w:lineRule="auto"/>
        <w:ind w:left="0"/>
      </w:pPr>
      <w:r>
        <w:object>
          <v:shape id="_x0000_i1027" style="width:414pt;height:197pt;mso-width-percent:0;mso-height-percent:0;mso-width-percent:0;mso-height-percent:0" type="#_x0000_t75" o:ole="">
            <v:imagedata r:id="rId27" o:title=""/>
          </v:shape>
          <o:OLEObject DrawAspect="Icon" ObjectID="_1718471221" ProgID="Excel.Sheet.12" ShapeID="_x0000_i1027" Type="Embed" r:id="rId26"/>
        </w:object>
      </w:r>
    </w:p>
    <w:p>
      <w:pPr>
        <w:spacing w:after="120"/>
        <w:ind w:left="0"/>
        <w:jc w:val="center"/>
      </w:pPr>
      <w:r>
        <w:rPr>
          <w:rFonts w:eastAsia="等线" w:ascii="Arial" w:cs="Arial" w:hAnsi="Arial"/>
          <w:b w:val="true"/>
          <w:sz w:val="22"/>
        </w:rPr>
        <w:t>点击图片可查看完整电子表格</w:t>
      </w:r>
    </w:p>
    <w:p>
      <w:pPr>
        <w:numPr>
          <w:numId w:val="77"/>
        </w:numPr>
        <w:spacing w:before="120" w:after="120" w:line="288" w:lineRule="auto"/>
        <w:ind w:left="0"/>
        <w:jc w:val="left"/>
      </w:pPr>
      <w:r>
        <w:rPr>
          <w:rFonts w:eastAsia="等线" w:ascii="Arial" w:cs="Arial" w:hAnsi="Arial"/>
          <w:sz w:val="22"/>
        </w:rPr>
        <w:t>更新 3 张表：</w:t>
      </w:r>
      <w:r>
        <w:rPr>
          <w:rFonts w:eastAsia="Consolas" w:ascii="Consolas" w:cs="Consolas" w:hAnsi="Consolas"/>
          <w:sz w:val="22"/>
          <w:shd w:fill="EFF0F1"/>
        </w:rPr>
        <w:t>soils_sol</w:t>
      </w:r>
      <w:r>
        <w:rPr>
          <w:rFonts w:eastAsia="等线" w:ascii="Arial" w:cs="Arial" w:hAnsi="Arial"/>
          <w:sz w:val="22"/>
        </w:rPr>
        <w:t>、</w:t>
      </w:r>
      <w:r>
        <w:rPr>
          <w:rFonts w:eastAsia="Consolas" w:ascii="Consolas" w:cs="Consolas" w:hAnsi="Consolas"/>
          <w:sz w:val="22"/>
          <w:shd w:fill="EFF0F1"/>
        </w:rPr>
        <w:t>soils_sol_layer</w:t>
      </w:r>
      <w:r>
        <w:rPr>
          <w:rFonts w:eastAsia="等线" w:ascii="Arial" w:cs="Arial" w:hAnsi="Arial"/>
          <w:sz w:val="22"/>
        </w:rPr>
        <w:t>、</w:t>
      </w:r>
      <w:r>
        <w:rPr>
          <w:rFonts w:eastAsia="Consolas" w:ascii="Consolas" w:cs="Consolas" w:hAnsi="Consolas"/>
          <w:sz w:val="22"/>
          <w:shd w:fill="EFF0F1"/>
        </w:rPr>
        <w:t>usersoil</w:t>
      </w:r>
    </w:p>
    <w:p>
      <w:pPr>
        <w:numPr>
          <w:numId w:val="78"/>
        </w:numPr>
        <w:spacing w:before="120" w:after="120" w:line="288" w:lineRule="auto"/>
        <w:ind w:left="0"/>
        <w:jc w:val="left"/>
      </w:pPr>
      <w:r>
        <w:rPr>
          <w:rFonts w:eastAsia="等线" w:ascii="Arial" w:cs="Arial" w:hAnsi="Arial"/>
          <w:sz w:val="22"/>
        </w:rPr>
        <w:t>对 HWSD 中不直接提供的参数进行推算</w:t>
      </w:r>
    </w:p>
    <w:p>
      <w:pPr>
        <w:numPr>
          <w:numId w:val="79"/>
        </w:numPr>
        <w:spacing w:before="120" w:after="120" w:line="288" w:lineRule="auto"/>
        <w:ind w:left="453"/>
        <w:jc w:val="left"/>
      </w:pPr>
      <w:r>
        <w:rPr>
          <w:rFonts w:eastAsia="等线" w:ascii="Arial" w:cs="Arial" w:hAnsi="Arial"/>
          <w:sz w:val="22"/>
        </w:rPr>
        <w:t>AWC</w:t>
        <w:br/>
      </w:r>
      <w:r>
        <w:rPr>
          <w:rFonts w:eastAsia="等线" w:ascii="Arial" w:cs="Arial" w:hAnsi="Arial"/>
          <w:sz w:val="22"/>
        </w:rPr>
        <w:t xml:space="preserve">采用 </w:t>
      </w:r>
      <w:r>
        <w:rPr>
          <w:rFonts w:eastAsia="等线" w:ascii="Arial" w:cs="Arial" w:hAnsi="Arial"/>
          <w:sz w:val="22"/>
        </w:rPr>
        <w:t>Saxton-Rawls 方法</w:t>
      </w:r>
      <w:r>
        <w:rPr>
          <w:rFonts w:eastAsia="等线" w:ascii="Arial" w:cs="Arial" w:hAnsi="Arial"/>
          <w:sz w:val="22"/>
        </w:rPr>
        <w:t>，根据：</w:t>
      </w:r>
    </w:p>
    <w:p>
      <w:pPr>
        <w:numPr>
          <w:numId w:val="80"/>
        </w:numPr>
        <w:spacing w:before="120" w:after="120" w:line="288" w:lineRule="auto"/>
        <w:ind w:left="907"/>
        <w:jc w:val="left"/>
      </w:pPr>
      <w:r>
        <w:rPr>
          <w:rFonts w:eastAsia="等线" w:ascii="Arial" w:cs="Arial" w:hAnsi="Arial"/>
          <w:sz w:val="22"/>
        </w:rPr>
        <w:t>先由有机碳换算有机质：organic matter = organic carbon × 1.724</w:t>
      </w:r>
    </w:p>
    <w:p>
      <w:pPr>
        <w:numPr>
          <w:numId w:val="81"/>
        </w:numPr>
        <w:spacing w:before="120" w:after="120" w:line="288" w:lineRule="auto"/>
        <w:ind w:left="907"/>
        <w:jc w:val="left"/>
      </w:pPr>
      <w:r>
        <w:rPr>
          <w:rFonts w:eastAsia="等线" w:ascii="Arial" w:cs="Arial" w:hAnsi="Arial"/>
          <w:sz w:val="22"/>
        </w:rPr>
        <w:t>再计算田间持水量和凋萎点，最后得到：AWC = θ33 - θ1500</w:t>
      </w:r>
    </w:p>
    <w:p>
      <w:pPr>
        <w:numPr>
          <w:numId w:val="82"/>
        </w:numPr>
        <w:spacing w:before="120" w:after="120" w:line="288" w:lineRule="auto"/>
        <w:ind w:left="453"/>
        <w:jc w:val="left"/>
      </w:pPr>
      <w:r>
        <w:rPr>
          <w:rFonts w:eastAsia="等线" w:ascii="Arial" w:cs="Arial" w:hAnsi="Arial"/>
          <w:sz w:val="22"/>
        </w:rPr>
        <w:t>饱和导水率 soil_k：Saxton-Rawls。推算土壤饱和含水特征，再得到 Ksat，并转换到 SWAT+ 需要的 mm/hr</w:t>
      </w:r>
    </w:p>
    <w:p>
      <w:pPr>
        <w:numPr>
          <w:numId w:val="83"/>
        </w:numPr>
        <w:spacing w:before="120" w:after="120" w:line="288" w:lineRule="auto"/>
        <w:ind w:left="453"/>
        <w:jc w:val="left"/>
      </w:pPr>
      <w:r>
        <w:rPr>
          <w:rFonts w:eastAsia="等线" w:ascii="Arial" w:cs="Arial" w:hAnsi="Arial"/>
          <w:sz w:val="22"/>
        </w:rPr>
        <w:t>USLE_K 使用EPIC常用经验公式texture： 根据砂粉黏比例，自动判定为：LOAM、SILT_LOAM、CLAY_LOAM等类型hyd_grp：根据表层土的导水率和一定约束规则估计</w:t>
      </w:r>
    </w:p>
    <w:p>
      <w:pPr>
        <w:numPr>
          <w:numId w:val="84"/>
        </w:numPr>
        <w:spacing w:before="120" w:after="120" w:line="288" w:lineRule="auto"/>
        <w:ind w:left="0"/>
        <w:jc w:val="left"/>
      </w:pPr>
      <w:r>
        <w:rPr>
          <w:rFonts w:eastAsia="等线" w:ascii="Arial" w:cs="Arial" w:hAnsi="Arial"/>
          <w:sz w:val="22"/>
        </w:rPr>
        <w:t>HWSD 中的异常或缺测土壤</w:t>
      </w:r>
    </w:p>
    <w:p>
      <w:pPr>
        <w:numPr>
          <w:numId w:val="85"/>
        </w:numPr>
        <w:spacing w:before="120" w:after="120" w:line="288" w:lineRule="auto"/>
        <w:ind w:left="453"/>
        <w:jc w:val="left"/>
      </w:pPr>
      <w:r>
        <w:rPr>
          <w:rFonts w:eastAsia="等线" w:ascii="Arial" w:cs="Arial" w:hAnsi="Arial"/>
          <w:sz w:val="22"/>
        </w:rPr>
        <w:t>编号为7001和11927类型的土壤7层属性基本全是无效值</w:t>
      </w:r>
      <w:r>
        <w:rPr>
          <w:rFonts w:eastAsia="等线" w:ascii="Arial" w:cs="Arial" w:hAnsi="Arial"/>
          <w:sz w:val="22"/>
        </w:rPr>
        <w:t>。</w:t>
      </w:r>
    </w:p>
    <w:p>
      <w:pPr>
        <w:numPr>
          <w:numId w:val="86"/>
        </w:numPr>
        <w:spacing w:before="120" w:after="120" w:line="288" w:lineRule="auto"/>
        <w:ind w:left="453"/>
        <w:jc w:val="left"/>
      </w:pPr>
      <w:r>
        <w:rPr>
          <w:rFonts w:eastAsia="等线" w:ascii="Arial" w:cs="Arial" w:hAnsi="Arial"/>
          <w:sz w:val="22"/>
        </w:rPr>
        <w:t>缺失</w:t>
      </w:r>
    </w:p>
    <w:p>
      <w:pPr>
        <w:numPr>
          <w:numId w:val="87"/>
        </w:numPr>
        <w:spacing w:before="120" w:after="120" w:line="288" w:lineRule="auto"/>
        <w:ind w:left="907"/>
        <w:jc w:val="left"/>
      </w:pPr>
      <w:r>
        <w:rPr>
          <w:rFonts w:eastAsia="等线" w:ascii="Arial" w:cs="Arial" w:hAnsi="Arial"/>
          <w:sz w:val="22"/>
        </w:rPr>
        <w:t>7001    TC (Technosols)    UR (Urbic)   人为土/技术土壤 0.32%</w:t>
      </w:r>
    </w:p>
    <w:p>
      <w:pPr>
        <w:numPr>
          <w:numId w:val="88"/>
        </w:numPr>
        <w:spacing w:before="120" w:after="120" w:line="288" w:lineRule="auto"/>
        <w:ind w:left="907"/>
        <w:jc w:val="left"/>
      </w:pPr>
      <w:r>
        <w:rPr>
          <w:rFonts w:eastAsia="等线" w:ascii="Arial" w:cs="Arial" w:hAnsi="Arial"/>
          <w:sz w:val="22"/>
        </w:rPr>
        <w:t>11927   WR (Waterlogged)   WR           积水土/潜育土 0.02%</w:t>
      </w:r>
    </w:p>
    <w:p>
      <w:pPr>
        <w:numPr>
          <w:numId w:val="89"/>
        </w:numPr>
        <w:spacing w:before="120" w:after="120" w:line="288" w:lineRule="auto"/>
        <w:ind w:left="907"/>
        <w:jc w:val="left"/>
      </w:pPr>
      <w:r>
        <w:rPr>
          <w:rFonts w:eastAsia="等线" w:ascii="Arial" w:cs="Arial" w:hAnsi="Arial"/>
          <w:sz w:val="22"/>
        </w:rPr>
        <w:t xml:space="preserve">  两者合计仅占流域的 0.34%（约 6,307 ha），属于面积很小的特殊土壤类型。</w:t>
      </w:r>
    </w:p>
    <w:p>
      <w:pPr>
        <w:numPr>
          <w:numId w:val="90"/>
        </w:numPr>
        <w:spacing w:before="120" w:after="120" w:line="288" w:lineRule="auto"/>
        <w:ind w:left="907"/>
        <w:jc w:val="left"/>
      </w:pPr>
      <w:r>
        <w:rPr>
          <w:rFonts w:eastAsia="等线" w:ascii="Arial" w:cs="Arial" w:hAnsi="Arial"/>
          <w:sz w:val="22"/>
        </w:rPr>
        <w:t>这两种类型的土壤所有层数据均缺失</w:t>
      </w:r>
    </w:p>
    <w:p>
      <w:pPr>
        <w:numPr>
          <w:numId w:val="91"/>
        </w:numPr>
        <w:spacing w:before="120" w:after="120" w:line="288" w:lineRule="auto"/>
        <w:ind w:left="907"/>
        <w:jc w:val="left"/>
      </w:pPr>
      <w:r>
        <w:rPr>
          <w:rFonts w:eastAsia="等线" w:ascii="Arial" w:cs="Arial" w:hAnsi="Arial"/>
          <w:sz w:val="22"/>
        </w:rPr>
        <w:t>其余类型数据全部完整</w:t>
      </w:r>
    </w:p>
    <w:p>
      <w:pPr>
        <w:numPr>
          <w:numId w:val="92"/>
        </w:numPr>
        <w:spacing w:before="120" w:after="120" w:line="288" w:lineRule="auto"/>
        <w:ind w:left="907"/>
        <w:jc w:val="left"/>
      </w:pPr>
      <w:r>
        <w:rPr>
          <w:rFonts w:eastAsia="等线" w:ascii="Arial" w:cs="Arial" w:hAnsi="Arial"/>
          <w:sz w:val="22"/>
        </w:rPr>
        <w:t>用相邻的土壤类型替换这两种土壤类型</w:t>
      </w:r>
    </w:p>
    <w:p>
      <w:pPr>
        <w:numPr>
          <w:numId w:val="93"/>
        </w:numPr>
        <w:spacing w:before="120" w:after="120" w:line="288" w:lineRule="auto"/>
        <w:ind w:left="453"/>
        <w:jc w:val="left"/>
      </w:pPr>
    </w:p>
    <w:p>
      <w:pPr>
        <w:numPr>
          <w:numId w:val="94"/>
        </w:numPr>
        <w:spacing w:before="120" w:after="120" w:line="288" w:lineRule="auto"/>
        <w:ind w:left="907"/>
        <w:jc w:val="left"/>
      </w:pPr>
    </w:p>
    <w:p>
      <w:pPr>
        <w:numPr>
          <w:numId w:val="95"/>
        </w:numPr>
        <w:spacing w:before="120" w:after="120" w:line="288" w:lineRule="auto"/>
        <w:ind w:left="907"/>
        <w:jc w:val="left"/>
      </w:pPr>
    </w:p>
    <w:p>
      <w:pPr>
        <w:numPr>
          <w:numId w:val="96"/>
        </w:numPr>
        <w:spacing w:before="120" w:after="120" w:line="288" w:lineRule="auto"/>
        <w:ind w:left="907"/>
        <w:jc w:val="left"/>
      </w:pPr>
    </w:p>
    <w:p>
      <w:pPr>
        <w:numPr>
          <w:numId w:val="97"/>
        </w:numPr>
        <w:spacing w:before="120" w:after="120" w:line="288" w:lineRule="auto"/>
        <w:ind w:left="907"/>
        <w:jc w:val="left"/>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创建HRU</w:t>
      </w:r>
      <w:bookmarkEnd w:id="7"/>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2895600" cy="34480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2895600" cy="3448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HRU有五千多个</w:t>
      </w:r>
    </w:p>
    <w:p>
      <w:pPr>
        <w:spacing w:before="120" w:after="120" w:line="288" w:lineRule="auto"/>
        <w:ind w:left="0"/>
        <w:jc w:val="center"/>
      </w:pPr>
      <w:r>
        <w:drawing>
          <wp:inline distT="0" distR="0" distB="0" distL="0">
            <wp:extent cx="3524250" cy="42862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9"/>
                    <a:stretch>
                      <a:fillRect/>
                    </a:stretch>
                  </pic:blipFill>
                  <pic:spPr>
                    <a:xfrm>
                      <a:off x="0" y="0"/>
                      <a:ext cx="3524250" cy="4286250"/>
                    </a:xfrm>
                    <a:prstGeom prst="rect">
                      <a:avLst/>
                    </a:prstGeom>
                  </pic:spPr>
                </pic:pic>
              </a:graphicData>
            </a:graphic>
          </wp:inline>
        </w:drawing>
      </w:r>
    </w:p>
    <w:p>
      <w:pPr>
        <w:spacing w:before="120" w:after="120" w:line="288" w:lineRule="auto"/>
        <w:ind w:left="0"/>
        <w:jc w:val="center"/>
      </w:pPr>
      <w:r>
        <w:drawing>
          <wp:inline distT="0" distR="0" distB="0" distL="0">
            <wp:extent cx="5257800" cy="55530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0"/>
                    <a:stretch>
                      <a:fillRect/>
                    </a:stretch>
                  </pic:blipFill>
                  <pic:spPr>
                    <a:xfrm>
                      <a:off x="0" y="0"/>
                      <a:ext cx="5257800" cy="5553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2828925" cy="32575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1"/>
                    <a:stretch>
                      <a:fillRect/>
                    </a:stretch>
                  </pic:blipFill>
                  <pic:spPr>
                    <a:xfrm>
                      <a:off x="0" y="0"/>
                      <a:ext cx="2828925" cy="3257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2609850" cy="31527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2"/>
                    <a:stretch>
                      <a:fillRect/>
                    </a:stretch>
                  </pic:blipFill>
                  <pic:spPr>
                    <a:xfrm>
                      <a:off x="0" y="0"/>
                      <a:ext cx="2609850" cy="3152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mac版本无法更换地下水模块</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将气象数据导入到数据库中</w:t>
      </w:r>
      <w:bookmarkEnd w:id="8"/>
    </w:p>
    <w:p>
      <w:pPr>
        <w:spacing w:before="120" w:after="120" w:line="288" w:lineRule="auto"/>
        <w:ind w:left="0"/>
        <w:jc w:val="left"/>
      </w:pPr>
      <w:r>
        <w:rPr>
          <w:rFonts w:eastAsia="等线" w:ascii="Arial" w:cs="Arial" w:hAnsi="Arial"/>
          <w:sz w:val="22"/>
        </w:rPr>
        <w:t>用python脚本将数据导入到数据库中</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设置Landuse management（所有HRU全部采用连续玉米）</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耕作主要作物与轮作模式调研</w:t>
      </w:r>
      <w:bookmarkEnd w:id="10"/>
    </w:p>
    <w:p>
      <w:pPr>
        <w:pStyle w:val="5"/>
        <w:spacing w:before="240" w:after="120" w:line="288" w:lineRule="auto"/>
        <w:ind w:left="0"/>
        <w:jc w:val="left"/>
        <w:outlineLvl w:val="4"/>
      </w:pPr>
      <w:bookmarkStart w:name="heading_11" w:id="11"/>
      <w:r>
        <w:rPr>
          <w:rFonts w:eastAsia="等线" w:ascii="Arial" w:cs="Arial" w:hAnsi="Arial"/>
          <w:b w:val="true"/>
          <w:sz w:val="24"/>
        </w:rPr>
        <w:t>主要作物</w:t>
      </w:r>
      <w:bookmarkEnd w:id="11"/>
    </w:p>
    <w:p>
      <w:pPr>
        <w:spacing w:before="120" w:after="120" w:line="288" w:lineRule="auto"/>
        <w:ind w:left="0"/>
        <w:jc w:val="left"/>
      </w:pPr>
      <w:r>
        <w:rPr>
          <w:rFonts w:eastAsia="等线" w:ascii="Arial" w:cs="Arial" w:hAnsi="Arial"/>
          <w:sz w:val="22"/>
        </w:rPr>
        <w:t>玉米（最主要）：2022年兴安盟玉米播种面积1223.28万亩、总产量593.3万吨，秸秆产量650万吨，利用率600万吨。兴安盟地处“玉米黄金种植带”，具有优越的发展玉米产业优势。</w:t>
      </w:r>
    </w:p>
    <w:p>
      <w:pPr>
        <w:spacing w:before="120" w:after="120" w:line="288" w:lineRule="auto"/>
        <w:ind w:left="0"/>
        <w:jc w:val="left"/>
      </w:pPr>
      <w:r>
        <w:rPr>
          <w:rFonts w:eastAsia="等线" w:ascii="Arial" w:cs="Arial" w:hAnsi="Arial"/>
          <w:sz w:val="22"/>
        </w:rPr>
        <w:t>大豆、水稻、马铃薯、小麦。</w:t>
      </w:r>
    </w:p>
    <w:p>
      <w:pPr>
        <w:pStyle w:val="5"/>
        <w:spacing w:before="240" w:after="120" w:line="288" w:lineRule="auto"/>
        <w:ind w:left="0"/>
        <w:jc w:val="left"/>
        <w:outlineLvl w:val="4"/>
      </w:pPr>
      <w:bookmarkStart w:name="heading_12" w:id="12"/>
      <w:r>
        <w:rPr>
          <w:rFonts w:eastAsia="等线" w:ascii="Arial" w:cs="Arial" w:hAnsi="Arial"/>
          <w:b w:val="true"/>
          <w:sz w:val="24"/>
        </w:rPr>
        <w:t>2024年作物结构</w:t>
      </w:r>
      <w:bookmarkEnd w:id="12"/>
    </w:p>
    <w:p>
      <w:pPr>
        <w:spacing w:before="120" w:after="120" w:line="288" w:lineRule="auto"/>
        <w:ind w:left="0"/>
        <w:jc w:val="left"/>
      </w:pPr>
      <w:r>
        <w:rPr>
          <w:rFonts w:eastAsia="等线" w:ascii="Arial" w:cs="Arial" w:hAnsi="Arial"/>
          <w:sz w:val="22"/>
          <w:shd w:fill="fff67a"/>
        </w:rPr>
        <w:t>玉米: 1278.2万亩 (81.4%)</w:t>
      </w:r>
    </w:p>
    <w:p>
      <w:pPr>
        <w:spacing w:before="120" w:after="120" w:line="288" w:lineRule="auto"/>
        <w:ind w:left="0"/>
        <w:jc w:val="left"/>
      </w:pPr>
      <w:r>
        <w:rPr>
          <w:rFonts w:eastAsia="等线" w:ascii="Arial" w:cs="Arial" w:hAnsi="Arial"/>
          <w:sz w:val="22"/>
        </w:rPr>
        <w:t>大豆: 229.41万亩</w:t>
      </w:r>
    </w:p>
    <w:p>
      <w:pPr>
        <w:spacing w:before="120" w:after="120" w:line="288" w:lineRule="auto"/>
        <w:ind w:left="0"/>
        <w:jc w:val="left"/>
      </w:pPr>
      <w:r>
        <w:rPr>
          <w:rFonts w:eastAsia="等线" w:ascii="Arial" w:cs="Arial" w:hAnsi="Arial"/>
          <w:sz w:val="22"/>
        </w:rPr>
        <w:t>水稻: 115万亩</w:t>
      </w:r>
    </w:p>
    <w:p>
      <w:pPr>
        <w:spacing w:before="120" w:after="120" w:line="288" w:lineRule="auto"/>
        <w:ind w:left="0"/>
        <w:jc w:val="left"/>
      </w:pPr>
      <w:r>
        <w:rPr>
          <w:rFonts w:eastAsia="等线" w:ascii="Arial" w:cs="Arial" w:hAnsi="Arial"/>
          <w:sz w:val="22"/>
        </w:rPr>
        <w:t>小麦: 12.1万亩</w:t>
      </w:r>
    </w:p>
    <w:p>
      <w:pPr>
        <w:spacing w:before="120" w:after="120" w:line="288" w:lineRule="auto"/>
        <w:ind w:left="0"/>
        <w:jc w:val="left"/>
      </w:pPr>
      <w:r>
        <w:rPr>
          <w:rFonts w:eastAsia="等线" w:ascii="Arial" w:cs="Arial" w:hAnsi="Arial"/>
          <w:sz w:val="22"/>
        </w:rPr>
        <w:t>马铃薯: 4.64万亩</w:t>
      </w:r>
    </w:p>
    <w:p>
      <w:pPr>
        <w:pStyle w:val="5"/>
        <w:spacing w:before="240" w:after="120" w:line="288" w:lineRule="auto"/>
        <w:ind w:left="0"/>
        <w:jc w:val="left"/>
        <w:outlineLvl w:val="4"/>
      </w:pPr>
      <w:bookmarkStart w:name="heading_13" w:id="13"/>
      <w:r>
        <w:rPr>
          <w:rFonts w:eastAsia="等线" w:ascii="Arial" w:cs="Arial" w:hAnsi="Arial"/>
          <w:b w:val="true"/>
          <w:sz w:val="24"/>
        </w:rPr>
        <w:t>轮作模式：</w:t>
      </w:r>
      <w:bookmarkEnd w:id="13"/>
    </w:p>
    <w:p>
      <w:pPr>
        <w:spacing w:before="120" w:after="120" w:line="288" w:lineRule="auto"/>
        <w:ind w:left="0"/>
        <w:jc w:val="left"/>
      </w:pPr>
      <w:r>
        <w:rPr>
          <w:rFonts w:eastAsia="等线" w:ascii="Arial" w:cs="Arial" w:hAnsi="Arial"/>
          <w:sz w:val="22"/>
        </w:rPr>
        <w:t>玉米大豆轮作</w:t>
      </w:r>
    </w:p>
    <w:p>
      <w:pPr>
        <w:spacing w:before="120" w:after="120" w:line="288" w:lineRule="auto"/>
        <w:ind w:left="0"/>
        <w:jc w:val="left"/>
      </w:pPr>
      <w:r>
        <w:rPr>
          <w:rFonts w:eastAsia="等线" w:ascii="Arial" w:cs="Arial" w:hAnsi="Arial"/>
          <w:sz w:val="22"/>
        </w:rPr>
        <w:t>以玉米与大豆、油料作物轮作为主,小麦、杂粮、薯类、经济作物与大豆、油料作物轮作为辅,前茬种植大豆、油料作物,2024年种植玉米、水稻的不纳入轮作范围。——《兴安盟2024年耕地轮作 工作方案》</w:t>
      </w:r>
    </w:p>
    <w:p>
      <w:pPr>
        <w:spacing w:before="120" w:after="120" w:line="288" w:lineRule="auto"/>
        <w:ind w:left="0"/>
        <w:jc w:val="left"/>
      </w:pPr>
      <w:r>
        <w:rPr>
          <w:rFonts w:eastAsia="等线" w:ascii="Arial" w:cs="Arial" w:hAnsi="Arial"/>
          <w:sz w:val="22"/>
        </w:rPr>
        <w:t>粮豆轮作即玉米大豆轮作， 以及马铃薯、 杂粮杂豆、甜菜、油菜等作物与玉米、大豆轮作。——《兴安盟2023年耕地轮作 工作方案》</w:t>
      </w:r>
    </w:p>
    <w:p>
      <w:pPr>
        <w:pStyle w:val="6"/>
        <w:spacing w:before="240" w:after="120" w:line="288" w:lineRule="auto"/>
        <w:ind w:left="0"/>
        <w:jc w:val="left"/>
        <w:outlineLvl w:val="5"/>
      </w:pPr>
      <w:bookmarkStart w:name="heading_14" w:id="14"/>
      <w:r>
        <w:rPr>
          <w:rFonts w:eastAsia="等线" w:ascii="Arial" w:cs="Arial" w:hAnsi="Arial"/>
          <w:b w:val="true"/>
          <w:sz w:val="24"/>
        </w:rPr>
        <w:t>参考引用：</w:t>
      </w:r>
      <w:bookmarkEnd w:id="14"/>
    </w:p>
    <w:p>
      <w:pPr>
        <w:spacing w:before="120" w:after="120" w:line="288" w:lineRule="auto"/>
        <w:ind w:left="0"/>
        <w:jc w:val="left"/>
      </w:pPr>
      <w:hyperlink r:id="rId33">
        <w:r>
          <w:rPr>
            <w:rFonts w:eastAsia="等线" w:ascii="Arial" w:cs="Arial" w:hAnsi="Arial"/>
            <w:color w:val="3370ff"/>
            <w:sz w:val="22"/>
          </w:rPr>
          <w:t>([1] 一项项保护性耕作技术在兴安盟大面积应用和推广)</w:t>
        </w:r>
      </w:hyperlink>
    </w:p>
    <w:p>
      <w:pPr>
        <w:spacing w:before="120" w:after="120" w:line="288" w:lineRule="auto"/>
        <w:ind w:left="0"/>
        <w:jc w:val="left"/>
      </w:pPr>
      <w:hyperlink r:id="rId34">
        <w:r>
          <w:rPr>
            <w:rFonts w:eastAsia="等线" w:ascii="Arial" w:cs="Arial" w:hAnsi="Arial"/>
            <w:color w:val="3370ff"/>
            <w:sz w:val="22"/>
          </w:rPr>
          <w:t>([2] 农业农村部耕地质量和农田工程监督保护中心)</w:t>
        </w:r>
      </w:hyperlink>
    </w:p>
    <w:p>
      <w:pPr>
        <w:spacing w:before="120" w:after="120" w:line="288" w:lineRule="auto"/>
        <w:ind w:left="0"/>
        <w:jc w:val="left"/>
      </w:pPr>
      <w:hyperlink r:id="rId35">
        <w:r>
          <w:rPr>
            <w:rFonts w:eastAsia="等线" w:ascii="Arial" w:cs="Arial" w:hAnsi="Arial"/>
            <w:color w:val="3370ff"/>
            <w:sz w:val="22"/>
          </w:rPr>
          <w:t>([3] 大兴安岭南麓丘陵漫岗坡耕地粮豆轮作免耕秸秆覆盖还田技术模式)</w:t>
        </w:r>
      </w:hyperlink>
    </w:p>
    <w:p>
      <w:pPr>
        <w:spacing w:before="120" w:after="120" w:line="288" w:lineRule="auto"/>
        <w:ind w:left="0"/>
        <w:jc w:val="left"/>
      </w:pPr>
      <w:hyperlink r:id="rId36">
        <w:r>
          <w:rPr>
            <w:rFonts w:eastAsia="等线" w:ascii="Arial" w:cs="Arial" w:hAnsi="Arial"/>
            <w:color w:val="3370ff"/>
            <w:sz w:val="22"/>
          </w:rPr>
          <w:t>([5] 颠覆认知！不用水田也能种水稻？兴安盟这波操作太硬核)</w:t>
        </w:r>
      </w:hyperlink>
    </w:p>
    <w:p>
      <w:pPr>
        <w:spacing w:before="120" w:after="120" w:line="288" w:lineRule="auto"/>
        <w:ind w:left="0"/>
        <w:jc w:val="left"/>
      </w:pPr>
      <w:hyperlink r:id="rId37">
        <w:r>
          <w:rPr>
            <w:rFonts w:eastAsia="等线" w:ascii="Arial" w:cs="Arial" w:hAnsi="Arial"/>
            <w:color w:val="3370ff"/>
            <w:sz w:val="22"/>
          </w:rPr>
          <w:t>([6] 兴安盟旱作农业节水技术)</w:t>
        </w:r>
      </w:hyperlink>
    </w:p>
    <w:p>
      <w:pPr>
        <w:spacing w:before="120" w:after="120" w:line="288" w:lineRule="auto"/>
        <w:ind w:left="0"/>
        <w:jc w:val="left"/>
      </w:pPr>
      <w:hyperlink r:id="rId38">
        <w:r>
          <w:rPr>
            <w:rFonts w:eastAsia="等线" w:ascii="Arial" w:cs="Arial" w:hAnsi="Arial"/>
            <w:color w:val="3370ff"/>
            <w:sz w:val="22"/>
          </w:rPr>
          <w:t>([9] 兴安盟农牧局关于印发《2025年兴安盟耕地轮作工作实施方案》的通知)</w:t>
        </w:r>
      </w:hyperlink>
    </w:p>
    <w:p>
      <w:pPr>
        <w:spacing w:before="120" w:after="120" w:line="288" w:lineRule="auto"/>
        <w:ind w:left="0"/>
        <w:jc w:val="left"/>
      </w:pPr>
      <w:hyperlink r:id="rId39">
        <w:r>
          <w:rPr>
            <w:rFonts w:eastAsia="等线" w:ascii="Arial" w:cs="Arial" w:hAnsi="Arial"/>
            <w:color w:val="3370ff"/>
            <w:sz w:val="22"/>
          </w:rPr>
          <w:t>([10] 单产提升工作典型旱地模式④——兴安盟玉米“全覆膜双垄沟播”栽培模式)</w:t>
        </w:r>
      </w:hyperlink>
    </w:p>
    <w:p>
      <w:pPr>
        <w:spacing w:before="120" w:after="120" w:line="288" w:lineRule="auto"/>
        <w:ind w:left="0"/>
        <w:jc w:val="left"/>
      </w:pPr>
      <w:hyperlink r:id="rId40">
        <w:r>
          <w:rPr>
            <w:rFonts w:eastAsia="等线" w:ascii="Arial" w:cs="Arial" w:hAnsi="Arial"/>
            <w:color w:val="3370ff"/>
            <w:sz w:val="22"/>
          </w:rPr>
          <w:t>([11] 兴安盟943万亩高标准农田答好“三道题”)</w:t>
        </w:r>
      </w:hyperlink>
    </w:p>
    <w:p>
      <w:pPr>
        <w:spacing w:before="120" w:after="120" w:line="288" w:lineRule="auto"/>
        <w:ind w:left="0"/>
        <w:jc w:val="left"/>
      </w:pPr>
      <w:hyperlink r:id="rId41">
        <w:r>
          <w:rPr>
            <w:rFonts w:eastAsia="等线" w:ascii="Arial" w:cs="Arial" w:hAnsi="Arial"/>
            <w:color w:val="3370ff"/>
            <w:sz w:val="22"/>
          </w:rPr>
          <w:t>([13] 扎赉特旗科技赋能守护黑土地)</w:t>
        </w:r>
      </w:hyperlink>
    </w:p>
    <w:p>
      <w:pPr>
        <w:spacing w:before="120" w:after="120" w:line="288" w:lineRule="auto"/>
        <w:ind w:left="0"/>
        <w:jc w:val="left"/>
      </w:pPr>
      <w:hyperlink r:id="rId42">
        <w:r>
          <w:rPr>
            <w:rFonts w:eastAsia="等线" w:ascii="Arial" w:cs="Arial" w:hAnsi="Arial"/>
            <w:color w:val="3370ff"/>
            <w:sz w:val="22"/>
          </w:rPr>
          <w:t>([14] 【文字解读】《2025年兴安盟耕地轮作工作实施方案》的解读)</w:t>
        </w:r>
      </w:hyperlink>
    </w:p>
    <w:p>
      <w:pPr>
        <w:spacing w:before="120" w:after="120" w:line="288" w:lineRule="auto"/>
        <w:ind w:left="0"/>
        <w:jc w:val="left"/>
      </w:pPr>
      <w:hyperlink r:id="rId43">
        <w:r>
          <w:rPr>
            <w:rFonts w:eastAsia="等线" w:ascii="Arial" w:cs="Arial" w:hAnsi="Arial"/>
            <w:color w:val="3370ff"/>
            <w:sz w:val="22"/>
          </w:rPr>
          <w:t>([15] 2025年全盟保护性耕作暨农机技术装备推广应用基地现场观摩培训会成功召开)</w:t>
        </w:r>
      </w:hyperlink>
    </w:p>
    <w:p>
      <w:pPr>
        <w:spacing w:before="120" w:after="120" w:line="288" w:lineRule="auto"/>
        <w:ind w:left="0"/>
        <w:jc w:val="left"/>
      </w:pPr>
      <w:hyperlink r:id="rId44">
        <w:r>
          <w:rPr>
            <w:rFonts w:eastAsia="等线" w:ascii="Arial" w:cs="Arial" w:hAnsi="Arial"/>
            <w:color w:val="3370ff"/>
            <w:sz w:val="22"/>
          </w:rPr>
          <w:t>([18] 兴安盟秋收提速：科技服务双发力 筑牢“塞北粮仓”丰收根基)</w:t>
        </w:r>
      </w:hyperlink>
    </w:p>
    <w:p>
      <w:pPr>
        <w:spacing w:before="120" w:after="120" w:line="288" w:lineRule="auto"/>
        <w:ind w:left="0"/>
        <w:jc w:val="left"/>
      </w:pPr>
    </w:p>
    <w:p>
      <w:pPr>
        <w:pStyle w:val="5"/>
        <w:spacing w:before="240" w:after="120" w:line="288" w:lineRule="auto"/>
        <w:ind w:left="0"/>
        <w:jc w:val="left"/>
        <w:outlineLvl w:val="4"/>
      </w:pPr>
      <w:bookmarkStart w:name="heading_15" w:id="15"/>
      <w:r>
        <w:rPr>
          <w:rFonts w:eastAsia="等线" w:ascii="Arial" w:cs="Arial" w:hAnsi="Arial"/>
          <w:b w:val="true"/>
          <w:sz w:val="24"/>
        </w:rPr>
        <w:t>作物类型及轮作模式表、文字说明文档</w:t>
      </w:r>
      <w:bookmarkEnd w:id="15"/>
    </w:p>
    <w:p>
      <w:pPr>
        <w:spacing w:before="120" w:after="120" w:line="288" w:lineRule="auto"/>
        <w:ind w:left="0"/>
        <w:jc w:val="left"/>
      </w:pPr>
      <w:r>
        <w:rPr>
          <w:rFonts w:eastAsia="等线" w:ascii="Arial" w:cs="Arial" w:hAnsi="Arial"/>
          <w:sz w:val="22"/>
        </w:rPr>
        <w:t>根据上面的资料和SWAT+里的默认参数生成了下面的表，表中一些参数有些是估算，之后可以调整。</w:t>
      </w:r>
    </w:p>
    <w:p>
      <w:pPr>
        <w:pStyle w:val="6"/>
        <w:spacing w:before="240" w:after="120" w:line="288" w:lineRule="auto"/>
        <w:ind w:left="0"/>
        <w:jc w:val="left"/>
        <w:outlineLvl w:val="5"/>
      </w:pPr>
      <w:bookmarkStart w:name="heading_16" w:id="16"/>
      <w:r>
        <w:rPr>
          <w:rFonts w:eastAsia="等线" w:ascii="Arial" w:cs="Arial" w:hAnsi="Arial"/>
          <w:b w:val="true"/>
          <w:sz w:val="24"/>
        </w:rPr>
        <w:t>作物基础参数表</w:t>
      </w:r>
      <w:bookmarkEnd w:id="16"/>
    </w:p>
    <w:p>
      <w:pPr>
        <w:spacing w:before="120" w:after="120" w:line="288" w:lineRule="auto"/>
        <w:ind w:left="0"/>
        <w:jc w:val="left"/>
      </w:pPr>
      <w:r>
        <w:rPr>
          <w:rFonts w:eastAsia="等线" w:ascii="Arial" w:cs="Arial" w:hAnsi="Arial"/>
          <w:sz w:val="22"/>
        </w:rPr>
        <w:t>crops_and_rotations.csv</w:t>
      </w:r>
    </w:p>
    <w:p>
      <w:pPr>
        <w:spacing w:before="120" w:after="120" w:line="288" w:lineRule="auto"/>
        <w:ind w:left="0"/>
        <w:jc w:val="left"/>
      </w:pPr>
      <w:r>
        <w:rPr>
          <w:rFonts w:eastAsia="等线" w:ascii="Arial" w:cs="Arial" w:hAnsi="Arial"/>
          <w:sz w:val="22"/>
        </w:rPr>
        <w:t xml:space="preserve">作为作物参数查阅表，在 QSWAT+ 中选配 </w:t>
      </w:r>
      <w:r>
        <w:rPr>
          <w:rFonts w:eastAsia="Consolas" w:ascii="Consolas" w:cs="Consolas" w:hAnsi="Consolas"/>
          <w:sz w:val="22"/>
          <w:shd w:fill="EFF0F1"/>
        </w:rPr>
        <w:t>plants_plt</w:t>
      </w:r>
      <w:r>
        <w:rPr>
          <w:rFonts w:eastAsia="等线" w:ascii="Arial" w:cs="Arial" w:hAnsi="Arial"/>
          <w:sz w:val="22"/>
        </w:rPr>
        <w:t xml:space="preserve"> 条目时的依据.</w:t>
      </w:r>
    </w:p>
    <w:p>
      <w:pPr>
        <w:spacing w:before="120" w:after="120" w:line="288" w:lineRule="auto"/>
        <w:ind w:left="0"/>
      </w:pPr>
      <w:r>
        <w:object>
          <v:shape id="_x0000_i1028" style="width:414pt;height:160pt;mso-width-percent:0;mso-height-percent:0;mso-width-percent:0;mso-height-percent:0" type="#_x0000_t75" o:ole="">
            <v:imagedata r:id="rId46" o:title=""/>
          </v:shape>
          <o:OLEObject DrawAspect="Icon" ObjectID="_1718471222" ProgID="Excel.Sheet.12" ShapeID="_x0000_i1028" Type="Embed" r:id="rId45"/>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7" w:id="17"/>
      <w:r>
        <w:rPr>
          <w:rFonts w:eastAsia="等线" w:ascii="Arial" w:cs="Arial" w:hAnsi="Arial"/>
          <w:b w:val="true"/>
          <w:sz w:val="24"/>
        </w:rPr>
        <w:t>轮作方案表：</w:t>
      </w:r>
      <w:bookmarkEnd w:id="17"/>
    </w:p>
    <w:p>
      <w:pPr>
        <w:spacing w:before="120" w:after="120" w:line="288" w:lineRule="auto"/>
        <w:ind w:left="0"/>
        <w:jc w:val="left"/>
      </w:pPr>
      <w:r>
        <w:rPr>
          <w:rFonts w:eastAsia="等线" w:ascii="Arial" w:cs="Arial" w:hAnsi="Arial"/>
          <w:sz w:val="22"/>
        </w:rPr>
        <w:t>rotation_schemes.csv</w:t>
      </w:r>
    </w:p>
    <w:p>
      <w:pPr>
        <w:spacing w:before="120" w:after="120" w:line="288" w:lineRule="auto"/>
        <w:ind w:left="0"/>
        <w:jc w:val="left"/>
      </w:pPr>
      <w:r>
        <w:rPr>
          <w:rFonts w:eastAsia="等线" w:ascii="Arial" w:cs="Arial" w:hAnsi="Arial"/>
          <w:sz w:val="22"/>
        </w:rPr>
        <w:t>确定各 HRU 应分配哪种轮作方案，是 QSWAT+ "Management → Rotations" 配置的直接输入依据。</w:t>
      </w:r>
    </w:p>
    <w:p>
      <w:pPr>
        <w:spacing w:before="120" w:after="120" w:line="288" w:lineRule="auto"/>
        <w:ind w:left="0"/>
      </w:pPr>
      <w:r>
        <w:object>
          <v:shape id="_x0000_i1029" style="width:414pt;height:155pt;mso-width-percent:0;mso-height-percent:0;mso-width-percent:0;mso-height-percent:0" type="#_x0000_t75" o:ole="">
            <v:imagedata r:id="rId48" o:title=""/>
          </v:shape>
          <o:OLEObject DrawAspect="Icon" ObjectID="_1718471223" ProgID="Excel.Sheet.12" ShapeID="_x0000_i1029" Type="Embed" r:id="rId47"/>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8" w:id="18"/>
      <w:r>
        <w:rPr>
          <w:rFonts w:eastAsia="等线" w:ascii="Arial" w:cs="Arial" w:hAnsi="Arial"/>
          <w:b w:val="true"/>
          <w:sz w:val="24"/>
        </w:rPr>
        <w:t>说明文档：</w:t>
      </w:r>
      <w:bookmarkEnd w:id="18"/>
    </w:p>
    <w:p>
      <w:pPr>
        <w:spacing w:before="120" w:after="120" w:line="288" w:lineRule="auto"/>
        <w:ind w:left="0"/>
        <w:jc w:val="left"/>
      </w:pPr>
      <w:r>
        <w:rPr>
          <w:rFonts w:eastAsia="等线" w:ascii="Arial" w:cs="Arial" w:hAnsi="Arial"/>
          <w:sz w:val="22"/>
        </w:rPr>
        <w:t>crop_survey_report.md</w:t>
      </w:r>
    </w:p>
    <w:p>
      <w:pPr>
        <w:spacing w:before="120" w:after="120" w:line="288" w:lineRule="auto"/>
        <w:ind w:left="0"/>
        <w:jc w:val="left"/>
      </w:pPr>
      <w:r>
        <w:rPr>
          <w:rFonts w:eastAsia="等线" w:ascii="Arial" w:cs="Arial" w:hAnsi="Arial"/>
          <w:sz w:val="22"/>
        </w:rPr>
        <w:t>management_type_notes.md</w:t>
      </w:r>
    </w:p>
    <w:p>
      <w:pPr>
        <w:pStyle w:val="4"/>
        <w:spacing w:before="260" w:after="120" w:line="288" w:lineRule="auto"/>
        <w:ind w:left="0"/>
        <w:jc w:val="left"/>
        <w:outlineLvl w:val="3"/>
      </w:pPr>
      <w:bookmarkStart w:name="heading_19" w:id="19"/>
      <w:r>
        <w:rPr>
          <w:rFonts w:eastAsia="等线" w:ascii="Arial" w:cs="Arial" w:hAnsi="Arial"/>
          <w:b w:val="true"/>
          <w:sz w:val="28"/>
        </w:rPr>
        <w:t>管理措施参数化</w:t>
      </w:r>
      <w:bookmarkEnd w:id="19"/>
    </w:p>
    <w:p>
      <w:pPr>
        <w:spacing w:before="120" w:after="120" w:line="288" w:lineRule="auto"/>
        <w:ind w:left="0"/>
        <w:jc w:val="left"/>
      </w:pPr>
      <w:r>
        <w:rPr>
          <w:rFonts w:eastAsia="等线" w:ascii="Arial" w:cs="Arial" w:hAnsi="Arial"/>
          <w:sz w:val="22"/>
        </w:rPr>
        <w:t>生成符合QSWAT+输入格式的表</w:t>
      </w:r>
    </w:p>
    <w:p>
      <w:pPr>
        <w:pStyle w:val="6"/>
        <w:spacing w:before="240" w:after="120" w:line="288" w:lineRule="auto"/>
        <w:ind w:left="0"/>
        <w:jc w:val="left"/>
        <w:outlineLvl w:val="5"/>
      </w:pPr>
      <w:bookmarkStart w:name="heading_20" w:id="20"/>
      <w:r>
        <w:rPr>
          <w:rFonts w:eastAsia="等线" w:ascii="Arial" w:cs="Arial" w:hAnsi="Arial"/>
          <w:b w:val="true"/>
          <w:sz w:val="24"/>
        </w:rPr>
        <w:t>管理方案汇总表：</w:t>
      </w:r>
      <w:bookmarkEnd w:id="20"/>
    </w:p>
    <w:p>
      <w:pPr>
        <w:spacing w:before="120" w:after="120" w:line="288" w:lineRule="auto"/>
        <w:ind w:left="0"/>
        <w:jc w:val="left"/>
      </w:pPr>
      <w:r>
        <w:rPr>
          <w:rFonts w:eastAsia="等线" w:ascii="Arial" w:cs="Arial" w:hAnsi="Arial"/>
          <w:sz w:val="22"/>
        </w:rPr>
        <w:t>management_schedules.csv</w:t>
      </w:r>
    </w:p>
    <w:p>
      <w:pPr>
        <w:spacing w:before="120" w:after="120" w:line="288" w:lineRule="auto"/>
        <w:ind w:left="0"/>
      </w:pPr>
      <w:r>
        <w:object>
          <v:shape id="_x0000_i1030" style="width:414pt;height:104pt;mso-width-percent:0;mso-height-percent:0;mso-width-percent:0;mso-height-percent:0" type="#_x0000_t75" o:ole="">
            <v:imagedata r:id="rId50" o:title=""/>
          </v:shape>
          <o:OLEObject DrawAspect="Icon" ObjectID="_1718471224" ProgID="Excel.Sheet.12" ShapeID="_x0000_i1030" Type="Embed" r:id="rId49"/>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21" w:id="21"/>
      <w:r>
        <w:rPr>
          <w:rFonts w:eastAsia="等线" w:ascii="Arial" w:cs="Arial" w:hAnsi="Arial"/>
          <w:b w:val="true"/>
          <w:sz w:val="24"/>
        </w:rPr>
        <w:t>管理操作明细表：</w:t>
      </w:r>
      <w:bookmarkEnd w:id="21"/>
    </w:p>
    <w:p>
      <w:pPr>
        <w:spacing w:before="120" w:after="120" w:line="288" w:lineRule="auto"/>
        <w:ind w:left="0"/>
        <w:jc w:val="left"/>
      </w:pPr>
      <w:r>
        <w:rPr>
          <w:rFonts w:eastAsia="等线" w:ascii="Arial" w:cs="Arial" w:hAnsi="Arial"/>
          <w:sz w:val="22"/>
        </w:rPr>
        <w:t>management_operations.csv</w:t>
      </w:r>
    </w:p>
    <w:p>
      <w:pPr>
        <w:spacing w:before="120" w:after="120" w:line="288" w:lineRule="auto"/>
        <w:ind w:left="0"/>
        <w:jc w:val="left"/>
      </w:pPr>
      <w:r>
        <w:rPr>
          <w:rFonts w:eastAsia="等线" w:ascii="Arial" w:cs="Arial" w:hAnsi="Arial"/>
          <w:sz w:val="22"/>
        </w:rPr>
        <w:t xml:space="preserve">可直接写入 </w:t>
      </w:r>
      <w:r>
        <w:rPr>
          <w:rFonts w:eastAsia="Consolas" w:ascii="Consolas" w:cs="Consolas" w:hAnsi="Consolas"/>
          <w:sz w:val="22"/>
          <w:shd w:fill="EFF0F1"/>
        </w:rPr>
        <w:t>management_sch_op</w:t>
      </w:r>
      <w:r>
        <w:rPr>
          <w:rFonts w:eastAsia="等线" w:ascii="Arial" w:cs="Arial" w:hAnsi="Arial"/>
          <w:sz w:val="22"/>
        </w:rPr>
        <w:t xml:space="preserve"> 表，或导入 QSWAT+ 的操作序列编辑器</w:t>
      </w:r>
    </w:p>
    <w:p>
      <w:pPr>
        <w:spacing w:before="120" w:after="120" w:line="288" w:lineRule="auto"/>
        <w:ind w:left="0"/>
      </w:pPr>
      <w:r>
        <w:object>
          <v:shape id="_x0000_i1031" style="width:414pt;height:197pt;mso-width-percent:0;mso-height-percent:0;mso-width-percent:0;mso-height-percent:0" type="#_x0000_t75" o:ole="">
            <v:imagedata r:id="rId52" o:title=""/>
          </v:shape>
          <o:OLEObject DrawAspect="Icon" ObjectID="_1718471225" ProgID="Excel.Sheet.12" ShapeID="_x0000_i1031" Type="Embed" r:id="rId51"/>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2" w:id="22"/>
      <w:r>
        <w:rPr>
          <w:rFonts w:eastAsia="等线" w:ascii="Arial" w:cs="Arial" w:hAnsi="Arial"/>
          <w:b w:val="true"/>
          <w:sz w:val="28"/>
        </w:rPr>
        <w:t>导入QSWAT+并配置管理方案</w:t>
      </w:r>
      <w:bookmarkEnd w:id="22"/>
    </w:p>
    <w:p>
      <w:pPr>
        <w:spacing w:before="120" w:after="120" w:line="288" w:lineRule="auto"/>
        <w:ind w:left="0"/>
        <w:jc w:val="left"/>
      </w:pPr>
      <w:r>
        <w:rPr>
          <w:rFonts w:eastAsia="等线" w:ascii="Arial" w:cs="Arial" w:hAnsi="Arial"/>
          <w:sz w:val="22"/>
        </w:rPr>
        <w:t>先通过SWAT+Editor手动输入了一个措施，了解了基本过程后，写了一个自动化输入脚本批量输入。</w:t>
      </w:r>
    </w:p>
    <w:p>
      <w:pPr>
        <w:pStyle w:val="4"/>
        <w:spacing w:before="260" w:after="120" w:line="288" w:lineRule="auto"/>
        <w:ind w:left="0"/>
        <w:jc w:val="left"/>
        <w:outlineLvl w:val="3"/>
      </w:pPr>
      <w:bookmarkStart w:name="heading_23" w:id="23"/>
      <w:r>
        <w:rPr>
          <w:rFonts w:eastAsia="等线" w:ascii="Arial" w:cs="Arial" w:hAnsi="Arial"/>
          <w:b w:val="true"/>
          <w:sz w:val="28"/>
        </w:rPr>
        <w:t>最后为了方便处理，所有HRU都使用了相同的管理措施，即</w:t>
      </w:r>
      <w:r>
        <w:rPr>
          <w:rFonts w:eastAsia="等线" w:ascii="Arial" w:cs="Arial" w:hAnsi="Arial"/>
          <w:b w:val="true"/>
          <w:sz w:val="28"/>
        </w:rPr>
        <w:t>连续玉米</w:t>
      </w:r>
      <w:bookmarkEnd w:id="23"/>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设置模拟参数并运行模型</w:t>
      </w:r>
      <w:bookmarkEnd w:id="24"/>
    </w:p>
    <w:p>
      <w:pPr>
        <w:spacing w:before="120" w:after="120" w:line="288" w:lineRule="auto"/>
        <w:ind w:left="0"/>
      </w:pPr>
      <w:r>
        <w:object>
          <v:shape id="_x0000_i1032" style="width:414pt;height:69pt;mso-width-percent:0;mso-height-percent:0;mso-width-percent:0;mso-height-percent:0" type="#_x0000_t75" o:ole="">
            <v:imagedata r:id="rId54" o:title=""/>
          </v:shape>
          <o:OLEObject DrawAspect="Icon" ObjectID="_1718471226" ProgID="Excel.Sheet.12" ShapeID="_x0000_i1032" Type="Embed" r:id="rId5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对模拟期进行划分，让率定期和验证期尽可能都包括丰水年、枯水年、平水年三种类型。</w:t>
      </w:r>
    </w:p>
    <w:p>
      <w:pPr>
        <w:spacing w:before="120" w:after="120" w:line="288" w:lineRule="auto"/>
        <w:ind w:left="0"/>
        <w:jc w:val="left"/>
      </w:pPr>
      <w:r>
        <w:rPr>
          <w:rFonts w:eastAsia="等线" w:ascii="Arial" w:cs="Arial" w:hAnsi="Arial"/>
          <w:sz w:val="22"/>
        </w:rPr>
        <w:t>预热期：2012.1.1-2014.12.31</w:t>
      </w:r>
    </w:p>
    <w:p>
      <w:pPr>
        <w:spacing w:before="120" w:after="120" w:line="288" w:lineRule="auto"/>
        <w:ind w:left="0"/>
        <w:jc w:val="left"/>
      </w:pPr>
      <w:r>
        <w:rPr>
          <w:rFonts w:eastAsia="等线" w:ascii="Arial" w:cs="Arial" w:hAnsi="Arial"/>
          <w:sz w:val="22"/>
        </w:rPr>
        <w:t>率定期：2018.1.1-2022.12.31</w:t>
      </w:r>
    </w:p>
    <w:p>
      <w:pPr>
        <w:spacing w:before="120" w:after="120" w:line="288" w:lineRule="auto"/>
        <w:ind w:left="0"/>
        <w:jc w:val="left"/>
      </w:pPr>
      <w:r>
        <w:rPr>
          <w:rFonts w:eastAsia="等线" w:ascii="Arial" w:cs="Arial" w:hAnsi="Arial"/>
          <w:sz w:val="22"/>
        </w:rPr>
        <w:t>验证期：2015.1.1-2017.12.31</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参数率定</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降水-径流关系图分析</w:t>
      </w:r>
      <w:bookmarkEnd w:id="26"/>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拿到流域水文站观测数据后，首要做的事情就是分析“降水-径流”关系，通过分析，可以了解研究区的水文过程特点，再结合其他资料，比如2021年10月附近的洪水时的新闻报道，了解极端事件的原因等等。这些都非常有利于指导建模过程中特别关注哪些水文过程，也有利于调整参数和率定。</w:t>
      </w:r>
    </w:p>
    <w:p>
      <w:pPr>
        <w:spacing w:before="120" w:after="120" w:line="288" w:lineRule="auto"/>
        <w:ind w:left="0"/>
        <w:jc w:val="left"/>
      </w:pPr>
      <w:r>
        <w:rPr>
          <w:rFonts w:eastAsia="等线" w:ascii="Arial" w:cs="Arial" w:hAnsi="Arial"/>
          <w:color w:val="d83931"/>
          <w:sz w:val="22"/>
        </w:rPr>
        <w:t>看到这张径流曲线图，肯定会问如下问题：1、图中时间跨度5年，前两年的径流分布和后三年完全不同，这是什么原因，后三年的基流明显增大了好几倍，洪峰也更高、持续时间更长，很大的可能是2020年前后发生了影响流域水文的重大事件（水库？）；2、当然，结合降水，能更好地发现问题，比如如果降水在后三年出现了明显增大，那可能是气候变化的原因，如果降水模式保持一致，那就是人为活动的影响；3、默认参数下的模拟结果基流几乎为零，这是为什么，是土壤数据有问题、导致没有渗漏到地下水、进而没有地下水出流吗？4、默认参数下的模拟峰值明显与实测有偏差，模拟的峰值大概率和降水的峰值是对应的，但并不能反映流域实际水文过程，这就需要理解流域地理环境特征去分析应该关注哪些水文过程，比如黑土地普遍是渗透性差、特别是土层之间导水率差异大、因而易形成土层间积水、积水不易通过壤中流排出；黑土地以长坡耕地为主，土壤抗蚀性能差，极易造成细沟侵蚀，一旦有暴雨，很易形成极陡洪峰过程……。</w:t>
      </w:r>
    </w:p>
    <w:p>
      <w:pPr>
        <w:spacing w:before="120" w:after="120" w:line="288" w:lineRule="auto"/>
        <w:ind w:left="0"/>
        <w:jc w:val="left"/>
      </w:pPr>
      <w:r>
        <w:rPr>
          <w:rFonts w:eastAsia="等线" w:ascii="Arial" w:cs="Arial" w:hAnsi="Arial"/>
          <w:color w:val="d83931"/>
          <w:sz w:val="22"/>
        </w:rPr>
        <w:t>另外，可以把率定和验证期放在一张图上，用虚线隔开或其他方式做好区分即可。</w:t>
      </w:r>
    </w:p>
    <w:p>
      <w:pPr>
        <w:spacing w:before="120" w:after="120" w:line="288" w:lineRule="auto"/>
        <w:ind w:left="0"/>
        <w:jc w:val="center"/>
      </w:pPr>
      <w:r>
        <w:drawing>
          <wp:inline distT="0" distR="0" distB="0" distL="0">
            <wp:extent cx="5257800" cy="19716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55"/>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basin_sd_cha_day.txt。precip（立方米）/面积</w:t>
      </w:r>
    </w:p>
    <w:p>
      <w:pPr>
        <w:spacing w:before="120" w:after="120" w:line="288" w:lineRule="auto"/>
        <w:ind w:left="0"/>
        <w:jc w:val="left"/>
      </w:pPr>
      <w:r>
        <w:rPr>
          <w:rFonts w:eastAsia="等线" w:ascii="Arial" w:cs="Arial" w:hAnsi="Arial"/>
          <w:sz w:val="22"/>
        </w:rPr>
        <w:t>从图上看每年的降水量大致相同，看不出哪些年份异常多。计算一下每年的总量，如下表所示：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41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年份</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降水总量（mm）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2015</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553.27</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2016</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398.42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2017</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372.52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2018</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603.75</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2019</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520.93</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2020</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689.57</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2021</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710.89</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454.61</w:t>
            </w:r>
          </w:p>
        </w:tc>
      </w:tr>
    </w:tbl>
    <w:p>
      <w:pPr>
        <w:spacing w:before="120" w:after="120" w:line="288" w:lineRule="auto"/>
        <w:ind w:left="0"/>
        <w:jc w:val="left"/>
      </w:pPr>
      <w:r>
        <w:rPr>
          <w:rFonts w:eastAsia="等线" w:ascii="Arial" w:cs="Arial" w:hAnsi="Arial"/>
          <w:sz w:val="22"/>
        </w:rPr>
        <w:t>2018年7月内蒙古确实出现了大暴雨</w:t>
      </w:r>
    </w:p>
    <w:p>
      <w:pPr>
        <w:spacing w:before="120" w:after="120" w:line="288" w:lineRule="auto"/>
        <w:ind w:left="0"/>
        <w:jc w:val="left"/>
      </w:pPr>
      <w:r>
        <w:rPr>
          <w:rFonts w:eastAsia="等线" w:ascii="Arial" w:cs="Arial" w:hAnsi="Arial"/>
          <w:sz w:val="22"/>
        </w:rPr>
        <w:t>http://www.cneb.gov.cn/2018/07/20/ARTI1532090515234926.shtml</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 水文站点           </w:t>
      </w:r>
      <w:r>
        <w:rPr>
          <w:rFonts w:eastAsia="等线" w:ascii="Arial" w:cs="Arial" w:hAnsi="Arial"/>
          <w:sz w:val="22"/>
        </w:rPr>
        <w:t xml:space="preserve"> </w:t>
      </w:r>
      <w:r>
        <w:rPr>
          <w:rFonts w:eastAsia="等线" w:ascii="Arial" w:cs="Arial" w:hAnsi="Arial"/>
          <w:b w:val="true"/>
          <w:sz w:val="22"/>
        </w:rPr>
        <w:t xml:space="preserve"> 对应文件                  </w:t>
      </w:r>
      <w:r>
        <w:rPr>
          <w:rFonts w:eastAsia="等线" w:ascii="Arial" w:cs="Arial" w:hAnsi="Arial"/>
          <w:sz w:val="22"/>
        </w:rPr>
        <w:t xml:space="preserve"> </w:t>
      </w:r>
      <w:r>
        <w:rPr>
          <w:rFonts w:eastAsia="等线" w:ascii="Arial" w:cs="Arial" w:hAnsi="Arial"/>
          <w:b w:val="true"/>
          <w:sz w:val="22"/>
        </w:rPr>
        <w:t xml:space="preserve"> 数据时段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镇西 (出口)          </w:t>
      </w:r>
      <w:r>
        <w:rPr>
          <w:rFonts w:eastAsia="等线" w:ascii="Arial" w:cs="Arial" w:hAnsi="Arial"/>
          <w:b w:val="true"/>
          <w:sz w:val="22"/>
        </w:rPr>
        <w:t>cha001_上游降水与出流.png</w:t>
      </w:r>
      <w:r>
        <w:rPr>
          <w:rFonts w:eastAsia="等线" w:ascii="Arial" w:cs="Arial" w:hAnsi="Arial"/>
          <w:sz w:val="22"/>
        </w:rPr>
        <w:t xml:space="preserve">   </w:t>
      </w:r>
      <w:r>
        <w:rPr>
          <w:rFonts w:eastAsia="等线" w:ascii="Arial" w:cs="Arial" w:hAnsi="Arial"/>
          <w:b w:val="true"/>
          <w:sz w:val="22"/>
        </w:rPr>
        <w:t>2012–2022</w:t>
      </w:r>
      <w:r>
        <w:rPr>
          <w:rFonts w:eastAsia="等线" w:ascii="Arial" w:cs="Arial" w:hAnsi="Arial"/>
          <w:sz w:val="22"/>
        </w:rPr>
        <w:t>（实测流量 4018天）</w:t>
      </w:r>
    </w:p>
    <w:p>
      <w:pPr>
        <w:spacing w:before="120" w:after="120" w:line="288" w:lineRule="auto"/>
        <w:ind w:left="0"/>
        <w:jc w:val="left"/>
      </w:pPr>
      <w:r>
        <w:rPr>
          <w:rFonts w:eastAsia="等线" w:ascii="Arial" w:cs="Arial" w:hAnsi="Arial"/>
          <w:sz w:val="22"/>
        </w:rPr>
        <w:t xml:space="preserve">   察尔森下             </w:t>
      </w:r>
      <w:r>
        <w:rPr>
          <w:rFonts w:eastAsia="等线" w:ascii="Arial" w:cs="Arial" w:hAnsi="Arial"/>
          <w:b w:val="true"/>
          <w:sz w:val="22"/>
        </w:rPr>
        <w:t>cha011_上游降水与出流.png</w:t>
      </w:r>
      <w:r>
        <w:rPr>
          <w:rFonts w:eastAsia="等线" w:ascii="Arial" w:cs="Arial" w:hAnsi="Arial"/>
          <w:sz w:val="22"/>
        </w:rPr>
        <w:t xml:space="preserve">   2015–2022（2922天）</w:t>
      </w:r>
    </w:p>
    <w:p>
      <w:pPr>
        <w:spacing w:before="120" w:after="120" w:line="288" w:lineRule="auto"/>
        <w:ind w:left="0"/>
        <w:jc w:val="left"/>
      </w:pPr>
      <w:r>
        <w:rPr>
          <w:rFonts w:eastAsia="等线" w:ascii="Arial" w:cs="Arial" w:hAnsi="Arial"/>
          <w:sz w:val="22"/>
        </w:rPr>
        <w:t xml:space="preserve">   PointId=11 (RES=1)   </w:t>
      </w:r>
      <w:r>
        <w:rPr>
          <w:rFonts w:eastAsia="等线" w:ascii="Arial" w:cs="Arial" w:hAnsi="Arial"/>
          <w:b w:val="true"/>
          <w:sz w:val="22"/>
        </w:rPr>
        <w:t>cha012_上游降水与出流.png</w:t>
      </w:r>
      <w:r>
        <w:rPr>
          <w:rFonts w:eastAsia="等线" w:ascii="Arial" w:cs="Arial" w:hAnsi="Arial"/>
          <w:sz w:val="22"/>
        </w:rPr>
        <w:t xml:space="preserve">   2015–2022</w:t>
      </w:r>
    </w:p>
    <w:p>
      <w:pPr>
        <w:spacing w:before="120" w:after="120" w:line="288" w:lineRule="auto"/>
        <w:ind w:left="0"/>
        <w:jc w:val="left"/>
      </w:pPr>
      <w:r>
        <w:rPr>
          <w:rFonts w:eastAsia="等线" w:ascii="Arial" w:cs="Arial" w:hAnsi="Arial"/>
          <w:sz w:val="22"/>
        </w:rPr>
        <w:t xml:space="preserve">   索伦                 </w:t>
      </w:r>
      <w:r>
        <w:rPr>
          <w:rFonts w:eastAsia="等线" w:ascii="Arial" w:cs="Arial" w:hAnsi="Arial"/>
          <w:b w:val="true"/>
          <w:sz w:val="22"/>
        </w:rPr>
        <w:t>cha033_上游降水与出流.png</w:t>
      </w:r>
      <w:r>
        <w:rPr>
          <w:rFonts w:eastAsia="等线" w:ascii="Arial" w:cs="Arial" w:hAnsi="Arial"/>
          <w:sz w:val="22"/>
        </w:rPr>
        <w:t xml:space="preserve">   2015–2022</w:t>
      </w:r>
    </w:p>
    <w:p>
      <w:pPr>
        <w:spacing w:before="120" w:after="120" w:line="288" w:lineRule="auto"/>
        <w:ind w:left="0"/>
        <w:jc w:val="left"/>
      </w:pPr>
      <w:r>
        <w:rPr>
          <w:rFonts w:eastAsia="等线" w:ascii="Arial" w:cs="Arial" w:hAnsi="Arial"/>
          <w:sz w:val="22"/>
        </w:rPr>
        <w:t xml:space="preserve">   阿力得尔             </w:t>
      </w:r>
      <w:r>
        <w:rPr>
          <w:rFonts w:eastAsia="等线" w:ascii="Arial" w:cs="Arial" w:hAnsi="Arial"/>
          <w:b w:val="true"/>
          <w:sz w:val="22"/>
        </w:rPr>
        <w:t>cha061_上游降水与出流.png</w:t>
      </w:r>
      <w:r>
        <w:rPr>
          <w:rFonts w:eastAsia="等线" w:ascii="Arial" w:cs="Arial" w:hAnsi="Arial"/>
          <w:sz w:val="22"/>
        </w:rPr>
        <w:t xml:space="preserve">   2015–2022</w:t>
      </w:r>
    </w:p>
    <w:p>
      <w:pPr>
        <w:spacing w:before="120" w:after="120" w:line="288" w:lineRule="auto"/>
        <w:ind w:left="0"/>
        <w:jc w:val="left"/>
      </w:pPr>
      <w:r>
        <w:rPr>
          <w:rFonts w:eastAsia="等线" w:ascii="Arial" w:cs="Arial" w:hAnsi="Arial"/>
          <w:sz w:val="22"/>
        </w:rPr>
        <w:t xml:space="preserve">   五岔沟               </w:t>
      </w:r>
      <w:r>
        <w:rPr>
          <w:rFonts w:eastAsia="等线" w:ascii="Arial" w:cs="Arial" w:hAnsi="Arial"/>
          <w:b w:val="true"/>
          <w:sz w:val="22"/>
        </w:rPr>
        <w:t>cha070_上游降水与出流.png</w:t>
      </w:r>
      <w:r>
        <w:rPr>
          <w:rFonts w:eastAsia="等线" w:ascii="Arial" w:cs="Arial" w:hAnsi="Arial"/>
          <w:sz w:val="22"/>
        </w:rPr>
        <w:t xml:space="preserve">   2015–2022</w:t>
      </w:r>
    </w:p>
    <w:p>
      <w:pPr>
        <w:spacing w:before="120" w:after="120" w:line="288" w:lineRule="auto"/>
        <w:ind w:left="0"/>
        <w:jc w:val="left"/>
      </w:pPr>
      <w:r>
        <w:rPr>
          <w:rFonts w:eastAsia="等线" w:ascii="Arial" w:cs="Arial" w:hAnsi="Arial"/>
          <w:sz w:val="22"/>
        </w:rPr>
        <w:t xml:space="preserve">   乌兰浩特             </w:t>
      </w:r>
      <w:r>
        <w:rPr>
          <w:rFonts w:eastAsia="等线" w:ascii="Arial" w:cs="Arial" w:hAnsi="Arial"/>
          <w:b w:val="true"/>
          <w:sz w:val="22"/>
        </w:rPr>
        <w:t>cha114_上游降水与出流.png</w:t>
      </w:r>
      <w:r>
        <w:rPr>
          <w:rFonts w:eastAsia="等线" w:ascii="Arial" w:cs="Arial" w:hAnsi="Arial"/>
          <w:sz w:val="22"/>
        </w:rPr>
        <w:t xml:space="preserve">   2015–2022</w:t>
      </w:r>
    </w:p>
    <w:p>
      <w:pPr>
        <w:spacing w:before="120" w:after="120" w:line="288" w:lineRule="auto"/>
        <w:ind w:left="0"/>
        <w:jc w:val="left"/>
      </w:pPr>
      <w:r>
        <w:rPr>
          <w:rFonts w:eastAsia="等线" w:ascii="Arial" w:cs="Arial" w:hAnsi="Arial"/>
          <w:sz w:val="22"/>
        </w:rPr>
        <w:t xml:space="preserve">   保隆                 </w:t>
      </w:r>
      <w:r>
        <w:rPr>
          <w:rFonts w:eastAsia="等线" w:ascii="Arial" w:cs="Arial" w:hAnsi="Arial"/>
          <w:b w:val="true"/>
          <w:sz w:val="22"/>
        </w:rPr>
        <w:t>cha131_上游降水与出流.png</w:t>
      </w:r>
      <w:r>
        <w:rPr>
          <w:rFonts w:eastAsia="等线" w:ascii="Arial" w:cs="Arial" w:hAnsi="Arial"/>
          <w:sz w:val="22"/>
        </w:rPr>
        <w:t xml:space="preserve">   2015–2022</w:t>
      </w:r>
    </w:p>
    <w:p>
      <w:pPr>
        <w:spacing w:before="120" w:after="120" w:line="288" w:lineRule="auto"/>
        <w:ind w:left="0"/>
        <w:jc w:val="left"/>
      </w:pPr>
      <w:r>
        <w:rPr>
          <w:rFonts w:eastAsia="等线" w:ascii="Arial" w:cs="Arial" w:hAnsi="Arial"/>
          <w:sz w:val="22"/>
        </w:rPr>
        <w:t xml:space="preserve">   大石寨               </w:t>
      </w:r>
      <w:r>
        <w:rPr>
          <w:rFonts w:eastAsia="等线" w:ascii="Arial" w:cs="Arial" w:hAnsi="Arial"/>
          <w:b w:val="true"/>
          <w:sz w:val="22"/>
        </w:rPr>
        <w:t>cha140_上游降水与出流.png</w:t>
      </w:r>
      <w:r>
        <w:rPr>
          <w:rFonts w:eastAsia="等线" w:ascii="Arial" w:cs="Arial" w:hAnsi="Arial"/>
          <w:sz w:val="22"/>
        </w:rPr>
        <w:t xml:space="preserve">   2015–2022</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hongxin_workspace2/calibration_output_deli8/upstream_stations/</w:t>
      </w:r>
    </w:p>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默认情况下的模拟结果</w:t>
      </w:r>
      <w:bookmarkEnd w:id="27"/>
    </w:p>
    <w:p>
      <w:pPr>
        <w:spacing w:before="120" w:after="120" w:line="288" w:lineRule="auto"/>
        <w:ind w:left="0"/>
        <w:jc w:val="center"/>
      </w:pPr>
      <w:r>
        <w:drawing>
          <wp:inline distT="0" distR="0" distB="0" distL="0">
            <wp:extent cx="5257800" cy="26098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56"/>
                    <a:stretch>
                      <a:fillRect/>
                    </a:stretch>
                  </pic:blipFill>
                  <pic:spPr>
                    <a:xfrm>
                      <a:off x="0" y="0"/>
                      <a:ext cx="5257800" cy="2609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重新运行模型后，默认参数下运行的结果</w:t>
      </w:r>
    </w:p>
    <w:p>
      <w:pPr>
        <w:spacing w:before="120" w:after="120" w:line="288" w:lineRule="auto"/>
        <w:ind w:left="0"/>
        <w:jc w:val="center"/>
      </w:pPr>
      <w:r>
        <w:drawing>
          <wp:inline distT="0" distR="0" distB="0" distL="0">
            <wp:extent cx="5257800" cy="26289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57"/>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单独对索伦上游流域进行建模得到的结果</w:t>
      </w:r>
    </w:p>
    <w:p>
      <w:pPr>
        <w:spacing w:before="120" w:after="120" w:line="288" w:lineRule="auto"/>
        <w:ind w:left="0"/>
        <w:jc w:val="center"/>
      </w:pPr>
      <w:r>
        <w:drawing>
          <wp:inline distT="0" distR="0" distB="0" distL="0">
            <wp:extent cx="5257800" cy="26289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58"/>
                    <a:stretch>
                      <a:fillRect/>
                    </a:stretch>
                  </pic:blipFill>
                  <pic:spPr>
                    <a:xfrm>
                      <a:off x="0" y="0"/>
                      <a:ext cx="5257800" cy="2628900"/>
                    </a:xfrm>
                    <a:prstGeom prst="rect">
                      <a:avLst/>
                    </a:prstGeom>
                  </pic:spPr>
                </pic:pic>
              </a:graphicData>
            </a:graphic>
          </wp:inline>
        </w:drawing>
      </w:r>
    </w:p>
    <w:p>
      <w:pPr>
        <w:spacing w:before="120" w:after="120" w:line="288" w:lineRule="auto"/>
        <w:ind w:left="0"/>
        <w:jc w:val="center"/>
      </w:pPr>
      <w:r>
        <w:drawing>
          <wp:inline distT="0" distR="0" distB="0" distL="0">
            <wp:extent cx="5257800" cy="19716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59"/>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从流域出口观测数据（蓝色）和降水的对比图中观察水文特征以及模型能否表达的总结：</w:t>
      </w:r>
      <w:bookmarkEnd w:id="28"/>
    </w:p>
    <w:p>
      <w:pPr>
        <w:pStyle w:val="5"/>
        <w:spacing w:before="240" w:after="120" w:line="288" w:lineRule="auto"/>
        <w:ind w:left="0"/>
        <w:jc w:val="left"/>
        <w:outlineLvl w:val="4"/>
      </w:pPr>
      <w:bookmarkStart w:name="heading_29" w:id="29"/>
      <w:r>
        <w:rPr>
          <w:rFonts w:eastAsia="等线" w:ascii="Arial" w:cs="Arial" w:hAnsi="Arial"/>
          <w:color w:val="3370ff"/>
          <w:sz w:val="24"/>
        </w:rPr>
        <w:t xml:space="preserve">1. </w:t>
      </w:r>
      <w:r>
        <w:rPr>
          <w:rFonts w:eastAsia="等线" w:ascii="Arial" w:cs="Arial" w:hAnsi="Arial"/>
          <w:b w:val="true"/>
          <w:sz w:val="24"/>
        </w:rPr>
        <w:t>率定期后三年（2020-2022）的降水和前两年（2018-2019）年的降水相差不大，但是径流分布完全不同。这是什么原因，后三年的基流明显增大了好几倍，洪峰也更高、持续时间更长，很大的可能是2020年前后发生了影响流域水文的重大事件。</w:t>
      </w:r>
      <w:bookmarkEnd w:id="29"/>
    </w:p>
    <w:p>
      <w:pPr>
        <w:spacing w:before="120" w:after="120" w:line="288" w:lineRule="auto"/>
        <w:ind w:left="0"/>
        <w:jc w:val="left"/>
      </w:pPr>
      <w:r>
        <w:rPr>
          <w:rFonts w:eastAsia="等线" w:ascii="Arial" w:cs="Arial" w:hAnsi="Arial"/>
          <w:sz w:val="22"/>
        </w:rPr>
        <w:t>查阅资料发现，2020年发生了两个事件</w:t>
      </w:r>
    </w:p>
    <w:p>
      <w:pPr>
        <w:spacing w:before="120" w:after="120" w:line="288" w:lineRule="auto"/>
        <w:ind w:left="0"/>
        <w:jc w:val="left"/>
      </w:pPr>
      <w:r>
        <w:rPr>
          <w:rFonts w:eastAsia="等线" w:ascii="Arial" w:cs="Arial" w:hAnsi="Arial"/>
          <w:sz w:val="22"/>
        </w:rPr>
        <w:t>（1）2020年察尔森水库除险加固工程完工。改变了调度方式。察尔森水库在非灌溉期首次持续向下游放水，结束了洮儿河下游"冬季断流"的历史。</w:t>
      </w:r>
    </w:p>
    <w:p>
      <w:pPr>
        <w:spacing w:before="120" w:after="120" w:line="288" w:lineRule="auto"/>
        <w:ind w:left="0"/>
        <w:jc w:val="center"/>
      </w:pPr>
      <w:r>
        <w:drawing>
          <wp:inline distT="0" distR="0" distB="0" distL="0">
            <wp:extent cx="5257800" cy="7048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60"/>
                    <a:stretch>
                      <a:fillRect/>
                    </a:stretch>
                  </pic:blipFill>
                  <pic:spPr>
                    <a:xfrm>
                      <a:off x="0" y="0"/>
                      <a:ext cx="5257800" cy="704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（2）2020年吉林省西部河湖连通工程全面完工。工程将嫩江、洮儿河、霍林河等河流汛期的富余水资源存蓄到天然湖泊和湿地，大幅增加了流域蓄水能力。这使得地下水位抬升了1米，基流占比增加。</w:t>
      </w:r>
    </w:p>
    <w:p>
      <w:pPr>
        <w:spacing w:before="120" w:after="120" w:line="288" w:lineRule="auto"/>
        <w:ind w:left="0"/>
        <w:jc w:val="left"/>
      </w:pPr>
    </w:p>
    <w:p>
      <w:pPr>
        <w:pStyle w:val="5"/>
        <w:spacing w:before="240" w:after="120" w:line="288" w:lineRule="auto"/>
        <w:ind w:left="0"/>
        <w:jc w:val="left"/>
        <w:outlineLvl w:val="4"/>
      </w:pPr>
      <w:bookmarkStart w:name="heading_30" w:id="30"/>
      <w:r>
        <w:rPr>
          <w:rFonts w:eastAsia="等线" w:ascii="Arial" w:cs="Arial" w:hAnsi="Arial"/>
          <w:color w:val="3370ff"/>
          <w:sz w:val="24"/>
        </w:rPr>
        <w:t xml:space="preserve">2. </w:t>
      </w:r>
      <w:bookmarkEnd w:id="30"/>
    </w:p>
    <w:p>
      <w:pPr>
        <w:pStyle w:val="5"/>
        <w:spacing w:before="240" w:after="120" w:line="288" w:lineRule="auto"/>
        <w:ind w:left="0"/>
        <w:jc w:val="left"/>
        <w:outlineLvl w:val="4"/>
      </w:pPr>
      <w:bookmarkStart w:name="heading_31" w:id="31"/>
      <w:r>
        <w:rPr>
          <w:rFonts w:eastAsia="等线" w:ascii="Arial" w:cs="Arial" w:hAnsi="Arial"/>
          <w:color w:val="3370ff"/>
          <w:sz w:val="24"/>
        </w:rPr>
        <w:t xml:space="preserve">3. </w:t>
      </w:r>
      <w:r>
        <w:rPr>
          <w:rFonts w:eastAsia="等线" w:ascii="Arial" w:cs="Arial" w:hAnsi="Arial"/>
          <w:b w:val="true"/>
          <w:sz w:val="24"/>
        </w:rPr>
        <w:t>年际变化</w:t>
      </w:r>
      <w:bookmarkEnd w:id="31"/>
    </w:p>
    <w:p>
      <w:pPr>
        <w:spacing w:before="120" w:after="120" w:line="288" w:lineRule="auto"/>
        <w:ind w:left="0"/>
        <w:jc w:val="left"/>
      </w:pPr>
      <w:r>
        <w:rPr>
          <w:rFonts w:eastAsia="等线" w:ascii="Arial" w:cs="Arial" w:hAnsi="Arial"/>
          <w:sz w:val="22"/>
        </w:rPr>
        <w:t>多年平均年降水量为553.6mm，属于半干旱半湿润过渡带的降水量水平。年降水量范围在386.0-696.8mm，丰水年与枯水年之间相差1.8倍，年际波动明显。</w:t>
      </w:r>
    </w:p>
    <w:p>
      <w:pPr>
        <w:spacing w:before="120" w:after="120" w:line="288" w:lineRule="auto"/>
        <w:ind w:left="0"/>
        <w:jc w:val="left"/>
      </w:pPr>
      <w:r>
        <w:rPr>
          <w:rFonts w:eastAsia="等线" w:ascii="Arial" w:cs="Arial" w:hAnsi="Arial"/>
          <w:sz w:val="22"/>
        </w:rPr>
        <w:t>径流多年平均流量为40.6m³/s，年径流深为69.7mm，产水量有限，属于低产流区。径流的变异系数Cv为0.674，远高于降水变异系数，年际变化极其剧烈。年径流深范围为10.8 ~ 164.1 mm，最大与最小年间相差达15.2倍。降水的年际波动被径流放大，说明在丰水年，降雨产流效率明显提高，在枯水年，大量降水被蒸散发或土壤吸收，产流效率明显下降。</w:t>
      </w:r>
    </w:p>
    <w:p>
      <w:pPr>
        <w:spacing w:before="120" w:after="120" w:line="288" w:lineRule="auto"/>
        <w:ind w:left="0"/>
        <w:jc w:val="left"/>
      </w:pPr>
      <w:r>
        <w:rPr>
          <w:rFonts w:eastAsia="等线" w:ascii="Arial" w:cs="Arial" w:hAnsi="Arial"/>
          <w:sz w:val="22"/>
        </w:rPr>
        <w:t>分析原因如下：</w:t>
      </w:r>
    </w:p>
    <w:p>
      <w:pPr>
        <w:spacing w:before="120" w:after="120" w:line="288" w:lineRule="auto"/>
        <w:ind w:left="0"/>
        <w:jc w:val="left"/>
      </w:pPr>
      <w:r>
        <w:rPr>
          <w:rFonts w:eastAsia="等线" w:ascii="Arial" w:cs="Arial" w:hAnsi="Arial"/>
          <w:sz w:val="22"/>
        </w:rPr>
        <w:t>（1）季节性冻土。冬季土壤冻结形成隔水层，春季融雪时产流效率极高；夏季冻土融化后下渗通道打开，大量降水入渗补给土壤和地下水，地表径流减少。</w:t>
      </w:r>
    </w:p>
    <w:p>
      <w:pPr>
        <w:spacing w:before="120" w:after="120" w:line="288" w:lineRule="auto"/>
        <w:ind w:left="0"/>
        <w:jc w:val="left"/>
      </w:pPr>
      <w:r>
        <w:rPr>
          <w:rFonts w:eastAsia="等线" w:ascii="Arial" w:cs="Arial" w:hAnsi="Arial"/>
          <w:sz w:val="22"/>
        </w:rPr>
        <w:t>（2）前期土壤含水量。丰水年土壤饱和度高，降水产流效率高（径流系数可达0.23）；枯水年</w:t>
      </w:r>
    </w:p>
    <w:p>
      <w:pPr>
        <w:spacing w:before="120" w:after="120" w:line="288" w:lineRule="auto"/>
        <w:ind w:left="0"/>
        <w:jc w:val="left"/>
      </w:pPr>
      <w:r>
        <w:rPr>
          <w:rFonts w:eastAsia="等线" w:ascii="Arial" w:cs="Arial" w:hAnsi="Arial"/>
          <w:sz w:val="22"/>
        </w:rPr>
        <w:t>（3）蒸发反馈。丰水年一般具有较高的夏季气温，蒸散发增强会消耗部分额外降水；枯水年温度偏低，蒸发减少，但降水本身太少，无法弥补土壤缺水。</w:t>
      </w:r>
    </w:p>
    <w:p>
      <w:pPr>
        <w:spacing w:before="120" w:after="120" w:line="288" w:lineRule="auto"/>
        <w:ind w:left="0"/>
        <w:jc w:val="left"/>
      </w:pPr>
      <w:r>
        <w:rPr>
          <w:rFonts w:eastAsia="等线" w:ascii="Arial" w:cs="Arial" w:hAnsi="Arial"/>
          <w:sz w:val="22"/>
        </w:rPr>
        <w:t>（4）融雪径流。春汛（3-5月）是重要径流来源。模型输出显示年降雪约40mm、融雪约39mm，说明积雪几乎全部转化为径流。积雪年际差异（积雪深度、融雪速度）会叠加在降雨年际波动之上，进一步放大径流变幅。</w:t>
      </w:r>
    </w:p>
    <w:p>
      <w:pPr>
        <w:spacing w:before="120" w:after="120" w:line="288" w:lineRule="auto"/>
        <w:ind w:left="0"/>
        <w:jc w:val="center"/>
      </w:pPr>
      <w:r>
        <w:drawing>
          <wp:inline distT="0" distR="0" distB="0" distL="0">
            <wp:extent cx="5257800" cy="21621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61"/>
                    <a:stretch>
                      <a:fillRect/>
                    </a:stretch>
                  </pic:blipFill>
                  <pic:spPr>
                    <a:xfrm>
                      <a:off x="0" y="0"/>
                      <a:ext cx="5257800" cy="2162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从图上来看，2012年的降水量多于2015年，但是2012年的径流量却少于2015年。说明产流量还和其他因素有关系，</w:t>
      </w:r>
      <w:r>
        <w:rPr>
          <w:rFonts w:eastAsia="等线" w:ascii="Arial" w:cs="Arial" w:hAnsi="Arial"/>
          <w:sz w:val="22"/>
        </w:rPr>
        <w:t>比如前期土壤含水量。</w:t>
      </w:r>
    </w:p>
    <w:p>
      <w:pPr>
        <w:spacing w:before="120" w:after="120" w:line="288" w:lineRule="auto"/>
        <w:ind w:left="0"/>
        <w:jc w:val="left"/>
      </w:pPr>
      <w:r>
        <w:rPr>
          <w:rFonts w:eastAsia="等线" w:ascii="Arial" w:cs="Arial" w:hAnsi="Arial"/>
          <w:sz w:val="22"/>
        </w:rPr>
        <w:t>模型表达：</w:t>
      </w:r>
    </w:p>
    <w:p>
      <w:pPr>
        <w:spacing w:before="120" w:after="120" w:line="288" w:lineRule="auto"/>
        <w:ind w:left="0"/>
        <w:jc w:val="left"/>
      </w:pPr>
      <w:r>
        <w:rPr>
          <w:rFonts w:eastAsia="等线" w:ascii="Arial" w:cs="Arial" w:hAnsi="Arial"/>
          <w:sz w:val="22"/>
        </w:rPr>
        <w:t xml:space="preserve"> 理论上：SCS-CN 产流方法 + cn3_swf + awc + perco + esco 可以表达"干燥年产流少、湿润年产流多"的非线性阈值效应。</w:t>
      </w:r>
    </w:p>
    <w:p>
      <w:pPr>
        <w:spacing w:before="120" w:after="120" w:line="288" w:lineRule="auto"/>
        <w:ind w:left="0"/>
        <w:jc w:val="left"/>
      </w:pPr>
      <w:r>
        <w:rPr>
          <w:rFonts w:eastAsia="等线" w:ascii="Arial" w:cs="Arial" w:hAnsi="Arial"/>
          <w:sz w:val="22"/>
        </w:rPr>
        <w:t xml:space="preserve"> 实际局限性：</w:t>
      </w:r>
    </w:p>
    <w:p>
      <w:pPr>
        <w:spacing w:before="120" w:after="120" w:line="288" w:lineRule="auto"/>
        <w:ind w:left="0"/>
        <w:jc w:val="left"/>
      </w:pPr>
      <w:r>
        <w:rPr>
          <w:rFonts w:eastAsia="等线" w:ascii="Arial" w:cs="Arial" w:hAnsi="Arial"/>
          <w:sz w:val="22"/>
        </w:rPr>
        <w:t xml:space="preserve">  • SCS-CN 是一种集总式经验模型，它对前期土壤湿度的响应曲线是固定的（由 cn3_swf 控制）。</w:t>
      </w:r>
    </w:p>
    <w:p>
      <w:pPr>
        <w:spacing w:before="120" w:after="120" w:line="288" w:lineRule="auto"/>
        <w:ind w:left="0"/>
        <w:jc w:val="left"/>
      </w:pPr>
      <w:r>
        <w:rPr>
          <w:rFonts w:eastAsia="等线" w:ascii="Arial" w:cs="Arial" w:hAnsi="Arial"/>
          <w:sz w:val="22"/>
        </w:rPr>
        <w:t xml:space="preserve">  • 实测中径流系数波动达 8 倍（0.028→0.235），这种极端波动可能已超出 SCS-CN 方法的合理物理范围。</w:t>
      </w:r>
    </w:p>
    <w:p>
      <w:pPr>
        <w:spacing w:before="120" w:after="120" w:line="288" w:lineRule="auto"/>
        <w:ind w:left="0"/>
        <w:jc w:val="left"/>
      </w:pPr>
      <w:r>
        <w:rPr>
          <w:rFonts w:eastAsia="等线" w:ascii="Arial" w:cs="Arial" w:hAnsi="Arial"/>
          <w:sz w:val="22"/>
        </w:rPr>
        <w:t xml:space="preserve">  • 项目实证：B1 方案通过 perco=0.15（降低下渗门槛）和 pet_co=0.90（降低蒸散发）匹配了平均水量，但过程线完全崩溃（NSE=-5.688）。这说明模型是通过"全局缩放"来匹配年均值，而非真正复现了每一年的事件尺度产流效率。</w:t>
      </w:r>
    </w:p>
    <w:p>
      <w:pPr>
        <w:pStyle w:val="5"/>
        <w:spacing w:before="240" w:after="120" w:line="288" w:lineRule="auto"/>
        <w:ind w:left="0"/>
        <w:jc w:val="left"/>
        <w:outlineLvl w:val="4"/>
      </w:pPr>
      <w:bookmarkStart w:name="heading_32" w:id="32"/>
      <w:r>
        <w:rPr>
          <w:rFonts w:eastAsia="等线" w:ascii="Arial" w:cs="Arial" w:hAnsi="Arial"/>
          <w:color w:val="3370ff"/>
          <w:sz w:val="24"/>
        </w:rPr>
        <w:t xml:space="preserve">4. </w:t>
      </w:r>
      <w:r>
        <w:rPr>
          <w:rFonts w:eastAsia="等线" w:ascii="Arial" w:cs="Arial" w:hAnsi="Arial"/>
          <w:b w:val="true"/>
          <w:sz w:val="24"/>
        </w:rPr>
        <w:t>季节性规律</w:t>
      </w:r>
      <w:bookmarkEnd w:id="32"/>
    </w:p>
    <w:p>
      <w:pPr>
        <w:spacing w:before="120" w:after="120" w:line="288" w:lineRule="auto"/>
        <w:ind w:left="0"/>
        <w:jc w:val="left"/>
      </w:pPr>
      <w:r>
        <w:rPr>
          <w:rFonts w:eastAsia="等线" w:ascii="Arial" w:cs="Arial" w:hAnsi="Arial"/>
          <w:sz w:val="22"/>
        </w:rPr>
        <w:t>降水年内分配极不均匀，高度集中于6-8月，春、冬季合计仅占15%左右。很少出现暴雨，但是单次降雨强度很大。形成了非常显著的雨旱两季格局。</w:t>
      </w:r>
    </w:p>
    <w:p>
      <w:pPr>
        <w:spacing w:before="120" w:after="120" w:line="288" w:lineRule="auto"/>
        <w:ind w:left="0"/>
        <w:jc w:val="left"/>
      </w:pPr>
      <w:r>
        <w:rPr>
          <w:rFonts w:eastAsia="等线" w:ascii="Arial" w:cs="Arial" w:hAnsi="Arial"/>
          <w:sz w:val="22"/>
        </w:rPr>
        <w:t>这种现象是由气候环流和大兴安岭地形共同影响导致的。该流域处于东亚季风影响的北缘，水汽主要来自夏季太平洋东南季风。但由于位于大兴安岭西麓背风坡，气流越过山脊后下沉增温，西坡降水明显少于东坡，因此多年平均降水较少，属于半干旱-半湿润过渡带。冬季受西伯利亚高压控制，盛行寒冷干燥的西北风，降水极少。这种夏雨集中、冬春干旱的情况属于典型的大陆性季风气候。</w:t>
      </w:r>
    </w:p>
    <w:p>
      <w:pPr>
        <w:spacing w:before="120" w:after="120" w:line="288" w:lineRule="auto"/>
        <w:ind w:left="0"/>
        <w:jc w:val="left"/>
      </w:pPr>
      <w:r>
        <w:rPr>
          <w:rFonts w:eastAsia="等线" w:ascii="Arial" w:cs="Arial" w:hAnsi="Arial"/>
          <w:sz w:val="22"/>
        </w:rPr>
        <w:t>模型表达：</w:t>
      </w:r>
    </w:p>
    <w:p>
      <w:pPr>
        <w:spacing w:before="120" w:after="120" w:line="288" w:lineRule="auto"/>
        <w:ind w:left="0"/>
        <w:jc w:val="left"/>
      </w:pPr>
      <w:r>
        <w:rPr>
          <w:rFonts w:eastAsia="等线" w:ascii="Arial" w:cs="Arial" w:hAnsi="Arial"/>
          <w:sz w:val="22"/>
        </w:rPr>
        <w:t>季节性规律模型本身能够通过降水数据驱动模拟出径流的季节性变化。</w:t>
      </w:r>
    </w:p>
    <w:p>
      <w:pPr>
        <w:spacing w:before="120" w:after="120" w:line="288" w:lineRule="auto"/>
        <w:ind w:left="0"/>
        <w:jc w:val="left"/>
      </w:pPr>
      <w:r>
        <w:rPr>
          <w:rFonts w:eastAsia="等线" w:ascii="Arial" w:cs="Arial" w:hAnsi="Arial"/>
          <w:sz w:val="22"/>
        </w:rPr>
        <w:t>修改水库的调度规则，将其设置为flood_season模式并优化，可以调整水库在不同季节的排水蓄水量。进一步优化模拟结果。</w:t>
      </w:r>
    </w:p>
    <w:p>
      <w:pPr>
        <w:pStyle w:val="5"/>
        <w:spacing w:before="240" w:after="120" w:line="288" w:lineRule="auto"/>
        <w:ind w:left="0"/>
        <w:jc w:val="left"/>
        <w:outlineLvl w:val="4"/>
      </w:pPr>
      <w:bookmarkStart w:name="heading_33" w:id="33"/>
      <w:r>
        <w:rPr>
          <w:rFonts w:eastAsia="等线" w:ascii="Arial" w:cs="Arial" w:hAnsi="Arial"/>
          <w:color w:val="3370ff"/>
          <w:sz w:val="24"/>
        </w:rPr>
        <w:t xml:space="preserve">5. </w:t>
      </w:r>
      <w:r>
        <w:rPr>
          <w:rFonts w:eastAsia="等线" w:ascii="Arial" w:cs="Arial" w:hAnsi="Arial"/>
          <w:b w:val="true"/>
          <w:sz w:val="24"/>
        </w:rPr>
        <w:t>2天汇流滞后</w:t>
      </w:r>
      <w:bookmarkEnd w:id="33"/>
    </w:p>
    <w:p>
      <w:pPr>
        <w:spacing w:before="120" w:after="120" w:line="288" w:lineRule="auto"/>
        <w:ind w:left="0"/>
        <w:jc w:val="left"/>
      </w:pPr>
      <w:r>
        <w:rPr>
          <w:rFonts w:eastAsia="等线" w:ascii="Arial" w:cs="Arial" w:hAnsi="Arial"/>
          <w:sz w:val="22"/>
        </w:rPr>
        <w:t>降水后约2天，流量响应最强。说明流域存在一定坡面/河道调蓄，但汇流时间仍然较短，属于洪峰快速响应的情况。</w:t>
      </w:r>
    </w:p>
    <w:p>
      <w:pPr>
        <w:spacing w:before="120" w:after="120" w:line="288" w:lineRule="auto"/>
        <w:ind w:left="0"/>
        <w:jc w:val="left"/>
      </w:pPr>
      <w:r>
        <w:rPr>
          <w:rFonts w:eastAsia="等线" w:ascii="Arial" w:cs="Arial" w:hAnsi="Arial"/>
          <w:sz w:val="22"/>
        </w:rPr>
        <w:t>分析原因：</w:t>
      </w:r>
    </w:p>
    <w:p>
      <w:pPr>
        <w:spacing w:before="120" w:after="120" w:line="288" w:lineRule="auto"/>
        <w:ind w:left="0"/>
        <w:jc w:val="left"/>
      </w:pPr>
      <w:r>
        <w:rPr>
          <w:rFonts w:eastAsia="等线" w:ascii="Arial" w:cs="Arial" w:hAnsi="Arial"/>
          <w:sz w:val="22"/>
        </w:rPr>
        <w:t>（1）地形平均坡度是13.6度，部分子流域坡度&gt;30度，坡面汇流时间短。</w:t>
      </w:r>
    </w:p>
    <w:p>
      <w:pPr>
        <w:spacing w:before="120" w:after="120" w:line="288" w:lineRule="auto"/>
        <w:ind w:left="0"/>
        <w:jc w:val="left"/>
      </w:pPr>
      <w:r>
        <w:rPr>
          <w:rFonts w:eastAsia="等线" w:ascii="Arial" w:cs="Arial" w:hAnsi="Arial"/>
          <w:sz w:val="22"/>
        </w:rPr>
        <w:t>（2）草地占39.4%，草地根系浅、截留能力弱，降水快速转化为坡面径流。</w:t>
      </w:r>
    </w:p>
    <w:p>
      <w:pPr>
        <w:spacing w:before="120" w:after="120" w:line="288" w:lineRule="auto"/>
        <w:ind w:left="0"/>
        <w:jc w:val="left"/>
      </w:pPr>
      <w:r>
        <w:rPr>
          <w:rFonts w:eastAsia="等线" w:ascii="Arial" w:cs="Arial" w:hAnsi="Arial"/>
          <w:sz w:val="22"/>
        </w:rPr>
        <w:t>（3）森林占34.5%，虽然森林有截留和延缓作用，但主要分布在上游高海拔山区，而中下游以草地和农田为主，汇流速度快。</w:t>
      </w:r>
    </w:p>
    <w:p>
      <w:pPr>
        <w:spacing w:before="120" w:after="120" w:line="288" w:lineRule="auto"/>
        <w:ind w:left="0"/>
        <w:jc w:val="left"/>
      </w:pPr>
      <w:r>
        <w:rPr>
          <w:rFonts w:eastAsia="等线" w:ascii="Arial" w:cs="Arial" w:hAnsi="Arial"/>
          <w:sz w:val="22"/>
        </w:rPr>
        <w:t>模型表达：</w:t>
      </w:r>
    </w:p>
    <w:p>
      <w:pPr>
        <w:spacing w:before="120" w:after="120" w:line="288" w:lineRule="auto"/>
        <w:ind w:left="0"/>
        <w:jc w:val="left"/>
      </w:pPr>
      <w:r>
        <w:rPr>
          <w:rFonts w:eastAsia="等线" w:ascii="Arial" w:cs="Arial" w:hAnsi="Arial"/>
          <w:sz w:val="22"/>
        </w:rPr>
        <w:t xml:space="preserve"> surq_lag=4.0, mann, 坡度/坡长</w:t>
      </w:r>
    </w:p>
    <w:p>
      <w:pPr>
        <w:spacing w:before="120" w:after="120" w:line="288" w:lineRule="auto"/>
        <w:ind w:left="0"/>
        <w:jc w:val="left"/>
      </w:pPr>
      <w:r>
        <w:rPr>
          <w:rFonts w:eastAsia="等线" w:ascii="Arial" w:cs="Arial" w:hAnsi="Arial"/>
          <w:sz w:val="22"/>
        </w:rPr>
        <w:t>后续这个参数可以微调。</w:t>
      </w:r>
    </w:p>
    <w:p>
      <w:pPr>
        <w:pStyle w:val="5"/>
        <w:spacing w:before="240" w:after="120" w:line="288" w:lineRule="auto"/>
        <w:ind w:left="0"/>
        <w:jc w:val="left"/>
        <w:outlineLvl w:val="4"/>
      </w:pPr>
      <w:bookmarkStart w:name="heading_34" w:id="34"/>
      <w:r>
        <w:rPr>
          <w:rFonts w:eastAsia="等线" w:ascii="Arial" w:cs="Arial" w:hAnsi="Arial"/>
          <w:color w:val="3370ff"/>
          <w:sz w:val="24"/>
        </w:rPr>
        <w:t xml:space="preserve">6. </w:t>
      </w:r>
      <w:r>
        <w:rPr>
          <w:rFonts w:eastAsia="等线" w:ascii="Arial" w:cs="Arial" w:hAnsi="Arial"/>
          <w:b w:val="true"/>
          <w:sz w:val="24"/>
        </w:rPr>
        <w:t>验证期偏枯</w:t>
      </w:r>
      <w:bookmarkEnd w:id="34"/>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验证期2015–2017年的低径流可能受2015–2016强El Niño导致的区域干旱影响。东亚夏季风减弱、中国北方降水显著偏少。</w:t>
      </w:r>
      <w:r>
        <w:rPr>
          <w:rFonts w:eastAsia="等线" w:ascii="Arial" w:cs="Arial" w:hAnsi="Arial"/>
          <w:sz w:val="22"/>
        </w:rPr>
        <w:t>验证期是一个极端枯水时期，对于模型在验证期的偏差，可能不完全是参数错误，也可能是气候异常导致。</w:t>
      </w:r>
    </w:p>
    <w:p>
      <w:pPr>
        <w:spacing w:before="120" w:after="120" w:line="288" w:lineRule="auto"/>
        <w:ind w:left="0"/>
        <w:jc w:val="left"/>
      </w:pPr>
      <w:r>
        <w:rPr>
          <w:rFonts w:eastAsia="等线" w:ascii="Arial" w:cs="Arial" w:hAnsi="Arial"/>
          <w:sz w:val="22"/>
        </w:rPr>
        <w:t>模型表达：</w:t>
      </w:r>
    </w:p>
    <w:p>
      <w:pPr>
        <w:spacing w:before="120" w:after="120" w:line="288" w:lineRule="auto"/>
        <w:ind w:left="0"/>
        <w:jc w:val="left"/>
      </w:pPr>
      <w:r>
        <w:rPr>
          <w:rFonts w:eastAsia="等线" w:ascii="Arial" w:cs="Arial" w:hAnsi="Arial"/>
          <w:sz w:val="22"/>
        </w:rPr>
        <w:t>这个问题模型很难调整好，在模拟过程中，NSE和PBIAS结果很难同时在不同时期同时很好。可能</w:t>
      </w:r>
    </w:p>
    <w:p>
      <w:pPr>
        <w:pStyle w:val="5"/>
        <w:spacing w:before="240" w:after="120" w:line="288" w:lineRule="auto"/>
        <w:ind w:left="0"/>
        <w:jc w:val="left"/>
        <w:outlineLvl w:val="4"/>
      </w:pPr>
      <w:bookmarkStart w:name="heading_35" w:id="35"/>
      <w:r>
        <w:rPr>
          <w:rFonts w:eastAsia="等线" w:ascii="Arial" w:cs="Arial" w:hAnsi="Arial"/>
          <w:color w:val="3370ff"/>
          <w:sz w:val="24"/>
        </w:rPr>
        <w:t xml:space="preserve">7. </w:t>
      </w:r>
      <w:r>
        <w:rPr>
          <w:rFonts w:eastAsia="等线" w:ascii="Arial" w:cs="Arial" w:hAnsi="Arial"/>
          <w:b w:val="true"/>
          <w:sz w:val="24"/>
        </w:rPr>
        <w:t>季节性冻土</w:t>
      </w:r>
      <w:bookmarkEnd w:id="35"/>
    </w:p>
    <w:p>
      <w:pPr>
        <w:spacing w:before="120" w:after="120" w:line="288" w:lineRule="auto"/>
        <w:ind w:left="0"/>
        <w:jc w:val="left"/>
      </w:pPr>
      <w:r>
        <w:rPr>
          <w:rFonts w:eastAsia="等线" w:ascii="Arial" w:cs="Arial" w:hAnsi="Arial"/>
          <w:sz w:val="22"/>
        </w:rPr>
        <w:t>春汛现象。</w:t>
      </w:r>
    </w:p>
    <w:p>
      <w:pPr>
        <w:spacing w:before="120" w:after="120" w:line="288" w:lineRule="auto"/>
        <w:ind w:left="0"/>
        <w:jc w:val="left"/>
      </w:pPr>
      <w:r>
        <w:rPr>
          <w:rFonts w:eastAsia="等线" w:ascii="Arial" w:cs="Arial" w:hAnsi="Arial"/>
          <w:sz w:val="22"/>
        </w:rPr>
        <w:t>该流域位于大兴安岭西麓（45–47°N），存在显著的季节性冻土。冻土在秋季形成、春季融化，这一过程造成了：</w:t>
      </w:r>
    </w:p>
    <w:p>
      <w:pPr>
        <w:spacing w:before="120" w:after="120" w:line="288" w:lineRule="auto"/>
        <w:ind w:left="0"/>
        <w:jc w:val="left"/>
      </w:pPr>
      <w:r>
        <w:rPr>
          <w:rFonts w:eastAsia="等线" w:ascii="Arial" w:cs="Arial" w:hAnsi="Arial"/>
          <w:sz w:val="22"/>
        </w:rPr>
        <w:t xml:space="preserve">  • 春季融雪期：冻土层阻止下渗，融雪水快速转化为地表径流</w:t>
      </w:r>
    </w:p>
    <w:p>
      <w:pPr>
        <w:spacing w:before="120" w:after="120" w:line="288" w:lineRule="auto"/>
        <w:ind w:left="0"/>
        <w:jc w:val="left"/>
      </w:pPr>
      <w:r>
        <w:rPr>
          <w:rFonts w:eastAsia="等线" w:ascii="Arial" w:cs="Arial" w:hAnsi="Arial"/>
          <w:sz w:val="22"/>
        </w:rPr>
        <w:t xml:space="preserve">  • 夏季：冻土融通后 → 下渗通道打开 → 降水大量入渗</w:t>
      </w:r>
    </w:p>
    <w:p>
      <w:pPr>
        <w:spacing w:before="120" w:after="120" w:line="288" w:lineRule="auto"/>
        <w:ind w:left="0"/>
        <w:jc w:val="left"/>
      </w:pPr>
      <w:r>
        <w:rPr>
          <w:rFonts w:eastAsia="等线" w:ascii="Arial" w:cs="Arial" w:hAnsi="Arial"/>
          <w:sz w:val="22"/>
        </w:rPr>
        <w:t>模型表达：</w:t>
      </w:r>
    </w:p>
    <w:p>
      <w:pPr>
        <w:spacing w:before="120" w:after="120" w:line="288" w:lineRule="auto"/>
        <w:ind w:left="0"/>
        <w:jc w:val="left"/>
      </w:pPr>
      <w:r>
        <w:rPr>
          <w:rFonts w:eastAsia="等线" w:ascii="Arial" w:cs="Arial" w:hAnsi="Arial"/>
          <w:sz w:val="22"/>
        </w:rPr>
        <w:t>局限性：</w:t>
      </w:r>
    </w:p>
    <w:p>
      <w:pPr>
        <w:spacing w:before="120" w:after="120" w:line="288" w:lineRule="auto"/>
        <w:ind w:left="0"/>
        <w:jc w:val="left"/>
      </w:pPr>
      <w:r>
        <w:rPr>
          <w:rFonts w:eastAsia="等线" w:ascii="Arial" w:cs="Arial" w:hAnsi="Arial"/>
          <w:sz w:val="22"/>
        </w:rPr>
        <w:t>SWAT+ rev61 虽有 cn_froz 参数（parameters.bsn），但当前设置为 0.0（完全忽略）。</w:t>
      </w:r>
    </w:p>
    <w:p>
      <w:pPr>
        <w:spacing w:before="120" w:after="120" w:line="288" w:lineRule="auto"/>
        <w:ind w:left="0"/>
        <w:jc w:val="left"/>
      </w:pPr>
      <w:r>
        <w:rPr>
          <w:rFonts w:eastAsia="等线" w:ascii="Arial" w:cs="Arial" w:hAnsi="Arial"/>
          <w:sz w:val="22"/>
        </w:rPr>
        <w:t xml:space="preserve">  • 即使启用 cn_froz，其作用也非常简化（仅调整冻结期的 CN 值），无法表达"冻土形成-融化-下渗通道打开"的动态过程。</w:t>
      </w:r>
    </w:p>
    <w:p>
      <w:pPr>
        <w:spacing w:before="120" w:after="120" w:line="288" w:lineRule="auto"/>
        <w:ind w:left="0"/>
        <w:jc w:val="left"/>
      </w:pPr>
    </w:p>
    <w:p>
      <w:pPr>
        <w:pStyle w:val="5"/>
        <w:spacing w:before="240" w:after="120" w:line="288" w:lineRule="auto"/>
        <w:ind w:left="0"/>
        <w:jc w:val="left"/>
        <w:outlineLvl w:val="4"/>
      </w:pPr>
      <w:bookmarkStart w:name="heading_36" w:id="36"/>
      <w:r>
        <w:rPr>
          <w:rFonts w:eastAsia="等线" w:ascii="Arial" w:cs="Arial" w:hAnsi="Arial"/>
          <w:color w:val="3370ff"/>
          <w:sz w:val="24"/>
        </w:rPr>
        <w:t xml:space="preserve">8. </w:t>
      </w:r>
      <w:r>
        <w:rPr>
          <w:rFonts w:eastAsia="等线" w:ascii="Arial" w:cs="Arial" w:hAnsi="Arial"/>
          <w:b w:val="true"/>
          <w:sz w:val="24"/>
        </w:rPr>
        <w:t>基流严重偏低</w:t>
      </w:r>
      <w:bookmarkEnd w:id="36"/>
    </w:p>
    <w:p>
      <w:pPr>
        <w:spacing w:before="120" w:after="120" w:line="288" w:lineRule="auto"/>
        <w:ind w:left="0"/>
        <w:jc w:val="left"/>
      </w:pPr>
      <w:r>
        <w:rPr>
          <w:rFonts w:eastAsia="等线" w:ascii="Arial" w:cs="Arial" w:hAnsi="Arial"/>
          <w:sz w:val="22"/>
        </w:rPr>
        <w:t>目前的模型模拟结果中基流几乎为0，但是实际的基流也很低。说明地下水对河道径流的补给特别弱，洪水过后河道流量迅速跌落。</w:t>
      </w:r>
    </w:p>
    <w:p>
      <w:pPr>
        <w:spacing w:before="120" w:after="120" w:line="288" w:lineRule="auto"/>
        <w:ind w:left="0"/>
        <w:jc w:val="left"/>
      </w:pPr>
      <w:r>
        <w:rPr>
          <w:rFonts w:eastAsia="等线" w:ascii="Arial" w:cs="Arial" w:hAnsi="Arial"/>
          <w:sz w:val="22"/>
        </w:rPr>
        <w:t>分析原因：</w:t>
      </w:r>
    </w:p>
    <w:p>
      <w:pPr>
        <w:spacing w:before="120" w:after="120" w:line="288" w:lineRule="auto"/>
        <w:ind w:left="0"/>
        <w:jc w:val="left"/>
      </w:pPr>
      <w:r>
        <w:rPr>
          <w:rFonts w:eastAsia="等线" w:ascii="Arial" w:cs="Arial" w:hAnsi="Arial"/>
          <w:sz w:val="22"/>
        </w:rPr>
        <w:t>（1）某些土壤类型，如粉砂壤土/壤土，入渗率低、持水性强，降水优先以地表径流或壤中流形式流失，而不是深层下渗补给地下水。</w:t>
      </w:r>
    </w:p>
    <w:p>
      <w:pPr>
        <w:spacing w:before="120" w:after="120" w:line="288" w:lineRule="auto"/>
        <w:ind w:left="0"/>
        <w:jc w:val="left"/>
      </w:pPr>
      <w:r>
        <w:rPr>
          <w:rFonts w:eastAsia="等线" w:ascii="Arial" w:cs="Arial" w:hAnsi="Arial"/>
          <w:sz w:val="22"/>
        </w:rPr>
        <w:t>（2）季节性冻土。冬季土壤冻结阻止了深层渗漏；春季融雪时冻土层尚未完全融通，雪水难以向深层补给。导致地下水储量本身较低。</w:t>
      </w:r>
    </w:p>
    <w:p>
      <w:pPr>
        <w:spacing w:before="120" w:after="120" w:line="288" w:lineRule="auto"/>
        <w:ind w:left="0"/>
        <w:jc w:val="left"/>
      </w:pPr>
      <w:r>
        <w:rPr>
          <w:rFonts w:eastAsia="等线" w:ascii="Arial" w:cs="Arial" w:hAnsi="Arial"/>
          <w:sz w:val="22"/>
        </w:rPr>
        <w:t>（3）水库和8处湿地在丰水期大量蓄水，但旱季下泄量有限，导致下游断面的枯水期流量被削减。</w:t>
      </w:r>
    </w:p>
    <w:p>
      <w:pPr>
        <w:spacing w:before="120" w:after="120" w:line="288" w:lineRule="auto"/>
        <w:ind w:left="0"/>
        <w:jc w:val="left"/>
      </w:pPr>
      <w:r>
        <w:rPr>
          <w:rFonts w:eastAsia="等线" w:ascii="Arial" w:cs="Arial" w:hAnsi="Arial"/>
          <w:sz w:val="22"/>
        </w:rPr>
        <w:t>（4）大兴安岭西麓地质构造以火山岩和变质岩为主，裂隙发育程度有限，深层含水层不丰富，地下水补给条件本身较差。</w:t>
      </w:r>
    </w:p>
    <w:p>
      <w:pPr>
        <w:spacing w:before="120" w:after="120" w:line="288" w:lineRule="auto"/>
        <w:ind w:left="0"/>
        <w:jc w:val="left"/>
      </w:pPr>
      <w:r>
        <w:rPr>
          <w:rFonts w:eastAsia="等线" w:ascii="Arial" w:cs="Arial" w:hAnsi="Arial"/>
          <w:sz w:val="22"/>
        </w:rPr>
        <w:t>模型表达：</w:t>
      </w:r>
    </w:p>
    <w:p>
      <w:pPr>
        <w:spacing w:before="120" w:after="120" w:line="288" w:lineRule="auto"/>
        <w:ind w:left="0"/>
        <w:jc w:val="left"/>
      </w:pPr>
      <w:r>
        <w:rPr>
          <w:rFonts w:eastAsia="等线" w:ascii="Arial" w:cs="Arial" w:hAnsi="Arial"/>
          <w:sz w:val="22"/>
        </w:rPr>
        <w:t>目前，经过一些地下水模块的参数调整以及水库调度规则的修改，都没能对基流产生较大影响，基流的模拟始终偏低。</w:t>
      </w:r>
    </w:p>
    <w:p>
      <w:pPr>
        <w:spacing w:before="120" w:after="120" w:line="288" w:lineRule="auto"/>
        <w:ind w:left="0"/>
        <w:jc w:val="left"/>
      </w:pPr>
      <w:r>
        <w:rPr>
          <w:rFonts w:eastAsia="等线" w:ascii="Arial" w:cs="Arial" w:hAnsi="Arial"/>
          <w:sz w:val="22"/>
        </w:rPr>
        <w:t>理论上：alpha_bf（基流退水）、revap（再蒸发）、rchg_dp（深层渗漏）、flo_min（基流阈值）、spec_yld（给水度）可以在一定范围内压低基流。</w:t>
      </w:r>
    </w:p>
    <w:p>
      <w:pPr>
        <w:spacing w:before="120" w:after="120" w:line="288" w:lineRule="auto"/>
        <w:ind w:left="0"/>
        <w:jc w:val="left"/>
      </w:pPr>
      <w:r>
        <w:rPr>
          <w:rFonts w:eastAsia="等线" w:ascii="Arial" w:cs="Arial" w:hAnsi="Arial"/>
          <w:sz w:val="22"/>
        </w:rPr>
        <w:t>实际局限性：</w:t>
      </w:r>
    </w:p>
    <w:p>
      <w:pPr>
        <w:spacing w:before="120" w:after="120" w:line="288" w:lineRule="auto"/>
        <w:ind w:left="0"/>
        <w:jc w:val="left"/>
      </w:pPr>
      <w:r>
        <w:rPr>
          <w:rFonts w:eastAsia="等线" w:ascii="Arial" w:cs="Arial" w:hAnsi="Arial"/>
          <w:sz w:val="22"/>
        </w:rPr>
        <w:t>即使采用 perco=0.15 增加地下水补给，模型 BFI 也只能达到 9.8%，仍高于实测的 8%。</w:t>
      </w:r>
    </w:p>
    <w:p>
      <w:pPr>
        <w:spacing w:before="120" w:after="120" w:line="288" w:lineRule="auto"/>
        <w:ind w:left="0"/>
        <w:jc w:val="left"/>
      </w:pPr>
      <w:r>
        <w:rPr>
          <w:rFonts w:eastAsia="等线" w:ascii="Arial" w:cs="Arial" w:hAnsi="Arial"/>
          <w:sz w:val="22"/>
        </w:rPr>
        <w:t xml:space="preserve">  • SWAT/SWAT+ 模拟的 BFI 通常不低于 10–15%，过低会导致地下水模块数值不稳定。</w:t>
      </w:r>
    </w:p>
    <w:p>
      <w:pPr>
        <w:spacing w:before="120" w:after="120" w:line="288" w:lineRule="auto"/>
        <w:ind w:left="0"/>
        <w:jc w:val="left"/>
      </w:pPr>
      <w:r>
        <w:rPr>
          <w:rFonts w:eastAsia="等线" w:ascii="Arial" w:cs="Arial" w:hAnsi="Arial"/>
          <w:sz w:val="22"/>
        </w:rPr>
        <w:t xml:space="preserve">  • 关键原因：实测 BFI=0.08 的一个重要成因是季节性冻土阻碍深层渗漏——这在 SWAT+ 中没有专门参数化（当前 </w:t>
      </w:r>
      <w:r>
        <w:rPr>
          <w:rFonts w:eastAsia="等线" w:ascii="Arial" w:cs="Arial" w:hAnsi="Arial"/>
          <w:sz w:val="22"/>
        </w:rPr>
        <w:t>cn_froz=0</w:t>
      </w:r>
      <w:r>
        <w:rPr>
          <w:rFonts w:eastAsia="等线" w:ascii="Arial" w:cs="Arial" w:hAnsi="Arial"/>
          <w:sz w:val="22"/>
        </w:rPr>
        <w:t>）。</w:t>
      </w:r>
    </w:p>
    <w:p>
      <w:pPr>
        <w:numPr>
          <w:numId w:val="98"/>
        </w:numPr>
        <w:spacing w:before="120" w:after="120" w:line="288" w:lineRule="auto"/>
        <w:ind w:left="0"/>
        <w:jc w:val="left"/>
      </w:pPr>
      <w:r>
        <w:rPr>
          <w:rFonts w:eastAsia="等线" w:ascii="Arial" w:cs="Arial" w:hAnsi="Arial"/>
          <w:sz w:val="22"/>
        </w:rPr>
        <w:t>预热期时间可能不够</w:t>
      </w:r>
    </w:p>
    <w:p>
      <w:pPr>
        <w:numPr>
          <w:numId w:val="99"/>
        </w:numPr>
        <w:spacing w:before="120" w:after="120" w:line="288" w:lineRule="auto"/>
        <w:ind w:left="0"/>
        <w:jc w:val="left"/>
      </w:pPr>
      <w:r>
        <w:rPr>
          <w:rFonts w:eastAsia="等线" w:ascii="Arial" w:cs="Arial" w:hAnsi="Arial"/>
          <w:sz w:val="22"/>
        </w:rPr>
        <w:t>最终得到的曲线结果大致：</w:t>
      </w:r>
    </w:p>
    <w:p>
      <w:pPr>
        <w:numPr>
          <w:numId w:val="100"/>
        </w:numPr>
        <w:spacing w:before="120" w:after="120" w:line="288" w:lineRule="auto"/>
        <w:ind w:left="453"/>
        <w:jc w:val="left"/>
      </w:pPr>
      <w:r>
        <w:rPr>
          <w:rFonts w:eastAsia="等线" w:ascii="Arial" w:cs="Arial" w:hAnsi="Arial"/>
          <w:sz w:val="22"/>
        </w:rPr>
        <w:t>率定期</w:t>
      </w:r>
    </w:p>
    <w:p>
      <w:pPr>
        <w:spacing w:before="120" w:after="120" w:line="288" w:lineRule="auto"/>
        <w:ind w:left="453"/>
        <w:jc w:val="center"/>
      </w:pPr>
      <w:r>
        <w:drawing>
          <wp:inline distT="0" distR="0" distB="0" distL="0">
            <wp:extent cx="5257800" cy="26193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62"/>
                    <a:stretch>
                      <a:fillRect/>
                    </a:stretch>
                  </pic:blipFill>
                  <pic:spPr>
                    <a:xfrm>
                      <a:off x="0" y="0"/>
                      <a:ext cx="5257800" cy="2619375"/>
                    </a:xfrm>
                    <a:prstGeom prst="rect">
                      <a:avLst/>
                    </a:prstGeom>
                  </pic:spPr>
                </pic:pic>
              </a:graphicData>
            </a:graphic>
          </wp:inline>
        </w:drawing>
      </w:r>
    </w:p>
    <w:p>
      <w:pPr>
        <w:numPr>
          <w:numId w:val="101"/>
        </w:numPr>
        <w:spacing w:before="120" w:after="120" w:line="288" w:lineRule="auto"/>
        <w:ind w:left="453"/>
        <w:jc w:val="left"/>
      </w:pPr>
      <w:r>
        <w:rPr>
          <w:rFonts w:eastAsia="等线" w:ascii="Arial" w:cs="Arial" w:hAnsi="Arial"/>
          <w:sz w:val="22"/>
        </w:rPr>
        <w:t>验证期</w:t>
      </w:r>
    </w:p>
    <w:p>
      <w:pPr>
        <w:spacing w:before="120" w:after="120" w:line="288" w:lineRule="auto"/>
        <w:ind w:left="453"/>
        <w:jc w:val="center"/>
      </w:pPr>
      <w:r>
        <w:drawing>
          <wp:inline distT="0" distR="0" distB="0" distL="0">
            <wp:extent cx="5257800" cy="26479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63"/>
                    <a:stretch>
                      <a:fillRect/>
                    </a:stretch>
                  </pic:blipFill>
                  <pic:spPr>
                    <a:xfrm>
                      <a:off x="0" y="0"/>
                      <a:ext cx="5257800" cy="2647950"/>
                    </a:xfrm>
                    <a:prstGeom prst="rect">
                      <a:avLst/>
                    </a:prstGeom>
                  </pic:spPr>
                </pic:pic>
              </a:graphicData>
            </a:graphic>
          </wp:inline>
        </w:drawing>
      </w:r>
    </w:p>
    <w:p>
      <w:pPr>
        <w:pStyle w:val="4"/>
        <w:spacing w:before="260" w:after="120" w:line="288" w:lineRule="auto"/>
        <w:ind w:left="0"/>
        <w:jc w:val="left"/>
        <w:outlineLvl w:val="3"/>
      </w:pPr>
      <w:bookmarkStart w:name="heading_37" w:id="37"/>
      <w:bookmarkEnd w:id="37"/>
    </w:p>
    <w:p>
      <w:pPr>
        <w:pStyle w:val="4"/>
        <w:spacing w:before="260" w:after="120" w:line="288" w:lineRule="auto"/>
        <w:ind w:left="0"/>
        <w:jc w:val="left"/>
        <w:outlineLvl w:val="3"/>
      </w:pPr>
      <w:bookmarkStart w:name="heading_38" w:id="38"/>
      <w:r>
        <w:rPr>
          <w:rFonts w:eastAsia="等线" w:ascii="Arial" w:cs="Arial" w:hAnsi="Arial"/>
          <w:b w:val="true"/>
          <w:sz w:val="28"/>
        </w:rPr>
        <w:t>参数敏感性分析的值（nse）模拟的结果</w:t>
      </w:r>
      <w:bookmarkEnd w:id="38"/>
    </w:p>
    <w:p>
      <w:pPr>
        <w:spacing w:before="120" w:after="120" w:line="288" w:lineRule="auto"/>
        <w:ind w:left="0"/>
        <w:jc w:val="center"/>
      </w:pPr>
      <w:r>
        <w:drawing>
          <wp:inline distT="0" distR="0" distB="0" distL="0">
            <wp:extent cx="5257800" cy="18002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64"/>
                    <a:stretch>
                      <a:fillRect/>
                    </a:stretch>
                  </pic:blipFill>
                  <pic:spPr>
                    <a:xfrm>
                      <a:off x="0" y="0"/>
                      <a:ext cx="5257800" cy="18002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2985"/>
        <w:gridCol w:w="2610"/>
        <w:gridCol w:w="465"/>
      </w:tblGrid>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Name</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Best Sensitivity Value</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Change Type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ID</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petco</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0.8117</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cn2</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-23.8281</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Percent</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cn3_swf</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0.7496</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7</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k</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-29.6875</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Percent</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esco</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0.3845</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revap_co</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0.0861</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9</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chk</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191.4062</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16</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latq_co</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0.7757</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surlag</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0.7496</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11</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alpha</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0.8376</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8</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ovn</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0.0976</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14</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chn</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0.0885</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17</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canmx</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46.4844</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epco</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0.2188</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perco</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0.3111</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awc</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-44.5312</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Percent</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13</w:t>
            </w:r>
          </w:p>
        </w:tc>
      </w:tr>
      <w:tr>
        <w:tc>
          <w:tcPr>
            <w:tcW w:w="222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flo_min</w:t>
            </w:r>
          </w:p>
        </w:tc>
        <w:tc>
          <w:tcPr>
            <w:tcW w:w="29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7.4219</w:t>
            </w:r>
          </w:p>
        </w:tc>
        <w:tc>
          <w:tcPr>
            <w:tcW w:w="261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Replace</w:t>
            </w:r>
          </w:p>
        </w:tc>
        <w:tc>
          <w:tcPr>
            <w:tcW w:w="46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w:t>
            </w:r>
          </w:p>
        </w:tc>
      </w:tr>
    </w:tbl>
    <w:p>
      <w:pPr>
        <w:pStyle w:val="4"/>
        <w:spacing w:before="260" w:after="120" w:line="288" w:lineRule="auto"/>
        <w:ind w:left="0"/>
        <w:jc w:val="left"/>
        <w:outlineLvl w:val="3"/>
      </w:pPr>
      <w:bookmarkStart w:name="heading_39" w:id="39"/>
      <w:r>
        <w:rPr>
          <w:rFonts w:eastAsia="等线" w:ascii="Arial" w:cs="Arial" w:hAnsi="Arial"/>
          <w:b w:val="true"/>
          <w:sz w:val="28"/>
        </w:rPr>
        <w:t>添加参数手动率定的具体过程</w:t>
      </w:r>
      <w:bookmarkEnd w:id="39"/>
    </w:p>
    <w:p>
      <w:pPr>
        <w:spacing w:before="120" w:after="120" w:line="288" w:lineRule="auto"/>
        <w:ind w:left="0"/>
        <w:jc w:val="left"/>
      </w:pPr>
      <w:r>
        <w:rPr>
          <w:rFonts w:eastAsia="等线" w:ascii="Arial" w:cs="Arial" w:hAnsi="Arial"/>
          <w:sz w:val="22"/>
        </w:rPr>
        <w:t>初始结果</w:t>
      </w:r>
    </w:p>
    <w:p>
      <w:pPr>
        <w:spacing w:before="120" w:after="120" w:line="288" w:lineRule="auto"/>
        <w:ind w:left="0"/>
        <w:jc w:val="center"/>
      </w:pPr>
      <w:r>
        <w:drawing>
          <wp:inline distT="0" distR="0" distB="0" distL="0">
            <wp:extent cx="5257800" cy="26098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56"/>
                    <a:stretch>
                      <a:fillRect/>
                    </a:stretch>
                  </pic:blipFill>
                  <pic:spPr>
                    <a:xfrm>
                      <a:off x="0" y="0"/>
                      <a:ext cx="5257800" cy="2609850"/>
                    </a:xfrm>
                    <a:prstGeom prst="rect">
                      <a:avLst/>
                    </a:prstGeom>
                  </pic:spPr>
                </pic:pic>
              </a:graphicData>
            </a:graphic>
          </wp:inline>
        </w:drawing>
      </w:r>
    </w:p>
    <w:p>
      <w:pPr>
        <w:pStyle w:val="5"/>
        <w:spacing w:before="240" w:after="120" w:line="288" w:lineRule="auto"/>
        <w:ind w:left="0"/>
        <w:jc w:val="left"/>
        <w:outlineLvl w:val="4"/>
      </w:pPr>
      <w:bookmarkStart w:name="heading_40" w:id="40"/>
      <w:r>
        <w:rPr>
          <w:rFonts w:eastAsia="等线" w:ascii="Arial" w:cs="Arial" w:hAnsi="Arial"/>
          <w:b w:val="true"/>
          <w:sz w:val="24"/>
        </w:rPr>
        <w:t>修改水库的调度策略</w:t>
      </w:r>
      <w:bookmarkEnd w:id="40"/>
    </w:p>
    <w:p>
      <w:pPr>
        <w:spacing w:before="120" w:after="120" w:line="288" w:lineRule="auto"/>
        <w:ind w:left="0"/>
        <w:jc w:val="left"/>
      </w:pPr>
      <w:r>
        <w:rPr>
          <w:rFonts w:eastAsia="等线" w:ascii="Arial" w:cs="Arial" w:hAnsi="Arial"/>
          <w:sz w:val="22"/>
        </w:rPr>
        <w:t>因为加入水库后的默认模拟结果还不如不加的好（水库截流量过多），所以想先修改水库的相关参数。让模拟结果适应丰水年和枯水年</w:t>
      </w:r>
    </w:p>
    <w:p>
      <w:pPr>
        <w:pStyle w:val="6"/>
        <w:spacing w:before="240" w:after="120" w:line="288" w:lineRule="auto"/>
        <w:ind w:left="0"/>
        <w:jc w:val="left"/>
        <w:outlineLvl w:val="5"/>
      </w:pPr>
      <w:bookmarkStart w:name="heading_41" w:id="41"/>
      <w:r>
        <w:rPr>
          <w:rFonts w:eastAsia="等线" w:ascii="Arial" w:cs="Arial" w:hAnsi="Arial"/>
          <w:b w:val="true"/>
          <w:sz w:val="24"/>
        </w:rPr>
        <w:t>改用 flood_season 并优化</w:t>
      </w:r>
      <w:bookmarkEnd w:id="41"/>
    </w:p>
    <w:p>
      <w:pPr>
        <w:numPr>
          <w:numId w:val="102"/>
        </w:numPr>
        <w:spacing w:before="120" w:after="120" w:line="288" w:lineRule="auto"/>
        <w:ind w:left="0"/>
        <w:jc w:val="left"/>
      </w:pPr>
      <w:r>
        <w:rPr>
          <w:rFonts w:eastAsia="等线" w:ascii="Arial" w:cs="Arial" w:hAnsi="Arial"/>
          <w:sz w:val="22"/>
        </w:rPr>
        <w:t xml:space="preserve">修改 reservoir.res：rel 从 drawdown_days 改为 flood_season  </w:t>
      </w:r>
    </w:p>
    <w:p>
      <w:pPr>
        <w:numPr>
          <w:numId w:val="103"/>
        </w:numPr>
        <w:spacing w:before="120" w:after="120" w:line="288" w:lineRule="auto"/>
        <w:ind w:left="0"/>
        <w:jc w:val="left"/>
      </w:pPr>
      <w:r>
        <w:rPr>
          <w:rFonts w:eastAsia="等线" w:ascii="Arial" w:cs="Arial" w:hAnsi="Arial"/>
          <w:sz w:val="22"/>
        </w:rPr>
        <w:t xml:space="preserve">修改 res_rel.dtl 中 flood_season 的 days 值：   </w:t>
      </w:r>
    </w:p>
    <w:p>
      <w:pPr>
        <w:numPr>
          <w:numId w:val="104"/>
        </w:numPr>
        <w:spacing w:before="120" w:after="120" w:line="288" w:lineRule="auto"/>
        <w:ind w:left="453"/>
        <w:jc w:val="left"/>
      </w:pPr>
      <w:r>
        <w:rPr>
          <w:rFonts w:eastAsia="等线" w:ascii="Arial" w:cs="Arial" w:hAnsi="Arial"/>
          <w:sz w:val="22"/>
        </w:rPr>
        <w:t xml:space="preserve"> below_principal（低于主库容）：1000 天 → 30 天（保持基流缓慢释放，不再长期锁死）   </w:t>
      </w:r>
    </w:p>
    <w:p>
      <w:pPr>
        <w:numPr>
          <w:numId w:val="105"/>
        </w:numPr>
        <w:spacing w:before="120" w:after="120" w:line="288" w:lineRule="auto"/>
        <w:ind w:left="453"/>
        <w:jc w:val="left"/>
      </w:pPr>
      <w:r>
        <w:rPr>
          <w:rFonts w:eastAsia="等线" w:ascii="Arial" w:cs="Arial" w:hAnsi="Arial"/>
          <w:sz w:val="22"/>
        </w:rPr>
        <w:t xml:space="preserve">non_flood&lt;1.3（非汛期，水位&lt;1.3倍主库容）：365 天 → 30 天        </w:t>
      </w:r>
    </w:p>
    <w:p>
      <w:pPr>
        <w:numPr>
          <w:numId w:val="106"/>
        </w:numPr>
        <w:spacing w:before="120" w:after="120" w:line="288" w:lineRule="auto"/>
        <w:ind w:left="453"/>
        <w:jc w:val="left"/>
      </w:pPr>
      <w:r>
        <w:rPr>
          <w:rFonts w:eastAsia="等线" w:ascii="Arial" w:cs="Arial" w:hAnsi="Arial"/>
          <w:sz w:val="22"/>
        </w:rPr>
        <w:t xml:space="preserve">non_flood&gt;1.3（非汛期，水位&gt;1.3倍主库容）：100 天 → 15 天 </w:t>
      </w:r>
    </w:p>
    <w:p>
      <w:pPr>
        <w:numPr>
          <w:numId w:val="107"/>
        </w:numPr>
        <w:spacing w:before="120" w:after="120" w:line="288" w:lineRule="auto"/>
        <w:ind w:left="453"/>
        <w:jc w:val="left"/>
      </w:pPr>
      <w:r>
        <w:rPr>
          <w:rFonts w:eastAsia="等线" w:ascii="Arial" w:cs="Arial" w:hAnsi="Arial"/>
          <w:sz w:val="22"/>
        </w:rPr>
        <w:t xml:space="preserve">flood（汛期 5-9 月，水位&gt;主库容）：25 天 → 10 天    </w:t>
      </w:r>
    </w:p>
    <w:p>
      <w:pPr>
        <w:numPr>
          <w:numId w:val="108"/>
        </w:numPr>
        <w:spacing w:before="120" w:after="120" w:line="288" w:lineRule="auto"/>
        <w:ind w:left="453"/>
        <w:jc w:val="left"/>
      </w:pPr>
      <w:r>
        <w:rPr>
          <w:rFonts w:eastAsia="等线" w:ascii="Arial" w:cs="Arial" w:hAnsi="Arial"/>
          <w:sz w:val="22"/>
        </w:rPr>
        <w:t xml:space="preserve">over_emergency（超过应急库容）：15 天 → 5 天    </w:t>
      </w:r>
    </w:p>
    <w:p>
      <w:pPr>
        <w:numPr>
          <w:numId w:val="109"/>
        </w:numPr>
        <w:spacing w:before="120" w:after="120" w:line="288" w:lineRule="auto"/>
        <w:ind w:left="0"/>
        <w:jc w:val="left"/>
      </w:pPr>
      <w:r>
        <w:rPr>
          <w:rFonts w:eastAsia="等线" w:ascii="Arial" w:cs="Arial" w:hAnsi="Arial"/>
          <w:sz w:val="22"/>
        </w:rPr>
        <w:t>优点：</w:t>
      </w:r>
    </w:p>
    <w:p>
      <w:pPr>
        <w:numPr>
          <w:numId w:val="110"/>
        </w:numPr>
        <w:spacing w:before="120" w:after="120" w:line="288" w:lineRule="auto"/>
        <w:ind w:left="453"/>
        <w:jc w:val="left"/>
      </w:pPr>
      <w:r>
        <w:rPr>
          <w:rFonts w:eastAsia="等线" w:ascii="Arial" w:cs="Arial" w:hAnsi="Arial"/>
          <w:sz w:val="22"/>
        </w:rPr>
        <w:t xml:space="preserve">分季节 + 分水位 5 档精细控制 </w:t>
      </w:r>
    </w:p>
    <w:p>
      <w:pPr>
        <w:numPr>
          <w:numId w:val="111"/>
        </w:numPr>
        <w:spacing w:before="120" w:after="120" w:line="288" w:lineRule="auto"/>
        <w:ind w:left="453"/>
        <w:jc w:val="left"/>
      </w:pPr>
      <w:r>
        <w:rPr>
          <w:rFonts w:eastAsia="等线" w:ascii="Arial" w:cs="Arial" w:hAnsi="Arial"/>
          <w:sz w:val="22"/>
        </w:rPr>
        <w:t xml:space="preserve">天然放大年际差异：丰水年蓄水高→触发高档位快速释放→下游水量增加；枯水年蓄水低→只触发低档位   </w:t>
      </w:r>
    </w:p>
    <w:p>
      <w:pPr>
        <w:numPr>
          <w:numId w:val="112"/>
        </w:numPr>
        <w:spacing w:before="120" w:after="120" w:line="288" w:lineRule="auto"/>
        <w:ind w:left="453"/>
        <w:jc w:val="left"/>
      </w:pPr>
      <w:r>
        <w:rPr>
          <w:rFonts w:eastAsia="等线" w:ascii="Arial" w:cs="Arial" w:hAnsi="Arial"/>
          <w:sz w:val="22"/>
        </w:rPr>
        <w:t xml:space="preserve">释放→下游水量减少   </w:t>
      </w:r>
    </w:p>
    <w:p>
      <w:pPr>
        <w:numPr>
          <w:numId w:val="113"/>
        </w:numPr>
        <w:spacing w:before="120" w:after="120" w:line="288" w:lineRule="auto"/>
        <w:ind w:left="453"/>
        <w:jc w:val="left"/>
      </w:pPr>
      <w:r>
        <w:rPr>
          <w:rFonts w:eastAsia="等线" w:ascii="Arial" w:cs="Arial" w:hAnsi="Arial"/>
          <w:sz w:val="22"/>
        </w:rPr>
        <w:t xml:space="preserve">below_principal 从 1000 天改为 30 天是核心改进，解决长期锁水问题    </w:t>
      </w:r>
    </w:p>
    <w:p>
      <w:pPr>
        <w:spacing w:before="120" w:after="120" w:line="288" w:lineRule="auto"/>
        <w:ind w:left="0"/>
        <w:jc w:val="left"/>
      </w:pPr>
    </w:p>
    <w:p>
      <w:pPr>
        <w:numPr>
          <w:numId w:val="114"/>
        </w:numPr>
        <w:spacing w:before="120" w:after="120" w:line="288" w:lineRule="auto"/>
        <w:ind w:left="0"/>
        <w:jc w:val="left"/>
      </w:pPr>
      <w:r>
        <w:rPr>
          <w:rFonts w:eastAsia="等线" w:ascii="Arial" w:cs="Arial" w:hAnsi="Arial"/>
          <w:sz w:val="22"/>
        </w:rPr>
        <w:t>缺点：改动涉及 reservoir.res + res_rel.dtl 两个文件，需更多测试轮次</w:t>
      </w:r>
    </w:p>
    <w:p>
      <w:pPr>
        <w:spacing w:before="120" w:after="120" w:line="288" w:lineRule="auto"/>
        <w:ind w:left="0"/>
        <w:jc w:val="left"/>
      </w:pPr>
      <w:r>
        <w:rPr>
          <w:rFonts w:eastAsia="等线" w:ascii="Arial" w:cs="Arial" w:hAnsi="Arial"/>
          <w:sz w:val="22"/>
        </w:rPr>
        <w:t>结果，指标没有太大改变，但是曲线变平缓了，看起来是趋势是更好了</w:t>
      </w:r>
    </w:p>
    <w:p>
      <w:pPr>
        <w:spacing w:before="120" w:after="120" w:line="288" w:lineRule="auto"/>
        <w:ind w:left="0"/>
        <w:jc w:val="center"/>
      </w:pPr>
      <w:r>
        <w:drawing>
          <wp:inline distT="0" distR="0" distB="0" distL="0">
            <wp:extent cx="5257800" cy="26003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65"/>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p>
    <w:p>
      <w:pPr>
        <w:pStyle w:val="5"/>
        <w:spacing w:before="240" w:after="120" w:line="288" w:lineRule="auto"/>
        <w:ind w:left="0"/>
        <w:jc w:val="left"/>
        <w:outlineLvl w:val="4"/>
      </w:pPr>
      <w:bookmarkStart w:name="heading_42" w:id="42"/>
      <w:r>
        <w:rPr>
          <w:rFonts w:eastAsia="等线" w:ascii="Arial" w:cs="Arial" w:hAnsi="Arial"/>
          <w:b w:val="true"/>
          <w:sz w:val="24"/>
        </w:rPr>
        <w:t>问题：基流太小（基流问题没能成功解决，水量平衡有所改善，PBIAS&lt;20%）</w:t>
      </w:r>
      <w:bookmarkEnd w:id="42"/>
    </w:p>
    <w:p>
      <w:pPr>
        <w:spacing w:before="120" w:after="120" w:line="288" w:lineRule="auto"/>
        <w:ind w:left="0"/>
        <w:jc w:val="left"/>
      </w:pPr>
      <w:r>
        <w:rPr>
          <w:rFonts w:eastAsia="等线" w:ascii="Arial" w:cs="Arial" w:hAnsi="Arial"/>
          <w:sz w:val="22"/>
        </w:rPr>
        <w:t>对PBIAS影响最大的是esco和petco两个参数。</w:t>
      </w:r>
    </w:p>
    <w:p>
      <w:pPr>
        <w:numPr>
          <w:numId w:val="115"/>
        </w:numPr>
        <w:spacing w:before="120" w:after="120" w:line="288" w:lineRule="auto"/>
        <w:ind w:left="0"/>
        <w:jc w:val="left"/>
      </w:pPr>
      <w:r>
        <w:rPr>
          <w:rFonts w:eastAsia="等线" w:ascii="Arial" w:cs="Arial" w:hAnsi="Arial"/>
          <w:sz w:val="22"/>
        </w:rPr>
        <w:t>大幅减少perco（初始0.8），设置为0.15-0.30，降低下渗门槛。让雨水进入土壤/地下水。</w:t>
      </w:r>
    </w:p>
    <w:p>
      <w:pPr>
        <w:spacing w:before="120" w:after="120" w:line="288" w:lineRule="auto"/>
        <w:ind w:left="0"/>
        <w:jc w:val="left"/>
      </w:pPr>
      <w:r>
        <w:rPr>
          <w:rFonts w:eastAsia="等线" w:ascii="Arial" w:cs="Arial" w:hAnsi="Arial"/>
          <w:sz w:val="22"/>
        </w:rPr>
        <w:t>设为0.15后，效果没有改善。</w:t>
      </w:r>
    </w:p>
    <w:p>
      <w:pPr>
        <w:spacing w:before="120" w:after="120" w:line="288" w:lineRule="auto"/>
        <w:ind w:left="0"/>
        <w:jc w:val="left"/>
      </w:pPr>
      <w:r>
        <w:rPr>
          <w:rFonts w:eastAsia="等线" w:ascii="Arial" w:cs="Arial" w:hAnsi="Arial"/>
          <w:sz w:val="22"/>
        </w:rPr>
        <w:t>设为0.3， 为什么设置越大，效果反而越差，但都差于不减少perco？</w:t>
      </w:r>
    </w:p>
    <w:p>
      <w:pPr>
        <w:numPr>
          <w:numId w:val="116"/>
        </w:numPr>
        <w:spacing w:before="120" w:after="120" w:line="288" w:lineRule="auto"/>
        <w:ind w:left="0"/>
        <w:jc w:val="left"/>
      </w:pPr>
      <w:r>
        <w:rPr>
          <w:rFonts w:eastAsia="等线" w:ascii="Arial" w:cs="Arial" w:hAnsi="Arial"/>
          <w:sz w:val="22"/>
        </w:rPr>
        <w:t>修改esco（0.3），结果有所改善</w:t>
      </w:r>
    </w:p>
    <w:p>
      <w:pPr>
        <w:numPr>
          <w:numId w:val="117"/>
        </w:numPr>
        <w:spacing w:before="120" w:after="120" w:line="288" w:lineRule="auto"/>
        <w:ind w:left="0"/>
        <w:jc w:val="left"/>
      </w:pPr>
      <w:r>
        <w:rPr>
          <w:rFonts w:eastAsia="等线" w:ascii="Arial" w:cs="Arial" w:hAnsi="Arial"/>
          <w:sz w:val="22"/>
        </w:rPr>
        <w:t>增大esco（0.8），没有0.3好</w:t>
      </w:r>
    </w:p>
    <w:p>
      <w:pPr>
        <w:numPr>
          <w:numId w:val="118"/>
        </w:numPr>
        <w:spacing w:before="120" w:after="120" w:line="288" w:lineRule="auto"/>
        <w:ind w:left="0"/>
        <w:jc w:val="left"/>
      </w:pPr>
      <w:r>
        <w:rPr>
          <w:rFonts w:eastAsia="等线" w:ascii="Arial" w:cs="Arial" w:hAnsi="Arial"/>
          <w:sz w:val="22"/>
        </w:rPr>
        <w:t>修改petco（0.8，esco 0.3），减小，减少蒸发，增加水量，率定期的结果已经差不多，但是基流太小的问题仍然没有解决，所以导致验证期效果很差。（增加了地表径流，流量峰值增加，但是基流没有变化）</w:t>
      </w:r>
    </w:p>
    <w:p>
      <w:pPr>
        <w:numPr>
          <w:numId w:val="119"/>
        </w:numPr>
        <w:spacing w:before="120" w:after="120" w:line="288" w:lineRule="auto"/>
        <w:ind w:left="0"/>
        <w:jc w:val="left"/>
      </w:pPr>
      <w:r>
        <w:rPr>
          <w:rFonts w:eastAsia="等线" w:ascii="Arial" w:cs="Arial" w:hAnsi="Arial"/>
          <w:sz w:val="22"/>
        </w:rPr>
        <w:t>添加alpha_bf，结果有所改善，但是不太明显。</w:t>
      </w:r>
    </w:p>
    <w:p>
      <w:pPr>
        <w:numPr>
          <w:numId w:val="120"/>
        </w:numPr>
        <w:spacing w:before="120" w:after="120" w:line="288" w:lineRule="auto"/>
        <w:ind w:left="0"/>
        <w:jc w:val="left"/>
      </w:pPr>
      <w:r>
        <w:rPr>
          <w:rFonts w:eastAsia="等线" w:ascii="Arial" w:cs="Arial" w:hAnsi="Arial"/>
          <w:sz w:val="22"/>
        </w:rPr>
        <w:t>直接调整aqu模块的参数好像用处不大，先试试调节土壤模块参数，调整k（-29.6875 ；29.6875）， 结果变化也不是很明显</w:t>
      </w:r>
    </w:p>
    <w:p>
      <w:pPr>
        <w:numPr>
          <w:numId w:val="121"/>
        </w:numPr>
        <w:spacing w:before="120" w:after="120" w:line="288" w:lineRule="auto"/>
        <w:ind w:left="0"/>
        <w:jc w:val="left"/>
      </w:pPr>
      <w:r>
        <w:rPr>
          <w:rFonts w:eastAsia="等线" w:ascii="Arial" w:cs="Arial" w:hAnsi="Arial"/>
          <w:sz w:val="22"/>
        </w:rPr>
        <w:t>尝试增加latq_co 、revap两个参数。有所改善，但也不是很多。</w:t>
      </w:r>
    </w:p>
    <w:p>
      <w:pPr>
        <w:pStyle w:val="5"/>
        <w:spacing w:before="240" w:after="120" w:line="288" w:lineRule="auto"/>
        <w:ind w:left="0"/>
        <w:jc w:val="left"/>
        <w:outlineLvl w:val="4"/>
      </w:pPr>
      <w:bookmarkStart w:name="heading_43" w:id="43"/>
      <w:r>
        <w:rPr>
          <w:rFonts w:eastAsia="等线" w:ascii="Arial" w:cs="Arial" w:hAnsi="Arial"/>
          <w:b w:val="true"/>
          <w:sz w:val="24"/>
        </w:rPr>
        <w:t>通过和ai交流，我认为问题最有可能是这两个</w:t>
      </w:r>
      <w:bookmarkEnd w:id="43"/>
    </w:p>
    <w:p>
      <w:pPr>
        <w:pStyle w:val="5"/>
        <w:spacing w:before="240" w:after="120" w:line="288" w:lineRule="auto"/>
        <w:ind w:left="453"/>
        <w:jc w:val="left"/>
        <w:outlineLvl w:val="4"/>
      </w:pPr>
      <w:bookmarkStart w:name="heading_44" w:id="44"/>
      <w:r>
        <w:rPr>
          <w:rFonts w:eastAsia="等线" w:ascii="Arial" w:cs="Arial" w:hAnsi="Arial"/>
          <w:color w:val="3370ff"/>
          <w:sz w:val="24"/>
        </w:rPr>
        <w:t xml:space="preserve">9. </w:t>
      </w:r>
      <w:r>
        <w:rPr>
          <w:rFonts w:eastAsia="等线" w:ascii="Arial" w:cs="Arial" w:hAnsi="Arial"/>
          <w:b w:val="true"/>
          <w:sz w:val="24"/>
        </w:rPr>
        <w:t>水库初始条件没有设置好，导致模拟开始阶段水库一直在蓄水，严重影响水量</w:t>
      </w:r>
      <w:bookmarkEnd w:id="44"/>
    </w:p>
    <w:p>
      <w:pPr>
        <w:pStyle w:val="5"/>
        <w:spacing w:before="240" w:after="120" w:line="288" w:lineRule="auto"/>
        <w:ind w:left="453"/>
        <w:jc w:val="left"/>
        <w:outlineLvl w:val="4"/>
      </w:pPr>
      <w:bookmarkStart w:name="heading_45" w:id="45"/>
      <w:r>
        <w:rPr>
          <w:rFonts w:eastAsia="等线" w:ascii="Arial" w:cs="Arial" w:hAnsi="Arial"/>
          <w:color w:val="3370ff"/>
          <w:sz w:val="24"/>
        </w:rPr>
        <w:t xml:space="preserve">10. </w:t>
      </w:r>
      <w:r>
        <w:rPr>
          <w:rFonts w:eastAsia="等线" w:ascii="Arial" w:cs="Arial" w:hAnsi="Arial"/>
          <w:b w:val="true"/>
          <w:sz w:val="24"/>
        </w:rPr>
        <w:t>预热期需要延长，让开始模拟可以达到水量平衡，但是这个受到数据限制，目前先不尝试</w:t>
      </w:r>
      <w:bookmarkEnd w:id="45"/>
    </w:p>
    <w:p>
      <w:pPr>
        <w:pStyle w:val="5"/>
        <w:spacing w:before="240" w:after="120" w:line="288" w:lineRule="auto"/>
        <w:ind w:left="0"/>
        <w:jc w:val="left"/>
        <w:outlineLvl w:val="4"/>
      </w:pPr>
      <w:bookmarkStart w:name="heading_46" w:id="46"/>
      <w:r>
        <w:rPr>
          <w:rFonts w:eastAsia="等线" w:ascii="Arial" w:cs="Arial" w:hAnsi="Arial"/>
          <w:b w:val="true"/>
          <w:sz w:val="24"/>
        </w:rPr>
        <w:t>继续调整水库的初始条件</w:t>
      </w:r>
      <w:bookmarkEnd w:id="46"/>
    </w:p>
    <w:p>
      <w:pPr>
        <w:numPr>
          <w:numId w:val="122"/>
        </w:numPr>
        <w:spacing w:before="120" w:after="120" w:line="288" w:lineRule="auto"/>
        <w:ind w:left="0"/>
        <w:jc w:val="left"/>
      </w:pPr>
      <w:r>
        <w:rPr>
          <w:rFonts w:eastAsia="等线" w:ascii="Arial" w:cs="Arial" w:hAnsi="Arial"/>
          <w:sz w:val="22"/>
        </w:rPr>
        <w:t>单独尝试调整水库的初始条件：res_init_vol0、res_init_vol50、res_init_vol70、res_init_vol100。对验证期有一定影响，验证期的PBIAS提升约8%。</w:t>
      </w:r>
    </w:p>
    <w:p>
      <w:pPr>
        <w:numPr>
          <w:numId w:val="123"/>
        </w:numPr>
        <w:spacing w:before="120" w:after="120" w:line="288" w:lineRule="auto"/>
        <w:ind w:left="0"/>
        <w:jc w:val="left"/>
      </w:pPr>
      <w:r>
        <w:rPr>
          <w:rFonts w:eastAsia="等线" w:ascii="Arial" w:cs="Arial" w:hAnsi="Arial"/>
          <w:sz w:val="22"/>
        </w:rPr>
        <w:t>初始水量再次确认无效，flood_custom10_vol70（70%）与 flood_season_custom10（空库）的率定期结果全相同，warm-up 期 3 年已足够，无需继续测试初始水量</w:t>
      </w:r>
    </w:p>
    <w:p>
      <w:pPr>
        <w:pStyle w:val="5"/>
        <w:spacing w:before="240" w:after="120" w:line="288" w:lineRule="auto"/>
        <w:ind w:left="0"/>
        <w:jc w:val="left"/>
        <w:outlineLvl w:val="4"/>
      </w:pPr>
      <w:bookmarkStart w:name="heading_47" w:id="47"/>
      <w:r>
        <w:rPr>
          <w:rFonts w:eastAsia="等线" w:ascii="Arial" w:cs="Arial" w:hAnsi="Arial"/>
          <w:b w:val="true"/>
          <w:sz w:val="24"/>
        </w:rPr>
        <w:t>继续调整水库的季节性调度规则</w:t>
      </w:r>
      <w:bookmarkEnd w:id="47"/>
    </w:p>
    <w:p>
      <w:pPr>
        <w:spacing w:before="120" w:after="120" w:line="288" w:lineRule="auto"/>
        <w:ind w:left="0"/>
        <w:jc w:val="left"/>
      </w:pPr>
      <w:r>
        <w:rPr>
          <w:rFonts w:eastAsia="等线" w:ascii="Arial" w:cs="Arial" w:hAnsi="Arial"/>
          <w:sz w:val="22"/>
        </w:rPr>
        <w:t>水库的基本设定</w:t>
      </w:r>
    </w:p>
    <w:p>
      <w:pPr>
        <w:numPr>
          <w:numId w:val="124"/>
        </w:numPr>
        <w:spacing w:before="120" w:after="120" w:line="288" w:lineRule="auto"/>
        <w:ind w:left="0"/>
        <w:jc w:val="left"/>
      </w:pPr>
      <w:r>
        <w:rPr>
          <w:rFonts w:eastAsia="等线" w:ascii="Arial" w:cs="Arial" w:hAnsi="Arial"/>
          <w:sz w:val="22"/>
        </w:rPr>
        <w:t>运行起始时间：1990 年 1 月</w:t>
      </w:r>
    </w:p>
    <w:p>
      <w:pPr>
        <w:numPr>
          <w:numId w:val="125"/>
        </w:numPr>
        <w:spacing w:before="120" w:after="120" w:line="288" w:lineRule="auto"/>
        <w:ind w:left="0"/>
        <w:jc w:val="left"/>
      </w:pPr>
      <w:r>
        <w:rPr>
          <w:rFonts w:eastAsia="等线" w:ascii="Arial" w:cs="Arial" w:hAnsi="Arial"/>
          <w:sz w:val="22"/>
        </w:rPr>
        <w:t>正常蓄水面积与库容：4500 ha，108750</w:t>
      </w:r>
    </w:p>
    <w:p>
      <w:pPr>
        <w:numPr>
          <w:numId w:val="126"/>
        </w:numPr>
        <w:spacing w:before="120" w:after="120" w:line="288" w:lineRule="auto"/>
        <w:ind w:left="0"/>
        <w:jc w:val="left"/>
      </w:pPr>
      <w:r>
        <w:rPr>
          <w:rFonts w:eastAsia="等线" w:ascii="Arial" w:cs="Arial" w:hAnsi="Arial"/>
          <w:sz w:val="22"/>
        </w:rPr>
        <w:t>应急蓄水面积与库容：5200 ha，125000</w:t>
      </w:r>
    </w:p>
    <w:p>
      <w:pPr>
        <w:numPr>
          <w:numId w:val="127"/>
        </w:numPr>
        <w:spacing w:before="120" w:after="120" w:line="288" w:lineRule="auto"/>
        <w:ind w:left="0"/>
        <w:jc w:val="left"/>
      </w:pPr>
      <w:r>
        <w:rPr>
          <w:rFonts w:eastAsia="等线" w:ascii="Arial" w:cs="Arial" w:hAnsi="Arial"/>
          <w:sz w:val="22"/>
        </w:rPr>
        <w:t>蒸发系数：0.6</w:t>
      </w:r>
    </w:p>
    <w:p>
      <w:pPr>
        <w:spacing w:before="120" w:after="120" w:line="288" w:lineRule="auto"/>
        <w:ind w:left="0"/>
        <w:jc w:val="left"/>
      </w:pPr>
      <w:r>
        <w:rPr>
          <w:rFonts w:eastAsia="等线" w:ascii="Arial" w:cs="Arial" w:hAnsi="Arial"/>
          <w:sz w:val="22"/>
        </w:rPr>
        <w:t>ai提示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目标：找到一种释放策略，既能保持 flood_season 的过程线拟合能力（NSE≈0.5+）</w:t>
              <w:br/>
              <w:t xml:space="preserve">  ，又能改善水量平衡（PBIAS 接近 0）。</w:t>
              <w:br/>
              <w:t xml:space="preserve">  可能的路径：</w:t>
              <w:br/>
              <w:t xml:space="preserve">  1. 优化 flood_season 各档位 days 值：当前 below_principal=30天 可能太慢，</w:t>
              <w:br/>
              <w:t xml:space="preserve">     5-15 天加速释放</w:t>
              <w:br/>
              <w:t xml:space="preserve">  2. 自定义释放规则：在 res_rel.dtl 中创建新的规则，结合 drawdown_days 的释</w:t>
              <w:br/>
              <w:t xml:space="preserve">     度和 flood_season 的分档逻辑</w:t>
              <w:br/>
              <w:t xml:space="preserve">  3. 调节 reservoir.res 中的 k（渗漏系数）：当前 k=0.00，如果增加渗漏，水库</w:t>
              <w:br/>
            </w:r>
            <w:r>
              <w:rPr>
                <w:rFonts w:eastAsia="Consolas" w:ascii="Consolas" w:cs="Consolas" w:hAnsi="Consolas"/>
                <w:sz w:val="22"/>
              </w:rPr>
              <w:t xml:space="preserve">     的水可以通过地下水系统缓慢释放</w:t>
            </w:r>
          </w:p>
        </w:tc>
      </w:tr>
    </w:tbl>
    <w:p>
      <w:pPr>
        <w:spacing w:before="120" w:after="120" w:line="288" w:lineRule="auto"/>
        <w:ind w:left="0"/>
        <w:jc w:val="left"/>
      </w:pPr>
      <w:r>
        <w:rPr>
          <w:rFonts w:eastAsia="等线" w:ascii="Arial" w:cs="Arial" w:hAnsi="Arial"/>
          <w:sz w:val="22"/>
        </w:rPr>
        <w:t>我打算先尝试1和3，自定义释放规则先不尝试</w:t>
      </w:r>
    </w:p>
    <w:p>
      <w:pPr>
        <w:spacing w:before="120" w:after="120" w:line="288" w:lineRule="auto"/>
        <w:ind w:left="0"/>
        <w:jc w:val="left"/>
      </w:pPr>
      <w:r>
        <w:rPr>
          <w:rFonts w:eastAsia="等线" w:ascii="Arial" w:cs="Arial" w:hAnsi="Arial"/>
          <w:sz w:val="22"/>
        </w:rPr>
        <w:t>调度逻辑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 水库规则</w:t>
              <w:br/>
              <w:t xml:space="preserve">        {'name': 'rel', 'change_type': 'replace', 'value': 'flood_season', 'group': 'res_cfg'},</w:t>
              <w:br/>
              <w:t xml:space="preserve">        {'name': 'below_principal', 'change_type': 'replace', 'value': 30.0, 'group': 'res'},</w:t>
              <w:br/>
              <w:t xml:space="preserve">        {'name': 'non_flood&lt;1.3', 'change_type': 'replace', 'value': 30.0, 'group': 'res'},</w:t>
              <w:br/>
              <w:t xml:space="preserve">        {'name': 'non_flood&gt;1.3', 'change_type': 'replace', 'value': 15.0, 'group': 'res'},</w:t>
              <w:br/>
              <w:t xml:space="preserve">        {'name': 'flood', 'change_type': 'replace', 'value': 10.0, 'group': 'res'},</w:t>
              <w:br/>
              <w:t xml:space="preserve">        {'name': 'over_emergency', 'change_type': 'replace', 'value': 5.0, 'group': 'res'},</w:t>
              <w:br/>
              <w:t xml:space="preserve">        # 渗漏系数</w:t>
              <w:br/>
            </w:r>
            <w:r>
              <w:rPr>
                <w:rFonts w:eastAsia="Consolas" w:ascii="Consolas" w:cs="Consolas" w:hAnsi="Consolas"/>
                <w:sz w:val="22"/>
              </w:rPr>
              <w:t xml:space="preserve">        {'name': 'k', 'change_type': 'replace', 'value': 0.05, 'group': 'res_hyd'},</w:t>
            </w:r>
          </w:p>
        </w:tc>
      </w:tr>
    </w:tbl>
    <w:p>
      <w:pPr>
        <w:spacing w:before="120" w:after="120" w:line="288" w:lineRule="auto"/>
        <w:ind w:left="0"/>
        <w:jc w:val="left"/>
      </w:pPr>
      <w:r>
        <w:rPr>
          <w:rFonts w:eastAsia="等线" w:ascii="Arial" w:cs="Arial" w:hAnsi="Arial"/>
          <w:sz w:val="22"/>
        </w:rPr>
        <w:t>days 越短 → PBIAS 越好（水量平衡改善），但 NSE 越差（过程线恶化）</w:t>
      </w:r>
    </w:p>
    <w:p>
      <w:pPr>
        <w:spacing w:before="120" w:after="120" w:line="288" w:lineRule="auto"/>
        <w:ind w:left="0"/>
        <w:jc w:val="left"/>
      </w:pPr>
      <w:r>
        <w:rPr>
          <w:rFonts w:eastAsia="等线" w:ascii="Arial" w:cs="Arial" w:hAnsi="Arial"/>
          <w:sz w:val="22"/>
        </w:rPr>
        <w:t>days 越长 → NSE 越好（过程线平滑），但 PBIAS 越差（水量严重偏低）</w:t>
      </w:r>
    </w:p>
    <w:p>
      <w:pPr>
        <w:spacing w:before="120" w:after="120" w:line="288" w:lineRule="auto"/>
        <w:ind w:left="0"/>
        <w:jc w:val="left"/>
      </w:pPr>
      <w:r>
        <w:rPr>
          <w:rFonts w:eastAsia="等线" w:ascii="Arial" w:cs="Arial" w:hAnsi="Arial"/>
          <w:sz w:val="22"/>
        </w:rPr>
        <w:t xml:space="preserve">  • 这是一个结构性矛盾，无法通过简单调节 days 同时优化两者</w:t>
      </w:r>
    </w:p>
    <w:p>
      <w:pPr>
        <w:spacing w:before="120" w:after="120" w:line="288" w:lineRule="auto"/>
        <w:ind w:left="0"/>
        <w:jc w:val="left"/>
      </w:pPr>
      <w:r>
        <w:rPr>
          <w:rFonts w:eastAsia="等线" w:ascii="Arial" w:cs="Arial" w:hAnsi="Arial"/>
          <w:sz w:val="22"/>
        </w:rPr>
        <w:t>好像都跟最开始的模拟结果差不多。</w:t>
      </w:r>
    </w:p>
    <w:p>
      <w:pPr>
        <w:spacing w:before="120" w:after="120" w:line="288" w:lineRule="auto"/>
        <w:ind w:left="0"/>
        <w:jc w:val="left"/>
      </w:pPr>
      <w:r>
        <w:rPr>
          <w:rFonts w:eastAsia="等线" w:ascii="Arial" w:cs="Arial" w:hAnsi="Arial"/>
          <w:sz w:val="22"/>
        </w:rPr>
        <w:t>k 渗漏系数影响很小。</w:t>
      </w:r>
    </w:p>
    <w:p>
      <w:pPr>
        <w:numPr>
          <w:numId w:val="128"/>
        </w:numPr>
        <w:spacing w:before="120" w:after="120" w:line="288" w:lineRule="auto"/>
        <w:ind w:left="0"/>
        <w:jc w:val="left"/>
      </w:pPr>
      <w:r>
        <w:rPr>
          <w:rFonts w:eastAsia="等线" w:ascii="Arial" w:cs="Arial" w:hAnsi="Arial"/>
          <w:sz w:val="22"/>
        </w:rPr>
        <w:t>后续可以尝试自定义释放规则，结合drawdown_days的逻辑。（先不尝试）</w:t>
      </w:r>
    </w:p>
    <w:p>
      <w:pPr>
        <w:pStyle w:val="5"/>
        <w:spacing w:before="240" w:after="120" w:line="288" w:lineRule="auto"/>
        <w:ind w:left="0"/>
        <w:jc w:val="left"/>
        <w:outlineLvl w:val="4"/>
      </w:pPr>
      <w:bookmarkStart w:name="heading_48" w:id="48"/>
      <w:r>
        <w:rPr>
          <w:rFonts w:eastAsia="等线" w:ascii="Arial" w:cs="Arial" w:hAnsi="Arial"/>
          <w:b w:val="true"/>
          <w:sz w:val="24"/>
        </w:rPr>
        <w:t>在修改水库调度规则的基础上，降低 pet_co 来减少蒸散发、增加径流，改善PBIAS。</w:t>
      </w:r>
      <w:bookmarkEnd w:id="48"/>
    </w:p>
    <w:p>
      <w:pPr>
        <w:numPr>
          <w:numId w:val="129"/>
        </w:numPr>
        <w:spacing w:before="120" w:after="120" w:line="288" w:lineRule="auto"/>
        <w:ind w:left="0"/>
        <w:jc w:val="left"/>
      </w:pPr>
      <w:r>
        <w:rPr>
          <w:rFonts w:eastAsia="等线" w:ascii="Arial" w:cs="Arial" w:hAnsi="Arial"/>
          <w:sz w:val="22"/>
        </w:rPr>
        <w:t>重新修改了petco后，</w:t>
      </w:r>
      <w:r>
        <w:rPr>
          <w:rFonts w:eastAsia="等线" w:ascii="Arial" w:cs="Arial" w:hAnsi="Arial"/>
          <w:sz w:val="22"/>
        </w:rPr>
        <w:t>可以将pbias从负值改为正的</w:t>
      </w:r>
      <w:r>
        <w:rPr>
          <w:rFonts w:eastAsia="等线" w:ascii="Arial" w:cs="Arial" w:hAnsi="Arial"/>
          <w:sz w:val="22"/>
        </w:rPr>
        <w:t>，但是验证期结果不理想。说明就用这些参数应该是够了。所以想直接进行自动率定。</w:t>
      </w:r>
    </w:p>
    <w:p>
      <w:pPr>
        <w:numPr>
          <w:numId w:val="130"/>
        </w:numPr>
        <w:spacing w:before="120" w:after="120" w:line="288" w:lineRule="auto"/>
        <w:ind w:left="0"/>
        <w:jc w:val="left"/>
      </w:pPr>
      <w:r>
        <w:rPr>
          <w:rFonts w:eastAsia="等线" w:ascii="Arial" w:cs="Arial" w:hAnsi="Arial"/>
          <w:sz w:val="22"/>
        </w:rPr>
        <w:t>再尝试调整一下基流，目前曲线的趋势可以大致通过水库调度规则达到类似的，曲线峰值可以通过调节petco，但是流量低值部分，即基流部分总是为0，基流显示不出来，实测值是始终有基流的。请分析低值部分，如何解决这个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 基流缺失的根因分析</w:t>
              <w:br/>
              <w:t xml:space="preserve">  SWAT+ 基流公式：日基流 = alpha_bf × (地下水储量 - flo_min)，当储量 &gt; flo_min 时。</w:t>
              <w:br/>
              <w:t xml:space="preserve">  当前参数：</w:t>
              <w:br/>
              <w:t xml:space="preserve">  • alpha_bf=0.04：每天衰减 4%，25 天后只剩 36%</w:t>
              <w:br/>
              <w:t xml:space="preserve">  • spec_yld=0.03-0.05：给水度极低，含水层储水能力非常有限</w:t>
              <w:br/>
              <w:t xml:space="preserve">  • flo_min=1.0：基流产生阈值</w:t>
              <w:br/>
              <w:t xml:space="preserve">  • rchg_dp=0.00-0.05：很多单元深层渗漏为 0，地下水补给不足</w:t>
              <w:br/>
              <w:t xml:space="preserve">  核心问题：</w:t>
              <w:br/>
              <w:t xml:space="preserve">  1. spec_yld 太小 → 含水层像个"小杯子"，蓄不住水</w:t>
              <w:br/>
              <w:t xml:space="preserve">  2. rchg_dp 很多为0 → 深层地下水几乎没有补给</w:t>
              <w:br/>
              <w:t xml:space="preserve">  3. alpha_bf=0.04 + spec_yld=0.05 → 即使有水渗入，也很快排干</w:t>
              <w:br/>
              <w:t xml:space="preserve">  ───────────────────────────────────────────────────────────────────────────────────────────────</w:t>
              <w:br/>
              <w:t xml:space="preserve">  🧪 实验方案</w:t>
              <w:br/>
              <w:t xml:space="preserve">  我需要同时修改三个地下水参数：</w:t>
              <w:br/>
              <w:t xml:space="preserve">   方案         spec_yld   alpha_bf   flo_min   目的</w:t>
              <w:br/>
              <w:t xml:space="preserve">  ━━━━━━━━━━━━━━━━━━━━━━━━━━━━━━━━━━━━━━━━━━━━━━━━━━━━━━━━━━━━━━━━━━━</w:t>
              <w:br/>
              <w:t xml:space="preserve">   baseflow_1       0.10       0.04       1.0   仅提高给水度</w:t>
              <w:br/>
              <w:t xml:space="preserve">   baseflow_2       0.20       0.04       1.0   大幅提高给水度</w:t>
              <w:br/>
              <w:t xml:space="preserve">   baseflow_3       0.10       0.02       0.5   给水度+慢衰减+低阈值</w:t>
              <w:br/>
              <w:t xml:space="preserve">   baseflow_4       0.15       0.02       0.3   组合优化</w:t>
              <w:br/>
            </w:r>
            <w:r>
              <w:rPr>
                <w:rFonts w:eastAsia="Consolas" w:ascii="Consolas" w:cs="Consolas" w:hAnsi="Consolas"/>
                <w:sz w:val="22"/>
              </w:rPr>
              <w:t xml:space="preserve">  所有方案都基于 flood_fast2（days=10）+ custom10 水循环参数，确保峰值匹配的前提下改善基流。</w:t>
            </w:r>
          </w:p>
        </w:tc>
      </w:tr>
    </w:tbl>
    <w:p>
      <w:pPr>
        <w:numPr>
          <w:numId w:val="131"/>
        </w:numPr>
        <w:spacing w:before="120" w:after="120" w:line="288" w:lineRule="auto"/>
        <w:ind w:left="0"/>
        <w:jc w:val="left"/>
      </w:pPr>
      <w:r>
        <w:rPr>
          <w:rFonts w:eastAsia="等线" w:ascii="Arial" w:cs="Arial" w:hAnsi="Arial"/>
          <w:sz w:val="22"/>
        </w:rPr>
        <w:t>继续修改三个地下水参数spec_yld   alpha_bf   flo_min  改善不大，继续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aquifer.aqu 中 dep_wt（初始地下水位深度）= 3.0-20.0m，均值 3.03m</w:t>
              <w:br/>
              <w:t xml:space="preserve">  而基流产生的阈值约为 dep_wt ≈ 0.5m。</w:t>
              <w:br/>
              <w:t xml:space="preserve">  所有 531 个含水层的初始地下水位都太深了，远超基流产生阈值。即使经过 3 年 warm-up，地下水位仍然</w:t>
              <w:br/>
              <w:t xml:space="preserve">  无法上升到 0.5m 以内，所以基流始终为0！</w:t>
              <w:br/>
              <w:t xml:space="preserve">  dep_bot（含水层底部）= 10m，足够深。问题只在 dep_wt。</w:t>
              <w:br/>
              <w:br/>
              <w:t xml:space="preserve">  解决方案：大幅降低 dep_wt，使其接近基流产生阈值。</w:t>
              <w:br/>
              <w:br/>
              <w:t>方案               dep_wt   理论效果</w:t>
              <w:br/>
              <w:t xml:space="preserve">  ━━━━━━━━━━━━━━━━━━━━━━━━━━━━━━━━━━━━━━━━━━━━━━━━━━━━━━━━━━</w:t>
              <w:br/>
              <w:t xml:space="preserve">   baseflow_depwt05     0.5m   低于基流阈值，应产生大量基流</w:t>
              <w:br/>
              <w:t xml:space="preserve">   baseflow_depwt10     1.0m   接近阈值，可能产生适度基流</w:t>
              <w:br/>
              <w:t xml:space="preserve">   baseflow_depwt20     2.0m   仍高于阈值，测试边界</w:t>
              <w:br/>
              <w:t xml:space="preserve">    核心假设：当前 dep_wt=3.0m 远超基流产生阈值（~0.5m），导致 98% aquifer 无基流。降低 dep_wt 应能</w:t>
              <w:br/>
            </w:r>
            <w:r>
              <w:rPr>
                <w:rFonts w:eastAsia="Consolas" w:ascii="Consolas" w:cs="Consolas" w:hAnsi="Consolas"/>
                <w:sz w:val="22"/>
              </w:rPr>
              <w:t xml:space="preserve">  直接激活基流。</w:t>
            </w:r>
          </w:p>
        </w:tc>
      </w:tr>
    </w:tbl>
    <w:p>
      <w:pPr>
        <w:numPr>
          <w:numId w:val="132"/>
        </w:numPr>
        <w:spacing w:before="120" w:after="120" w:line="288" w:lineRule="auto"/>
        <w:ind w:left="0"/>
        <w:jc w:val="left"/>
      </w:pPr>
      <w:r>
        <w:rPr>
          <w:rFonts w:eastAsia="等线" w:ascii="Arial" w:cs="Arial" w:hAnsi="Arial"/>
          <w:sz w:val="22"/>
        </w:rPr>
        <w:t>修改dep_wt，改善不大，继续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claude认为含水层确实在产生基流，但是水全部进入水库，水库枯水期放流规则导致了零放水。</w:t>
              <w:br/>
              <w:t>条件：当 vol &lt; pvol × 1.0（水库低于主溢洪道蓄水位）时触发 alt1。</w:t>
              <w:br/>
              <w:t>现状：hydrology.res 中 vol_ps = 65113 × 10³ m³ ≈ 6511 万 m³，而枯水期水库蓄水量（flo_stor = 247,300 m³）约为主溢洪道容量的 0.4%，远低于 pvol。</w:t>
              <w:br/>
              <w:t>问题：const2 = 0.0，即 最小放流量 = 0。水库已经在主溢洪道以下，目标是"维持在 below_principal"，实际放流 ≈ 0。</w:t>
              <w:br/>
              <w:t>结果：cha310 枯水期实测约 0.027 m³/s（约等于 0），而实测始终有基流。</w:t>
              <w:br/>
              <w:br/>
              <w:t>问题链路：</w:t>
              <w:br/>
              <w:t>浅层含水层 → 产生大量基流（如aqu0011: 296.5 mm/yr）</w:t>
              <w:br/>
              <w:t xml:space="preserve">     ↓ 全部进入河道 → 最终汇入水库 res12</w:t>
              <w:br/>
              <w:t>水库 res12：枯水期蓄水量只有 247,300 m³（是主溢洪道容量 6511万m³ 的 0.4%）</w:t>
              <w:br/>
              <w:t xml:space="preserve">     ↓ 触发 alt1（below_principal）</w:t>
              <w:br/>
              <w:t>release res 0 below_principal days 10.0 [const2=0.0] null</w:t>
              <w:br/>
              <w:t xml:space="preserve">                                             ↑</w:t>
              <w:br/>
              <w:t xml:space="preserve">                              ★ 根本原因：最小放流量 = 0 ★</w:t>
              <w:br/>
              <w:t xml:space="preserve">                              水库已经低于主溢洪道，目标是维持</w:t>
              <w:br/>
              <w:t xml:space="preserve">                              below_principal，结果：放流 ≈ 0</w:t>
              <w:br/>
              <w:t xml:space="preserve">     ↓ </w:t>
              <w:br/>
              <w:t>cha310 枯水期流量 ≈ 0.027 m³/s（几乎为零）</w:t>
              <w:br/>
              <w:br/>
              <w:t>修复：在 res_rel.dtl 中设置生态最小放流量</w:t>
              <w:br/>
              <w:t>const2 是最小日均放流量（m³/s），控制在所有调度规则下都必须保证的底线流量。基于 ObsMean=42.7 m³/s，推荐从 5 m³/s 开始试验：</w:t>
              <w:br/>
            </w:r>
          </w:p>
        </w:tc>
      </w:tr>
    </w:tbl>
    <w:p>
      <w:pPr>
        <w:spacing w:before="120" w:after="120" w:line="288" w:lineRule="auto"/>
        <w:ind w:left="0"/>
        <w:jc w:val="center"/>
      </w:pPr>
      <w:r>
        <w:drawing>
          <wp:inline distT="0" distR="0" distB="0" distL="0">
            <wp:extent cx="3162300" cy="265747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66"/>
                    <a:stretch>
                      <a:fillRect/>
                    </a:stretch>
                  </pic:blipFill>
                  <pic:spPr>
                    <a:xfrm>
                      <a:off x="0" y="0"/>
                      <a:ext cx="3162300" cy="2657475"/>
                    </a:xfrm>
                    <a:prstGeom prst="rect">
                      <a:avLst/>
                    </a:prstGeom>
                  </pic:spPr>
                </pic:pic>
              </a:graphicData>
            </a:graphic>
          </wp:inline>
        </w:drawing>
      </w:r>
    </w:p>
    <w:p>
      <w:pPr>
        <w:spacing w:before="120" w:after="120" w:line="288" w:lineRule="auto"/>
        <w:ind w:left="0"/>
      </w:pPr>
      <w:r>
        <w:object>
          <v:shape id="_x0000_i1033" style="width:414pt;height:197pt;mso-width-percent:0;mso-height-percent:0;mso-width-percent:0;mso-height-percent:0" type="#_x0000_t75" o:ole="">
            <v:imagedata r:id="rId68" o:title=""/>
          </v:shape>
          <o:OLEObject DrawAspect="Icon" ObjectID="_1718471227" ProgID="Excel.Sheet.12" ShapeID="_x0000_i1033" Type="Embed" r:id="rId67"/>
        </w:object>
      </w:r>
    </w:p>
    <w:p>
      <w:pPr>
        <w:spacing w:after="120"/>
        <w:ind w:left="0"/>
        <w:jc w:val="center"/>
      </w:pPr>
      <w:r>
        <w:rPr>
          <w:rFonts w:eastAsia="等线" w:ascii="Arial" w:cs="Arial" w:hAnsi="Arial"/>
          <w:b w:val="true"/>
          <w:sz w:val="22"/>
        </w:rPr>
        <w:t>点击图片可查看完整电子表格</w:t>
      </w:r>
    </w:p>
    <w:p>
      <w:pPr>
        <w:numPr>
          <w:numId w:val="133"/>
        </w:numPr>
        <w:spacing w:before="120" w:after="120" w:line="288" w:lineRule="auto"/>
        <w:ind w:left="0"/>
        <w:jc w:val="left"/>
      </w:pPr>
      <w:r>
        <w:rPr>
          <w:rFonts w:eastAsia="等线" w:ascii="Arial" w:cs="Arial" w:hAnsi="Arial"/>
          <w:sz w:val="22"/>
        </w:rPr>
        <w:t>没有什么太大变化，调整失败。恢复之前的水库规则res_rel.dtl</w:t>
      </w:r>
    </w:p>
    <w:p>
      <w:pPr>
        <w:pStyle w:val="2"/>
        <w:spacing w:before="320" w:after="120" w:line="288" w:lineRule="auto"/>
        <w:ind w:left="0"/>
        <w:jc w:val="left"/>
        <w:outlineLvl w:val="1"/>
      </w:pPr>
      <w:bookmarkStart w:name="heading_49" w:id="49"/>
      <w:r>
        <w:rPr>
          <w:rFonts w:eastAsia="等线" w:ascii="Arial" w:cs="Arial" w:hAnsi="Arial"/>
          <w:b w:val="true"/>
          <w:sz w:val="32"/>
        </w:rPr>
        <w:t>修改模型代码</w:t>
      </w:r>
      <w:bookmarkEnd w:id="49"/>
    </w:p>
    <w:p>
      <w:pPr>
        <w:spacing w:before="120" w:after="120" w:line="288" w:lineRule="auto"/>
        <w:ind w:left="0"/>
        <w:jc w:val="left"/>
      </w:pPr>
      <w:r>
        <w:rPr>
          <w:rFonts w:eastAsia="等线" w:ascii="Arial" w:cs="Arial" w:hAnsi="Arial"/>
          <w:sz w:val="22"/>
        </w:rPr>
        <w:t>修改源码ch_rtmusk.f90。Muskingum汇流有几个关键参数，c1、c2、c3，对于日尺度模拟，直接用相应的公式计算这三个参数容易造成c1或c3负数，所以在sd_hydsed_init.f90中，引入了substeps，也就是说整体的模拟时间步长是1天，但muskingum汇流时的步长可能是2h也可能是4h，取决于河道参数。</w:t>
      </w:r>
    </w:p>
    <w:p>
      <w:pPr>
        <w:spacing w:before="120" w:after="120" w:line="288" w:lineRule="auto"/>
        <w:ind w:left="0"/>
        <w:jc w:val="left"/>
      </w:pPr>
      <w:r>
        <w:rPr>
          <w:rFonts w:eastAsia="等线" w:ascii="Arial" w:cs="Arial" w:hAnsi="Arial"/>
          <w:sz w:val="22"/>
        </w:rPr>
        <w:t>在sd_hydsed_init中计算完c1、c2、c3之后，在ch_rtmusk中用的时候，substeps被强制赋值为1了，这就导致最终的径流是偏低的，而且模拟的pattern也与实测值相差较大。</w:t>
      </w:r>
    </w:p>
    <w:p>
      <w:pPr>
        <w:spacing w:before="120" w:after="120" w:line="288" w:lineRule="auto"/>
        <w:ind w:left="0"/>
        <w:jc w:val="left"/>
      </w:pPr>
      <w:r>
        <w:rPr>
          <w:rFonts w:eastAsia="等线" w:ascii="Arial" w:cs="Arial" w:hAnsi="Arial"/>
          <w:sz w:val="22"/>
        </w:rPr>
        <w:t>https://github.com/crazyzlj/swatplus_official/commit/95e014179bd9a3575bf8185e578928ab849fcb1e</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后续流程计划</w:t>
      </w:r>
      <w:bookmarkEnd w:id="50"/>
    </w:p>
    <w:p>
      <w:pPr>
        <w:spacing w:before="120" w:after="120" w:line="288" w:lineRule="auto"/>
        <w:ind w:left="0"/>
        <w:jc w:val="left"/>
      </w:pPr>
      <w:r>
        <w:rPr>
          <w:rFonts w:eastAsia="等线" w:ascii="Arial" w:cs="Arial" w:hAnsi="Arial"/>
          <w:sz w:val="22"/>
        </w:rPr>
        <w:t>结合swat+分析结果进行时间和空间尺度上的水量平衡分析。在时间尺度上主要分为：冻融-春播-雨季-秋收后期。在空间尺度上分为：hru尺度上分析根区土壤水-坑塘/湿地/水库尺度上分析地表调蓄水-子流域含水层尺度上分析浅层地下水。</w:t>
      </w:r>
    </w:p>
    <w:p>
      <w:pPr>
        <w:spacing w:before="120" w:after="120" w:line="288" w:lineRule="auto"/>
        <w:ind w:left="0"/>
        <w:jc w:val="left"/>
      </w:pPr>
      <w:r>
        <w:rPr>
          <w:rFonts w:eastAsia="等线" w:ascii="Arial" w:cs="Arial" w:hAnsi="Arial"/>
          <w:sz w:val="22"/>
        </w:rPr>
        <w:t>计划绘制以下图进行分析：</w:t>
      </w:r>
    </w:p>
    <w:p>
      <w:pPr>
        <w:numPr>
          <w:numId w:val="134"/>
        </w:numPr>
        <w:spacing w:before="120" w:after="120" w:line="288" w:lineRule="auto"/>
        <w:ind w:left="0"/>
        <w:jc w:val="left"/>
      </w:pPr>
      <w:r>
        <w:rPr>
          <w:rFonts w:eastAsia="等线" w:ascii="Arial" w:cs="Arial" w:hAnsi="Arial"/>
          <w:sz w:val="22"/>
        </w:rPr>
        <w:t>流域整体水量平衡堆积柱状图</w:t>
      </w:r>
    </w:p>
    <w:p>
      <w:pPr>
        <w:spacing w:before="120" w:after="120" w:line="288" w:lineRule="auto"/>
        <w:ind w:left="0"/>
        <w:jc w:val="left"/>
      </w:pPr>
      <w:r>
        <w:rPr>
          <w:rFonts w:eastAsia="等线" w:ascii="Arial" w:cs="Arial" w:hAnsi="Arial"/>
          <w:sz w:val="22"/>
        </w:rPr>
        <w:t>数据来源：basin_wb_aa.txt、channel_sd_day.txt。</w:t>
      </w:r>
    </w:p>
    <w:p>
      <w:pPr>
        <w:spacing w:before="120" w:after="120" w:line="288" w:lineRule="auto"/>
        <w:ind w:left="0"/>
        <w:jc w:val="left"/>
      </w:pPr>
      <w:r>
        <w:rPr>
          <w:rFonts w:eastAsia="等线" w:ascii="Arial" w:cs="Arial" w:hAnsi="Arial"/>
          <w:sz w:val="22"/>
        </w:rPr>
        <w:t>时间尺度：多年平均（2012-2022）</w:t>
      </w:r>
    </w:p>
    <w:p>
      <w:pPr>
        <w:spacing w:before="120" w:after="120" w:line="288" w:lineRule="auto"/>
        <w:ind w:left="0"/>
        <w:jc w:val="left"/>
      </w:pPr>
      <w:r>
        <w:rPr>
          <w:rFonts w:eastAsia="等线" w:ascii="Arial" w:cs="Arial" w:hAnsi="Arial"/>
          <w:sz w:val="22"/>
        </w:rPr>
        <w:t>图像形式：各组分堆积成柱状，降水用曲线，两者对比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439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降水</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precip</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含固态降水</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蒸散发（分3层）</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ecanopy + eplant + esoil</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"耗"</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地表径流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surq_gen</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壤中流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latq</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深层渗漏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perc</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"耗"不可回收部分</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土壤蓄水变化</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sw_change</w:t>
            </w:r>
          </w:p>
          <w:p>
            <w:pPr>
              <w:spacing w:before="120" w:after="120" w:line="288" w:lineRule="auto"/>
              <w:ind w:left="0"/>
              <w:jc w:val="left"/>
            </w:pP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"蓄"</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流域出口径流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flo_out</w:t>
            </w:r>
          </w:p>
        </w:tc>
        <w:tc>
          <w:tcPr>
            <w:tcW w:w="439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bl>
    <w:p>
      <w:pPr>
        <w:numPr>
          <w:numId w:val="135"/>
        </w:numPr>
        <w:spacing w:before="120" w:after="120" w:line="288" w:lineRule="auto"/>
        <w:ind w:left="0"/>
        <w:jc w:val="left"/>
      </w:pPr>
      <w:r>
        <w:rPr>
          <w:rFonts w:eastAsia="等线" w:ascii="Arial" w:cs="Arial" w:hAnsi="Arial"/>
          <w:sz w:val="22"/>
        </w:rPr>
        <w:t>月均径流组分分解图</w:t>
      </w:r>
    </w:p>
    <w:p>
      <w:pPr>
        <w:spacing w:before="120" w:after="120" w:line="288" w:lineRule="auto"/>
        <w:ind w:left="0"/>
        <w:jc w:val="left"/>
      </w:pPr>
      <w:r>
        <w:rPr>
          <w:rFonts w:eastAsia="等线" w:ascii="Arial" w:cs="Arial" w:hAnsi="Arial"/>
          <w:sz w:val="22"/>
        </w:rPr>
        <w:t>分析地表径流、壤中流、地下水基流三种路径的季节节律。方便找到汛期洪峰、枯季基流等典型时期的数据</w:t>
      </w:r>
    </w:p>
    <w:p>
      <w:pPr>
        <w:spacing w:before="120" w:after="120" w:line="288" w:lineRule="auto"/>
        <w:ind w:left="0"/>
        <w:jc w:val="left"/>
      </w:pPr>
      <w:r>
        <w:rPr>
          <w:rFonts w:eastAsia="等线" w:ascii="Arial" w:cs="Arial" w:hAnsi="Arial"/>
          <w:sz w:val="22"/>
        </w:rPr>
        <w:t>数据来源：hru_wb_yr.txt（按月聚合）或 channel_sd_day.txt（月均）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95"/>
        <w:gridCol w:w="4740"/>
      </w:tblGrid>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地表径流</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surq_gen</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壤中流</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latq</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基流</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aquifer_aa.txt 中 flo（含水层出流）</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降水（上方柱/翻转柱）</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precip</w:t>
            </w:r>
          </w:p>
        </w:tc>
      </w:tr>
    </w:tbl>
    <w:p>
      <w:pPr>
        <w:spacing w:before="120" w:after="120" w:line="288" w:lineRule="auto"/>
        <w:ind w:left="0"/>
        <w:jc w:val="left"/>
      </w:pPr>
      <w:r>
        <w:rPr>
          <w:rFonts w:eastAsia="等线" w:ascii="Arial" w:cs="Arial" w:hAnsi="Arial"/>
          <w:sz w:val="22"/>
        </w:rPr>
        <w:t xml:space="preserve"> </w:t>
      </w:r>
    </w:p>
    <w:p>
      <w:pPr>
        <w:numPr>
          <w:numId w:val="136"/>
        </w:numPr>
        <w:spacing w:before="120" w:after="120" w:line="288" w:lineRule="auto"/>
        <w:ind w:left="0"/>
        <w:jc w:val="left"/>
      </w:pPr>
      <w:r>
        <w:rPr>
          <w:rFonts w:eastAsia="等线" w:ascii="Arial" w:cs="Arial" w:hAnsi="Arial"/>
          <w:sz w:val="22"/>
        </w:rPr>
        <w:t>蒸散发组分的年内动态与 T/ET 比值图（耗水分析）</w:t>
      </w:r>
    </w:p>
    <w:p>
      <w:pPr>
        <w:spacing w:before="120" w:after="120" w:line="288" w:lineRule="auto"/>
        <w:ind w:left="0"/>
        <w:jc w:val="left"/>
      </w:pPr>
      <w:r>
        <w:rPr>
          <w:rFonts w:eastAsia="等线" w:ascii="Arial" w:cs="Arial" w:hAnsi="Arial"/>
          <w:sz w:val="22"/>
        </w:rPr>
        <w:t>区分有效耗水（作物蒸腾）和无效损耗（土壤蒸发）</w:t>
      </w:r>
    </w:p>
    <w:p>
      <w:pPr>
        <w:spacing w:before="120" w:after="120" w:line="288" w:lineRule="auto"/>
        <w:ind w:left="0"/>
        <w:jc w:val="left"/>
      </w:pPr>
      <w:r>
        <w:rPr>
          <w:rFonts w:eastAsia="等线" w:ascii="Arial" w:cs="Arial" w:hAnsi="Arial"/>
          <w:sz w:val="22"/>
        </w:rPr>
        <w:t>时间尺度：</w:t>
      </w:r>
    </w:p>
    <w:p>
      <w:pPr>
        <w:spacing w:before="120" w:after="120" w:line="288" w:lineRule="auto"/>
        <w:ind w:left="0"/>
        <w:jc w:val="left"/>
      </w:pPr>
      <w:r>
        <w:rPr>
          <w:rFonts w:eastAsia="等线" w:ascii="Arial" w:cs="Arial" w:hAnsi="Arial"/>
          <w:sz w:val="22"/>
        </w:rPr>
        <w:t>数据来源：hru_wb_yr.txt（按作物类型 HRU 分组）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25"/>
        <w:gridCol w:w="1500"/>
      </w:tblGrid>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冠层截留蒸发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ecanopy</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作物蒸腾</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eplant</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土壤蒸发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esoil</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潜在蒸散发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pet</w:t>
            </w:r>
          </w:p>
        </w:tc>
      </w:tr>
    </w:tbl>
    <w:p>
      <w:pPr>
        <w:spacing w:before="120" w:after="120" w:line="288" w:lineRule="auto"/>
        <w:ind w:left="0"/>
        <w:jc w:val="left"/>
      </w:pPr>
      <w:r>
        <w:rPr>
          <w:rFonts w:eastAsia="等线" w:ascii="Arial" w:cs="Arial" w:hAnsi="Arial"/>
          <w:sz w:val="22"/>
        </w:rPr>
        <w:t>各组分绘制堆积柱状图</w:t>
      </w:r>
    </w:p>
    <w:p>
      <w:pPr>
        <w:spacing w:before="120" w:after="120" w:line="288" w:lineRule="auto"/>
        <w:ind w:left="0"/>
        <w:jc w:val="left"/>
      </w:pPr>
      <w:r>
        <w:rPr>
          <w:rFonts w:eastAsia="等线" w:ascii="Arial" w:cs="Arial" w:hAnsi="Arial"/>
          <w:sz w:val="22"/>
        </w:rPr>
        <w:t>叠加T/ET=eplant/(ecanopy+eplant+esoil)T/ET=eplant/(ecanopy+eplant+esoil) 年际变化折线图</w:t>
      </w:r>
    </w:p>
    <w:p>
      <w:pPr>
        <w:spacing w:before="120" w:after="120" w:line="288" w:lineRule="auto"/>
        <w:ind w:left="0"/>
        <w:jc w:val="left"/>
      </w:pPr>
      <w:r>
        <w:rPr>
          <w:rFonts w:eastAsia="等线" w:ascii="Arial" w:cs="Arial" w:hAnsi="Arial"/>
          <w:sz w:val="22"/>
        </w:rPr>
        <w:t xml:space="preserve"> </w:t>
      </w:r>
    </w:p>
    <w:p>
      <w:pPr>
        <w:numPr>
          <w:numId w:val="137"/>
        </w:numPr>
        <w:spacing w:before="120" w:after="120" w:line="288" w:lineRule="auto"/>
        <w:ind w:left="0"/>
        <w:jc w:val="left"/>
      </w:pPr>
      <w:r>
        <w:rPr>
          <w:rFonts w:eastAsia="等线" w:ascii="Arial" w:cs="Arial" w:hAnsi="Arial"/>
          <w:sz w:val="22"/>
        </w:rPr>
        <w:t>土壤含水量全周年动态曲线（蓄水分析）</w:t>
      </w:r>
    </w:p>
    <w:p>
      <w:pPr>
        <w:spacing w:before="120" w:after="120" w:line="288" w:lineRule="auto"/>
        <w:ind w:left="0"/>
        <w:jc w:val="left"/>
      </w:pPr>
      <w:r>
        <w:rPr>
          <w:rFonts w:eastAsia="等线" w:ascii="Arial" w:cs="Arial" w:hAnsi="Arial"/>
          <w:sz w:val="22"/>
        </w:rPr>
        <w:t>数据来源：hru_wb_yr.txt（逐 HRU）</w:t>
      </w:r>
    </w:p>
    <w:p>
      <w:pPr>
        <w:spacing w:before="120" w:after="120" w:line="288" w:lineRule="auto"/>
        <w:ind w:left="0"/>
        <w:jc w:val="left"/>
      </w:pPr>
      <w:r>
        <w:rPr>
          <w:rFonts w:eastAsia="等线" w:ascii="Arial" w:cs="Arial" w:hAnsi="Arial"/>
          <w:sz w:val="22"/>
        </w:rPr>
        <w:t>时间尺度：年尺度，如果有日尺度，再补充日尺度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500"/>
        <w:gridCol w:w="3090"/>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含义</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土壤含水量均值</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sw_ave</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根区蓄水状态</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年初土壤含水量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sw_init</w:t>
            </w:r>
          </w:p>
        </w:tc>
        <w:tc>
          <w:tcPr>
            <w:tcW w:w="3090" w:type="dxa"/>
            <w:tcMar>
              <w:top w:type="dxa" w:w="60"/>
              <w:left w:type="dxa" w:w="120"/>
              <w:bottom w:type="dxa" w:w="30"/>
              <w:right w:type="dxa" w:w="120"/>
            </w:tcMar>
          </w:tcPr>
          <w:p>
            <w:pPr>
              <w:spacing w:before="120" w:after="120" w:line="288" w:lineRule="auto"/>
              <w:ind w:left="0"/>
              <w:jc w:val="left"/>
            </w:pP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年末土壤含水量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sw_final</w:t>
            </w:r>
          </w:p>
        </w:tc>
        <w:tc>
          <w:tcPr>
            <w:tcW w:w="3090" w:type="dxa"/>
            <w:tcMar>
              <w:top w:type="dxa" w:w="60"/>
              <w:left w:type="dxa" w:w="120"/>
              <w:bottom w:type="dxa" w:w="30"/>
              <w:right w:type="dxa" w:w="120"/>
            </w:tcMar>
          </w:tcPr>
          <w:p>
            <w:pPr>
              <w:spacing w:before="120" w:after="120" w:line="288" w:lineRule="auto"/>
              <w:ind w:left="0"/>
              <w:jc w:val="left"/>
            </w:pP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300mm以下土壤水</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sw_300</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深层蓄水</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积雪量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snopack</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冻融期蓄水标志</w:t>
            </w:r>
          </w:p>
        </w:tc>
      </w:tr>
    </w:tbl>
    <w:p>
      <w:pPr>
        <w:spacing w:before="120" w:after="120" w:line="288" w:lineRule="auto"/>
        <w:ind w:left="0"/>
        <w:jc w:val="left"/>
      </w:pPr>
      <w:r>
        <w:rPr>
          <w:rFonts w:eastAsia="等线" w:ascii="Arial" w:cs="Arial" w:hAnsi="Arial"/>
          <w:sz w:val="22"/>
        </w:rPr>
        <w:t xml:space="preserve"> </w:t>
      </w:r>
    </w:p>
    <w:p>
      <w:pPr>
        <w:numPr>
          <w:numId w:val="138"/>
        </w:numPr>
        <w:spacing w:before="120" w:after="120" w:line="288" w:lineRule="auto"/>
        <w:ind w:left="0"/>
        <w:jc w:val="left"/>
      </w:pPr>
      <w:r>
        <w:rPr>
          <w:rFonts w:eastAsia="等线" w:ascii="Arial" w:cs="Arial" w:hAnsi="Arial"/>
          <w:sz w:val="22"/>
        </w:rPr>
        <w:t>融雪期水分收支图（冻融期）</w:t>
      </w:r>
    </w:p>
    <w:p>
      <w:pPr>
        <w:spacing w:before="120" w:after="120" w:line="288" w:lineRule="auto"/>
        <w:ind w:left="0"/>
        <w:jc w:val="left"/>
      </w:pPr>
      <w:r>
        <w:rPr>
          <w:rFonts w:eastAsia="等线" w:ascii="Arial" w:cs="Arial" w:hAnsi="Arial"/>
          <w:sz w:val="22"/>
        </w:rPr>
        <w:t>数据来源：hru_wb_yr.txt[昕范1]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80"/>
        <w:gridCol w:w="2715"/>
      </w:tblGrid>
      <w:tr>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r>
      <w:tr>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融雪量</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snomlt</w:t>
            </w:r>
          </w:p>
        </w:tc>
      </w:tr>
      <w:tr>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地表径流（融雪产流）</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surq_gen</w:t>
            </w:r>
          </w:p>
        </w:tc>
      </w:tr>
      <w:tr>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入渗量（进入土壤）</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sw_change + perc</w:t>
            </w:r>
          </w:p>
        </w:tc>
      </w:tr>
    </w:tbl>
    <w:p>
      <w:pPr>
        <w:spacing w:before="120" w:after="120" w:line="288" w:lineRule="auto"/>
        <w:ind w:left="0"/>
        <w:jc w:val="left"/>
      </w:pPr>
      <w:r>
        <w:rPr>
          <w:rFonts w:eastAsia="等线" w:ascii="Arial" w:cs="Arial" w:hAnsi="Arial"/>
          <w:sz w:val="22"/>
        </w:rPr>
        <w:t>图形类型：逐年春季（3—5月）融雪水分配饼图或堆积柱，同时叠加积温线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w:t>
      </w:r>
      <w:r>
        <w:rPr>
          <w:rFonts w:eastAsia="等线" w:ascii="Arial" w:cs="Arial" w:hAnsi="Arial"/>
          <w:color w:val="8f959e"/>
          <w:sz w:val="22"/>
        </w:rPr>
        <w:t xml:space="preserve"> </w:t>
      </w:r>
      <w:r>
        <w:rPr>
          <w:rFonts w:eastAsia="等线" w:ascii="Arial" w:cs="Arial" w:hAnsi="Arial"/>
          <w:sz w:val="22"/>
        </w:rPr>
        <w:t>湿地/坑塘蓄放水全年动态图（地表调蓄分析）</w:t>
      </w:r>
    </w:p>
    <w:p>
      <w:pPr>
        <w:spacing w:before="120" w:after="120" w:line="288" w:lineRule="auto"/>
        <w:ind w:left="0"/>
        <w:jc w:val="left"/>
      </w:pPr>
      <w:r>
        <w:rPr>
          <w:rFonts w:eastAsia="等线" w:ascii="Arial" w:cs="Arial" w:hAnsi="Arial"/>
          <w:sz w:val="22"/>
        </w:rPr>
        <w:t>数据来源：wetland_yr.txt（湿地）、reservoir_aa.txt（水库 res12）</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965"/>
        <w:gridCol w:w="379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蓄水量</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flo_stor（m³）</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wetland_yr / reservoir_yr</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入流量</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flo_in</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出流量</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flo_out</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蒸发损失</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evap</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渗漏损失</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seep</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bl>
    <w:p>
      <w:pPr>
        <w:spacing w:before="120" w:after="120" w:line="288" w:lineRule="auto"/>
        <w:ind w:left="0"/>
        <w:jc w:val="left"/>
      </w:pPr>
      <w:r>
        <w:rPr>
          <w:rFonts w:eastAsia="等线" w:ascii="Arial" w:cs="Arial" w:hAnsi="Arial"/>
          <w:sz w:val="22"/>
        </w:rPr>
        <w:t>图形类型：逐年折线（蓄水量动态）+ 双轴柱状（入流/出流），可标注汛期"蓄满"时刻和秋收后"可用量"</w:t>
      </w:r>
    </w:p>
    <w:p>
      <w:pPr>
        <w:spacing w:before="120" w:after="120" w:line="288" w:lineRule="auto"/>
        <w:ind w:left="0"/>
        <w:jc w:val="left"/>
      </w:pPr>
      <w:r>
        <w:rPr>
          <w:rFonts w:eastAsia="等线" w:ascii="Arial" w:cs="Arial" w:hAnsi="Arial"/>
          <w:sz w:val="22"/>
        </w:rPr>
        <w:t xml:space="preserve"> </w:t>
      </w:r>
    </w:p>
    <w:p>
      <w:pPr>
        <w:numPr>
          <w:numId w:val="139"/>
        </w:numPr>
        <w:spacing w:before="120" w:after="120" w:line="288" w:lineRule="auto"/>
        <w:ind w:left="0"/>
        <w:jc w:val="left"/>
      </w:pPr>
      <w:r>
        <w:rPr>
          <w:rFonts w:eastAsia="等线" w:ascii="Arial" w:cs="Arial" w:hAnsi="Arial"/>
          <w:sz w:val="22"/>
        </w:rPr>
        <w:t>地下水动态与基流补给图（浅层地下水分析）</w:t>
      </w:r>
    </w:p>
    <w:p>
      <w:pPr>
        <w:spacing w:before="120" w:after="120" w:line="288" w:lineRule="auto"/>
        <w:ind w:left="0"/>
        <w:jc w:val="left"/>
      </w:pPr>
      <w:r>
        <w:rPr>
          <w:rFonts w:eastAsia="等线" w:ascii="Arial" w:cs="Arial" w:hAnsi="Arial"/>
          <w:sz w:val="22"/>
        </w:rPr>
        <w:t>数据来源：aquifer_yr.txt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2895"/>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地下水位</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dep_wt（m）</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地下水蓄量</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stor（mm）</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补给量</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rchrg</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基流排泄</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蒸发返回</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revap</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深层渗漏损失</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seep</w:t>
            </w:r>
          </w:p>
        </w:tc>
      </w:tr>
    </w:tbl>
    <w:p>
      <w:pPr>
        <w:spacing w:before="120" w:after="120" w:line="288" w:lineRule="auto"/>
        <w:ind w:left="0"/>
        <w:jc w:val="left"/>
      </w:pPr>
      <w:r>
        <w:rPr>
          <w:rFonts w:eastAsia="等线" w:ascii="Arial" w:cs="Arial" w:hAnsi="Arial"/>
          <w:sz w:val="22"/>
        </w:rPr>
        <w:t>dep_wt 水位折线（年际）叠加rchrg 与 flo 的对比柱状图（补给-排泄平衡）</w:t>
      </w:r>
    </w:p>
    <w:p>
      <w:pPr>
        <w:spacing w:before="120" w:after="120" w:line="288" w:lineRule="auto"/>
        <w:ind w:left="0"/>
        <w:jc w:val="left"/>
      </w:pPr>
      <w:r>
        <w:rPr>
          <w:rFonts w:eastAsia="等线" w:ascii="Arial" w:cs="Arial" w:hAnsi="Arial"/>
          <w:sz w:val="22"/>
        </w:rPr>
        <w:t xml:space="preserve"> </w:t>
      </w:r>
    </w:p>
    <w:p>
      <w:pPr>
        <w:numPr>
          <w:numId w:val="140"/>
        </w:numPr>
        <w:spacing w:before="120" w:after="120" w:line="288" w:lineRule="auto"/>
        <w:ind w:left="0"/>
        <w:jc w:val="left"/>
      </w:pPr>
      <w:r>
        <w:rPr>
          <w:rFonts w:eastAsia="等线" w:ascii="Arial" w:cs="Arial" w:hAnsi="Arial"/>
          <w:sz w:val="22"/>
        </w:rPr>
        <w:t>降水利用率（PUE）年际变化图资源效率分析）</w:t>
      </w:r>
    </w:p>
    <w:p>
      <w:pPr>
        <w:spacing w:before="120" w:after="120" w:line="288" w:lineRule="auto"/>
        <w:ind w:left="0"/>
        <w:jc w:val="left"/>
      </w:pPr>
      <w:r>
        <w:rPr>
          <w:rFonts w:eastAsia="等线" w:ascii="Arial" w:cs="Arial" w:hAnsi="Arial"/>
          <w:sz w:val="22"/>
        </w:rPr>
        <w:t>多年PUE变化趋势和年际差异分析的载体。</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PUE=</m:t>
          </m:r>
          <m:f>
            <m:fPr>
              <m:type m:val="bar"/>
            </m:fPr>
            <m:num>
              <m:r>
                <w:rPr>
                  <w:rFonts w:ascii="Cambria Math" w:hAnsi="Cambria Math"/>
                </w:rPr>
                <m:t>P−sur</m:t>
              </m:r>
              <m:sSub>
                <m:e>
                  <m:r>
                    <w:rPr>
                      <w:rFonts w:ascii="Cambria Math" w:hAnsi="Cambria Math"/>
                    </w:rPr>
                    <m:t>q</m:t>
                  </m:r>
                </m:e>
                <m:sub>
                  <m:r>
                    <w:rPr>
                      <w:rFonts w:ascii="Cambria Math" w:hAnsi="Cambria Math"/>
                    </w:rPr>
                    <m:t>gen</m:t>
                  </m:r>
                </m:sub>
              </m:sSub>
              <m:r>
                <w:rPr>
                  <w:rFonts w:ascii="Cambria Math" w:hAnsi="Cambria Math"/>
                </w:rPr>
                <m:t>−perc</m:t>
              </m:r>
            </m:num>
            <m:den>
              <m:r>
                <w:rPr>
                  <w:rFonts w:ascii="Cambria Math" w:hAnsi="Cambria Math"/>
                </w:rPr>
                <m:t>P</m:t>
              </m:r>
            </m:den>
          </m:f>
          <m:r>
            <w:rPr>
              <w:rFonts w:ascii="Cambria Math" w:hAnsi="Cambria Math"/>
            </w:rPr>
            <m:t>×100</m:t>
          </m:r>
          <m:r>
            <m:rPr>
              <m:sty m:val="p"/>
            </m:rPr>
            <w:rPr>
              <w:rFonts w:ascii="Cambria Math" w:hAnsi="Cambria Math"/>
            </w:rPr>
            <m:t>%</m:t>
          </m:r>
        </m:oMath>
      </m:oMathPara>
    </w:p>
    <w:p>
      <w:pPr>
        <w:spacing w:before="120" w:after="120" w:line="288" w:lineRule="auto"/>
        <w:ind w:left="0"/>
        <w:jc w:val="left"/>
      </w:pPr>
      <w:r>
        <w:rPr>
          <w:rFonts w:eastAsia="等线" w:ascii="Arial" w:cs="Arial" w:hAnsi="Arial"/>
          <w:sz w:val="22"/>
        </w:rPr>
        <w:t>数据来源：basin_wb_aa.txt 或 hru_wb_yr.txt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年降水</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precip</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地表径流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surq_gen</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深层渗漏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perc</w:t>
            </w:r>
          </w:p>
        </w:tc>
      </w:tr>
    </w:tbl>
    <w:p>
      <w:pPr>
        <w:spacing w:before="120" w:after="120" w:line="288" w:lineRule="auto"/>
        <w:ind w:left="0"/>
        <w:jc w:val="left"/>
      </w:pPr>
      <w:r>
        <w:rPr>
          <w:rFonts w:eastAsia="等线" w:ascii="Arial" w:cs="Arial" w:hAnsi="Arial"/>
          <w:sz w:val="22"/>
        </w:rPr>
        <w:t>图形类型：逐年 PUE 折线 + 多年平均虚线 + 年降水量背景柱（按丰/平/枯年着色）</w:t>
      </w:r>
    </w:p>
    <w:p>
      <w:pPr>
        <w:spacing w:before="120" w:after="120" w:line="288" w:lineRule="auto"/>
        <w:ind w:left="0"/>
        <w:jc w:val="left"/>
      </w:pPr>
      <w:r>
        <w:rPr>
          <w:rFonts w:eastAsia="等线" w:ascii="Arial" w:cs="Arial" w:hAnsi="Arial"/>
          <w:sz w:val="22"/>
        </w:rPr>
        <w:t xml:space="preserve"> </w:t>
      </w:r>
    </w:p>
    <w:p>
      <w:pPr>
        <w:numPr>
          <w:numId w:val="141"/>
        </w:numPr>
        <w:spacing w:before="120" w:after="120" w:line="288" w:lineRule="auto"/>
        <w:ind w:left="0"/>
        <w:jc w:val="left"/>
      </w:pPr>
      <w:r>
        <w:rPr>
          <w:rFonts w:eastAsia="等线" w:ascii="Arial" w:cs="Arial" w:hAnsi="Arial"/>
          <w:sz w:val="22"/>
        </w:rPr>
        <w:t>水量平衡 Sankey（桑基）图（综合通量图，主图）</w:t>
      </w:r>
    </w:p>
    <w:p>
      <w:pPr>
        <w:spacing w:before="120" w:after="120" w:line="288" w:lineRule="auto"/>
        <w:ind w:left="0"/>
        <w:jc w:val="left"/>
      </w:pPr>
      <w:r>
        <w:rPr>
          <w:rFonts w:eastAsia="等线" w:ascii="Arial" w:cs="Arial" w:hAnsi="Arial"/>
          <w:sz w:val="22"/>
        </w:rPr>
        <w:t>数据来源：basin_wb_aa.txt（多年平均，提取所有组分）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节点设计：</w:t>
              <w:br/>
              <w:t>降水 → 冠层截留(ecanopy)</w:t>
              <w:br/>
              <w:t>降水 → 土壤层</w:t>
              <w:br/>
              <w:t xml:space="preserve">  土壤层 → 蒸腾(eplant)</w:t>
              <w:br/>
              <w:t xml:space="preserve">  土壤层 → 土壤蒸发(esoil)</w:t>
              <w:br/>
              <w:t xml:space="preserve">  土壤层 → 地表径流(surq_gen)</w:t>
              <w:br/>
              <w:t xml:space="preserve">  土壤层 → 侧向流(latq)</w:t>
              <w:br/>
              <w:t xml:space="preserve">  土壤层 → 深层入渗(perc)</w:t>
              <w:br/>
              <w:t xml:space="preserve">  土壤层 → 土壤蓄变(sw_change)</w:t>
              <w:br/>
              <w:t>深层入渗 → 含水层蓄量(stor变化)</w:t>
              <w:br/>
              <w:t>含水层 → 基流(flo)</w:t>
              <w:br/>
              <w:t>地表径流+侧向流+基流 → 河道出流(wateryld)</w:t>
              <w:br/>
            </w:r>
            <w:r>
              <w:rPr>
                <w:rFonts w:eastAsia="Consolas" w:ascii="Consolas" w:cs="Consolas" w:hAnsi="Consolas"/>
                <w:sz w:val="22"/>
              </w:rPr>
              <w:t>湿地拦截(wet_oflo) → 河道出流</w:t>
            </w:r>
          </w:p>
        </w:tc>
      </w:tr>
    </w:tbl>
    <w:p>
      <w:pPr>
        <w:spacing w:before="120" w:after="120" w:line="288" w:lineRule="auto"/>
        <w:ind w:left="0"/>
        <w:jc w:val="left"/>
      </w:pPr>
    </w:p>
    <w:p>
      <w:pPr>
        <w:numPr>
          <w:numId w:val="142"/>
        </w:numPr>
        <w:spacing w:before="120" w:after="120" w:line="288" w:lineRule="auto"/>
        <w:ind w:left="0"/>
        <w:jc w:val="left"/>
      </w:pPr>
      <w:r>
        <w:rPr>
          <w:rFonts w:eastAsia="等线" w:ascii="Arial" w:cs="Arial" w:hAnsi="Arial"/>
          <w:sz w:val="22"/>
        </w:rPr>
        <w:t>四时段水量平衡对比雷达图（时段特征图）</w:t>
      </w:r>
    </w:p>
    <w:p>
      <w:pPr>
        <w:spacing w:before="120" w:after="120" w:line="288" w:lineRule="auto"/>
        <w:ind w:left="0"/>
        <w:jc w:val="left"/>
      </w:pPr>
      <w:r>
        <w:rPr>
          <w:rFonts w:eastAsia="等线" w:ascii="Arial" w:cs="Arial" w:hAnsi="Arial"/>
          <w:sz w:val="22"/>
        </w:rPr>
        <w:t>直观对比四个关键时段的水量平衡结构差异</w:t>
      </w:r>
    </w:p>
    <w:p>
      <w:pPr>
        <w:spacing w:before="120" w:after="120" w:line="288" w:lineRule="auto"/>
        <w:ind w:left="0"/>
        <w:jc w:val="left"/>
      </w:pPr>
      <w:r>
        <w:rPr>
          <w:rFonts w:eastAsia="等线" w:ascii="Arial" w:cs="Arial" w:hAnsi="Arial"/>
          <w:sz w:val="22"/>
        </w:rPr>
        <w:t>数据来源：hru_wb_yr.txt（按四个时段聚合）</w:t>
      </w:r>
    </w:p>
    <w:p>
      <w:pPr>
        <w:spacing w:before="120" w:after="120" w:line="288" w:lineRule="auto"/>
        <w:ind w:left="0"/>
        <w:jc w:val="left"/>
      </w:pPr>
      <w:r>
        <w:rPr>
          <w:rFonts w:eastAsia="等线" w:ascii="Arial" w:cs="Arial" w:hAnsi="Arial"/>
          <w:sz w:val="22"/>
        </w:rPr>
        <w:t>各轴指标（无量纲化后）：</w:t>
      </w:r>
    </w:p>
    <w:p>
      <w:pPr>
        <w:spacing w:before="120" w:after="120" w:line="288" w:lineRule="auto"/>
        <w:ind w:left="0"/>
        <w:jc w:val="left"/>
      </w:pPr>
      <w:r>
        <w:rPr>
          <w:rFonts w:eastAsia="等线" w:ascii="Arial" w:cs="Arial" w:hAnsi="Arial"/>
          <w:sz w:val="22"/>
        </w:rPr>
        <w:t>轴1：降水利用率 PUE</w:t>
      </w:r>
    </w:p>
    <w:p>
      <w:pPr>
        <w:spacing w:before="120" w:after="120" w:line="288" w:lineRule="auto"/>
        <w:ind w:left="0"/>
        <w:jc w:val="left"/>
      </w:pPr>
      <w:r>
        <w:rPr>
          <w:rFonts w:eastAsia="等线" w:ascii="Arial" w:cs="Arial" w:hAnsi="Arial"/>
          <w:sz w:val="22"/>
        </w:rPr>
        <w:t>轴2：蒸腾占比 T/ET</w:t>
      </w:r>
    </w:p>
    <w:p>
      <w:pPr>
        <w:spacing w:before="120" w:after="120" w:line="288" w:lineRule="auto"/>
        <w:ind w:left="0"/>
        <w:jc w:val="left"/>
      </w:pPr>
      <w:r>
        <w:rPr>
          <w:rFonts w:eastAsia="等线" w:ascii="Arial" w:cs="Arial" w:hAnsi="Arial"/>
          <w:sz w:val="22"/>
        </w:rPr>
        <w:t>轴3：地表径流/降水</w:t>
      </w:r>
    </w:p>
    <w:p>
      <w:pPr>
        <w:spacing w:before="120" w:after="120" w:line="288" w:lineRule="auto"/>
        <w:ind w:left="0"/>
        <w:jc w:val="left"/>
      </w:pPr>
      <w:r>
        <w:rPr>
          <w:rFonts w:eastAsia="等线" w:ascii="Arial" w:cs="Arial" w:hAnsi="Arial"/>
          <w:sz w:val="22"/>
        </w:rPr>
        <w:t>轴4：土壤蓄水变化量</w:t>
      </w:r>
    </w:p>
    <w:p>
      <w:pPr>
        <w:spacing w:before="120" w:after="120" w:line="288" w:lineRule="auto"/>
        <w:ind w:left="0"/>
        <w:jc w:val="left"/>
      </w:pPr>
      <w:r>
        <w:rPr>
          <w:rFonts w:eastAsia="等线" w:ascii="Arial" w:cs="Arial" w:hAnsi="Arial"/>
          <w:sz w:val="22"/>
        </w:rPr>
        <w:t>轴5：融雪入渗比（冻融期）或坑塘蓄水量（雨季）</w:t>
      </w:r>
    </w:p>
    <w:p>
      <w:pPr>
        <w:spacing w:before="120" w:after="120" w:line="288" w:lineRule="auto"/>
        <w:ind w:left="0"/>
        <w:jc w:val="left"/>
      </w:pPr>
      <w:r>
        <w:rPr>
          <w:rFonts w:eastAsia="等线" w:ascii="Arial" w:cs="Arial" w:hAnsi="Arial"/>
          <w:sz w:val="22"/>
        </w:rPr>
        <w:t>图形类型：4 条折线叠加在同一雷达图，每条线代表一个时段</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6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000964">
    <w:lvl>
      <w:start w:val="1"/>
      <w:numFmt w:val="decimal"/>
      <w:suff w:val="tab"/>
      <w:lvlText w:val="%1."/>
      <w:rPr>
        <w:color w:val="3370ff"/>
      </w:rPr>
    </w:lvl>
  </w:abstractNum>
  <w:abstractNum w:abstractNumId="6000965">
    <w:lvl>
      <w:start w:val="1"/>
      <w:numFmt w:val="lowerLetter"/>
      <w:suff w:val="tab"/>
      <w:lvlText w:val="%1."/>
      <w:rPr>
        <w:color w:val="3370ff"/>
      </w:rPr>
    </w:lvl>
  </w:abstractNum>
  <w:abstractNum w:abstractNumId="6000966">
    <w:lvl>
      <w:start w:val="2"/>
      <w:numFmt w:val="lowerLetter"/>
      <w:suff w:val="tab"/>
      <w:lvlText w:val="%1."/>
      <w:rPr>
        <w:color w:val="3370ff"/>
      </w:rPr>
    </w:lvl>
  </w:abstractNum>
  <w:abstractNum w:abstractNumId="6000967">
    <w:lvl>
      <w:start w:val="3"/>
      <w:numFmt w:val="lowerLetter"/>
      <w:suff w:val="tab"/>
      <w:lvlText w:val="%1."/>
      <w:rPr>
        <w:color w:val="3370ff"/>
      </w:rPr>
    </w:lvl>
  </w:abstractNum>
  <w:abstractNum w:abstractNumId="6000968">
    <w:lvl>
      <w:start w:val="2"/>
      <w:numFmt w:val="decimal"/>
      <w:suff w:val="tab"/>
      <w:lvlText w:val="%1."/>
      <w:rPr>
        <w:color w:val="3370ff"/>
      </w:rPr>
    </w:lvl>
  </w:abstractNum>
  <w:abstractNum w:abstractNumId="6000969">
    <w:lvl>
      <w:start w:val="1"/>
      <w:numFmt w:val="lowerLetter"/>
      <w:suff w:val="tab"/>
      <w:lvlText w:val="%1."/>
      <w:rPr>
        <w:color w:val="3370ff"/>
      </w:rPr>
    </w:lvl>
  </w:abstractNum>
  <w:abstractNum w:abstractNumId="6000970">
    <w:lvl>
      <w:start w:val="2"/>
      <w:numFmt w:val="lowerLetter"/>
      <w:suff w:val="tab"/>
      <w:lvlText w:val="%1."/>
      <w:rPr>
        <w:color w:val="3370ff"/>
      </w:rPr>
    </w:lvl>
  </w:abstractNum>
  <w:abstractNum w:abstractNumId="6000971">
    <w:lvl>
      <w:start w:val="3"/>
      <w:numFmt w:val="decimal"/>
      <w:suff w:val="tab"/>
      <w:lvlText w:val="%1."/>
      <w:rPr>
        <w:color w:val="3370ff"/>
      </w:rPr>
    </w:lvl>
  </w:abstractNum>
  <w:abstractNum w:abstractNumId="6000972">
    <w:lvl>
      <w:start w:val="1"/>
      <w:numFmt w:val="lowerLetter"/>
      <w:suff w:val="tab"/>
      <w:lvlText w:val="%1."/>
      <w:rPr>
        <w:color w:val="3370ff"/>
      </w:rPr>
    </w:lvl>
  </w:abstractNum>
  <w:abstractNum w:abstractNumId="6000973">
    <w:lvl>
      <w:start w:val="1"/>
      <w:numFmt w:val="lowerRoman"/>
      <w:suff w:val="tab"/>
      <w:lvlText w:val="%1."/>
      <w:rPr>
        <w:color w:val="3370ff"/>
      </w:rPr>
    </w:lvl>
  </w:abstractNum>
  <w:abstractNum w:abstractNumId="6000974">
    <w:lvl>
      <w:start w:val="2"/>
      <w:numFmt w:val="lowerRoman"/>
      <w:suff w:val="tab"/>
      <w:lvlText w:val="%1."/>
      <w:rPr>
        <w:color w:val="3370ff"/>
      </w:rPr>
    </w:lvl>
  </w:abstractNum>
  <w:abstractNum w:abstractNumId="6000975">
    <w:lvl>
      <w:start w:val="2"/>
      <w:numFmt w:val="lowerLetter"/>
      <w:suff w:val="tab"/>
      <w:lvlText w:val="%1."/>
      <w:rPr>
        <w:color w:val="3370ff"/>
      </w:rPr>
    </w:lvl>
  </w:abstractNum>
  <w:abstractNum w:abstractNumId="6000976">
    <w:lvl>
      <w:start w:val="1"/>
      <w:numFmt w:val="lowerRoman"/>
      <w:suff w:val="tab"/>
      <w:lvlText w:val="%1."/>
      <w:rPr>
        <w:color w:val="3370ff"/>
      </w:rPr>
    </w:lvl>
  </w:abstractNum>
  <w:abstractNum w:abstractNumId="6000977">
    <w:lvl>
      <w:start w:val="3"/>
      <w:numFmt w:val="lowerLetter"/>
      <w:suff w:val="tab"/>
      <w:lvlText w:val="%1."/>
      <w:rPr>
        <w:color w:val="3370ff"/>
      </w:rPr>
    </w:lvl>
  </w:abstractNum>
  <w:abstractNum w:abstractNumId="6000978">
    <w:lvl>
      <w:start w:val="1"/>
      <w:numFmt w:val="lowerRoman"/>
      <w:suff w:val="tab"/>
      <w:lvlText w:val="%1."/>
      <w:rPr>
        <w:color w:val="3370ff"/>
      </w:rPr>
    </w:lvl>
  </w:abstractNum>
  <w:abstractNum w:abstractNumId="6000979">
    <w:lvl>
      <w:start w:val="2"/>
      <w:numFmt w:val="lowerRoman"/>
      <w:suff w:val="tab"/>
      <w:lvlText w:val="%1."/>
      <w:rPr>
        <w:color w:val="3370ff"/>
      </w:rPr>
    </w:lvl>
  </w:abstractNum>
  <w:abstractNum w:abstractNumId="6000980">
    <w:lvl>
      <w:start w:val="4"/>
      <w:numFmt w:val="decimal"/>
      <w:suff w:val="tab"/>
      <w:lvlText w:val="%1."/>
      <w:rPr>
        <w:color w:val="3370ff"/>
      </w:rPr>
    </w:lvl>
  </w:abstractNum>
  <w:abstractNum w:abstractNumId="6000981">
    <w:lvl>
      <w:start w:val="1"/>
      <w:numFmt w:val="lowerLetter"/>
      <w:suff w:val="tab"/>
      <w:lvlText w:val="%1."/>
      <w:rPr>
        <w:color w:val="3370ff"/>
      </w:rPr>
    </w:lvl>
  </w:abstractNum>
  <w:abstractNum w:abstractNumId="6000982">
    <w:lvl>
      <w:start w:val="2"/>
      <w:numFmt w:val="lowerLetter"/>
      <w:suff w:val="tab"/>
      <w:lvlText w:val="%1."/>
      <w:rPr>
        <w:color w:val="3370ff"/>
      </w:rPr>
    </w:lvl>
  </w:abstractNum>
  <w:abstractNum w:abstractNumId="6000983">
    <w:lvl>
      <w:start w:val="3"/>
      <w:numFmt w:val="lowerLetter"/>
      <w:suff w:val="tab"/>
      <w:lvlText w:val="%1."/>
      <w:rPr>
        <w:color w:val="3370ff"/>
      </w:rPr>
    </w:lvl>
  </w:abstractNum>
  <w:abstractNum w:abstractNumId="6000984">
    <w:lvl>
      <w:start w:val="4"/>
      <w:numFmt w:val="lowerLetter"/>
      <w:suff w:val="tab"/>
      <w:lvlText w:val="%1."/>
      <w:rPr>
        <w:color w:val="3370ff"/>
      </w:rPr>
    </w:lvl>
  </w:abstractNum>
  <w:abstractNum w:abstractNumId="6000985">
    <w:lvl>
      <w:start w:val="5"/>
      <w:numFmt w:val="decimal"/>
      <w:suff w:val="tab"/>
      <w:lvlText w:val="%1."/>
      <w:rPr>
        <w:color w:val="3370ff"/>
      </w:rPr>
    </w:lvl>
  </w:abstractNum>
  <w:abstractNum w:abstractNumId="6000986">
    <w:lvl>
      <w:start w:val="1"/>
      <w:numFmt w:val="lowerLetter"/>
      <w:suff w:val="tab"/>
      <w:lvlText w:val="%1."/>
      <w:rPr>
        <w:color w:val="3370ff"/>
      </w:rPr>
    </w:lvl>
  </w:abstractNum>
  <w:abstractNum w:abstractNumId="6000987">
    <w:lvl>
      <w:start w:val="6"/>
      <w:numFmt w:val="decimal"/>
      <w:suff w:val="tab"/>
      <w:lvlText w:val="%1."/>
      <w:rPr>
        <w:color w:val="3370ff"/>
      </w:rPr>
    </w:lvl>
  </w:abstractNum>
  <w:abstractNum w:abstractNumId="6000988">
    <w:lvl>
      <w:start w:val="1"/>
      <w:numFmt w:val="lowerLetter"/>
      <w:suff w:val="tab"/>
      <w:lvlText w:val="%1."/>
      <w:rPr>
        <w:color w:val="3370ff"/>
      </w:rPr>
    </w:lvl>
  </w:abstractNum>
  <w:abstractNum w:abstractNumId="6000989">
    <w:lvl>
      <w:start w:val="1"/>
      <w:numFmt w:val="lowerRoman"/>
      <w:suff w:val="tab"/>
      <w:lvlText w:val="%1."/>
      <w:rPr>
        <w:color w:val="3370ff"/>
      </w:rPr>
    </w:lvl>
  </w:abstractNum>
  <w:abstractNum w:abstractNumId="6000990">
    <w:lvl>
      <w:start w:val="2"/>
      <w:numFmt w:val="lowerRoman"/>
      <w:suff w:val="tab"/>
      <w:lvlText w:val="%1."/>
      <w:rPr>
        <w:color w:val="3370ff"/>
      </w:rPr>
    </w:lvl>
  </w:abstractNum>
  <w:abstractNum w:abstractNumId="6000991">
    <w:lvl>
      <w:start w:val="3"/>
      <w:numFmt w:val="lowerRoman"/>
      <w:suff w:val="tab"/>
      <w:lvlText w:val="%1."/>
      <w:rPr>
        <w:color w:val="3370ff"/>
      </w:rPr>
    </w:lvl>
  </w:abstractNum>
  <w:abstractNum w:abstractNumId="6000992">
    <w:lvl>
      <w:start w:val="4"/>
      <w:numFmt w:val="lowerRoman"/>
      <w:suff w:val="tab"/>
      <w:lvlText w:val="%1."/>
      <w:rPr>
        <w:color w:val="3370ff"/>
      </w:rPr>
    </w:lvl>
  </w:abstractNum>
  <w:abstractNum w:abstractNumId="6000993">
    <w:lvl>
      <w:start w:val="5"/>
      <w:numFmt w:val="lowerRoman"/>
      <w:suff w:val="tab"/>
      <w:lvlText w:val="%1."/>
      <w:rPr>
        <w:color w:val="3370ff"/>
      </w:rPr>
    </w:lvl>
  </w:abstractNum>
  <w:abstractNum w:abstractNumId="6000994">
    <w:lvl>
      <w:start w:val="6"/>
      <w:numFmt w:val="lowerRoman"/>
      <w:suff w:val="tab"/>
      <w:lvlText w:val="%1."/>
      <w:rPr>
        <w:color w:val="3370ff"/>
      </w:rPr>
    </w:lvl>
  </w:abstractNum>
  <w:abstractNum w:abstractNumId="6000995">
    <w:lvl>
      <w:start w:val="7"/>
      <w:numFmt w:val="lowerRoman"/>
      <w:suff w:val="tab"/>
      <w:lvlText w:val="%1."/>
      <w:rPr>
        <w:color w:val="3370ff"/>
      </w:rPr>
    </w:lvl>
  </w:abstractNum>
  <w:abstractNum w:abstractNumId="6000996">
    <w:lvl>
      <w:start w:val="8"/>
      <w:numFmt w:val="lowerRoman"/>
      <w:suff w:val="tab"/>
      <w:lvlText w:val="%1."/>
      <w:rPr>
        <w:color w:val="3370ff"/>
      </w:rPr>
    </w:lvl>
  </w:abstractNum>
  <w:abstractNum w:abstractNumId="6000997">
    <w:lvl>
      <w:start w:val="1"/>
      <w:numFmt w:val="decimal"/>
      <w:suff w:val="tab"/>
      <w:lvlText w:val="%1."/>
      <w:rPr>
        <w:color w:val="3370ff"/>
      </w:rPr>
    </w:lvl>
  </w:abstractNum>
  <w:abstractNum w:abstractNumId="6000998">
    <w:lvl>
      <w:start w:val="1"/>
      <w:numFmt w:val="lowerLetter"/>
      <w:suff w:val="tab"/>
      <w:lvlText w:val="%1."/>
      <w:rPr>
        <w:color w:val="3370ff"/>
      </w:rPr>
    </w:lvl>
  </w:abstractNum>
  <w:abstractNum w:abstractNumId="6000999">
    <w:lvl>
      <w:start w:val="2"/>
      <w:numFmt w:val="lowerLetter"/>
      <w:suff w:val="tab"/>
      <w:lvlText w:val="%1."/>
      <w:rPr>
        <w:color w:val="3370ff"/>
      </w:rPr>
    </w:lvl>
  </w:abstractNum>
  <w:abstractNum w:abstractNumId="6001000">
    <w:lvl>
      <w:numFmt w:val="bullet"/>
      <w:suff w:val="tab"/>
      <w:lvlText w:val="￮"/>
      <w:rPr>
        <w:color w:val="3370ff"/>
      </w:rPr>
    </w:lvl>
  </w:abstractNum>
  <w:abstractNum w:abstractNumId="6001001">
    <w:lvl>
      <w:numFmt w:val="bullet"/>
      <w:suff w:val="tab"/>
      <w:lvlText w:val="￮"/>
      <w:rPr>
        <w:color w:val="3370ff"/>
      </w:rPr>
    </w:lvl>
  </w:abstractNum>
  <w:abstractNum w:abstractNumId="6001002">
    <w:lvl>
      <w:start w:val="3"/>
      <w:numFmt w:val="lowerLetter"/>
      <w:suff w:val="tab"/>
      <w:lvlText w:val="%1."/>
      <w:rPr>
        <w:color w:val="3370ff"/>
      </w:rPr>
    </w:lvl>
  </w:abstractNum>
  <w:abstractNum w:abstractNumId="6001003">
    <w:lvl>
      <w:start w:val="4"/>
      <w:numFmt w:val="lowerLetter"/>
      <w:suff w:val="tab"/>
      <w:lvlText w:val="%1."/>
      <w:rPr>
        <w:color w:val="3370ff"/>
      </w:rPr>
    </w:lvl>
  </w:abstractNum>
  <w:abstractNum w:abstractNumId="6001004">
    <w:lvl>
      <w:numFmt w:val="bullet"/>
      <w:suff w:val="tab"/>
      <w:lvlText w:val="￮"/>
      <w:rPr>
        <w:color w:val="3370ff"/>
      </w:rPr>
    </w:lvl>
  </w:abstractNum>
  <w:abstractNum w:abstractNumId="6001005">
    <w:lvl>
      <w:numFmt w:val="bullet"/>
      <w:suff w:val="tab"/>
      <w:lvlText w:val="￮"/>
      <w:rPr>
        <w:color w:val="3370ff"/>
      </w:rPr>
    </w:lvl>
  </w:abstractNum>
  <w:abstractNum w:abstractNumId="6001006">
    <w:lvl>
      <w:numFmt w:val="bullet"/>
      <w:suff w:val="tab"/>
      <w:lvlText w:val="￮"/>
      <w:rPr>
        <w:color w:val="3370ff"/>
      </w:rPr>
    </w:lvl>
  </w:abstractNum>
  <w:abstractNum w:abstractNumId="6001007">
    <w:lvl>
      <w:numFmt w:val="bullet"/>
      <w:suff w:val="tab"/>
      <w:lvlText w:val="￮"/>
      <w:rPr>
        <w:color w:val="3370ff"/>
      </w:rPr>
    </w:lvl>
  </w:abstractNum>
  <w:abstractNum w:abstractNumId="6001008">
    <w:lvl>
      <w:numFmt w:val="bullet"/>
      <w:suff w:val="tab"/>
      <w:lvlText w:val="￮"/>
      <w:rPr>
        <w:color w:val="3370ff"/>
      </w:rPr>
    </w:lvl>
  </w:abstractNum>
  <w:abstractNum w:abstractNumId="6001009">
    <w:lvl>
      <w:start w:val="2"/>
      <w:numFmt w:val="decimal"/>
      <w:suff w:val="tab"/>
      <w:lvlText w:val="%1."/>
      <w:rPr>
        <w:color w:val="3370ff"/>
      </w:rPr>
    </w:lvl>
  </w:abstractNum>
  <w:abstractNum w:abstractNumId="6001010">
    <w:lvl>
      <w:start w:val="1"/>
      <w:numFmt w:val="lowerLetter"/>
      <w:suff w:val="tab"/>
      <w:lvlText w:val="%1."/>
      <w:rPr>
        <w:color w:val="3370ff"/>
      </w:rPr>
    </w:lvl>
  </w:abstractNum>
  <w:abstractNum w:abstractNumId="6001011">
    <w:lvl>
      <w:start w:val="2"/>
      <w:numFmt w:val="lowerLetter"/>
      <w:suff w:val="tab"/>
      <w:lvlText w:val="%1."/>
      <w:rPr>
        <w:color w:val="3370ff"/>
      </w:rPr>
    </w:lvl>
  </w:abstractNum>
  <w:abstractNum w:abstractNumId="6001012">
    <w:lvl>
      <w:start w:val="3"/>
      <w:numFmt w:val="lowerLetter"/>
      <w:suff w:val="tab"/>
      <w:lvlText w:val="%1."/>
      <w:rPr>
        <w:color w:val="3370ff"/>
      </w:rPr>
    </w:lvl>
  </w:abstractNum>
  <w:abstractNum w:abstractNumId="6001013">
    <w:lvl>
      <w:start w:val="4"/>
      <w:numFmt w:val="lowerLetter"/>
      <w:suff w:val="tab"/>
      <w:lvlText w:val="%1."/>
      <w:rPr>
        <w:color w:val="3370ff"/>
      </w:rPr>
    </w:lvl>
  </w:abstractNum>
  <w:abstractNum w:abstractNumId="6001014">
    <w:lvl>
      <w:start w:val="5"/>
      <w:numFmt w:val="lowerLetter"/>
      <w:suff w:val="tab"/>
      <w:lvlText w:val="%1."/>
      <w:rPr>
        <w:color w:val="3370ff"/>
      </w:rPr>
    </w:lvl>
  </w:abstractNum>
  <w:abstractNum w:abstractNumId="6001015">
    <w:lvl>
      <w:start w:val="6"/>
      <w:numFmt w:val="lowerLetter"/>
      <w:suff w:val="tab"/>
      <w:lvlText w:val="%1."/>
      <w:rPr>
        <w:color w:val="3370ff"/>
      </w:rPr>
    </w:lvl>
  </w:abstractNum>
  <w:abstractNum w:abstractNumId="6001016">
    <w:lvl>
      <w:start w:val="7"/>
      <w:numFmt w:val="lowerLetter"/>
      <w:suff w:val="tab"/>
      <w:lvlText w:val="%1."/>
      <w:rPr>
        <w:color w:val="3370ff"/>
      </w:rPr>
    </w:lvl>
  </w:abstractNum>
  <w:abstractNum w:abstractNumId="6001017">
    <w:lvl>
      <w:start w:val="8"/>
      <w:numFmt w:val="lowerLetter"/>
      <w:suff w:val="tab"/>
      <w:lvlText w:val="%1."/>
      <w:rPr>
        <w:color w:val="3370ff"/>
      </w:rPr>
    </w:lvl>
  </w:abstractNum>
  <w:abstractNum w:abstractNumId="6001018">
    <w:lvl>
      <w:start w:val="9"/>
      <w:numFmt w:val="lowerLetter"/>
      <w:suff w:val="tab"/>
      <w:lvlText w:val="%1."/>
      <w:rPr>
        <w:color w:val="3370ff"/>
      </w:rPr>
    </w:lvl>
  </w:abstractNum>
  <w:abstractNum w:abstractNumId="6001019">
    <w:lvl>
      <w:start w:val="3"/>
      <w:numFmt w:val="decimal"/>
      <w:suff w:val="tab"/>
      <w:lvlText w:val="%1."/>
      <w:rPr>
        <w:color w:val="3370ff"/>
      </w:rPr>
    </w:lvl>
  </w:abstractNum>
  <w:abstractNum w:abstractNumId="6001020">
    <w:lvl>
      <w:start w:val="1"/>
      <w:numFmt w:val="lowerLetter"/>
      <w:suff w:val="tab"/>
      <w:lvlText w:val="%1."/>
      <w:rPr>
        <w:color w:val="3370ff"/>
      </w:rPr>
    </w:lvl>
  </w:abstractNum>
  <w:abstractNum w:abstractNumId="6001021">
    <w:lvl>
      <w:start w:val="2"/>
      <w:numFmt w:val="lowerLetter"/>
      <w:suff w:val="tab"/>
      <w:lvlText w:val="%1."/>
      <w:rPr>
        <w:color w:val="3370ff"/>
      </w:rPr>
    </w:lvl>
  </w:abstractNum>
  <w:abstractNum w:abstractNumId="6001022">
    <w:lvl>
      <w:start w:val="3"/>
      <w:numFmt w:val="lowerLetter"/>
      <w:suff w:val="tab"/>
      <w:lvlText w:val="%1."/>
      <w:rPr>
        <w:color w:val="3370ff"/>
      </w:rPr>
    </w:lvl>
  </w:abstractNum>
  <w:abstractNum w:abstractNumId="6001023">
    <w:lvl>
      <w:start w:val="1"/>
      <w:numFmt w:val="lowerRoman"/>
      <w:suff w:val="tab"/>
      <w:lvlText w:val="%1."/>
      <w:rPr>
        <w:color w:val="3370ff"/>
      </w:rPr>
    </w:lvl>
  </w:abstractNum>
  <w:abstractNum w:abstractNumId="6001024">
    <w:lvl>
      <w:start w:val="2"/>
      <w:numFmt w:val="lowerRoman"/>
      <w:suff w:val="tab"/>
      <w:lvlText w:val="%1."/>
      <w:rPr>
        <w:color w:val="3370ff"/>
      </w:rPr>
    </w:lvl>
  </w:abstractNum>
  <w:abstractNum w:abstractNumId="6001025">
    <w:lvl>
      <w:start w:val="1"/>
      <w:numFmt w:val="lowerRoman"/>
      <w:suff w:val="tab"/>
      <w:lvlText w:val="%1."/>
      <w:rPr>
        <w:color w:val="3370ff"/>
      </w:rPr>
    </w:lvl>
  </w:abstractNum>
  <w:abstractNum w:abstractNumId="6001026">
    <w:lvl>
      <w:start w:val="1"/>
      <w:numFmt w:val="decimal"/>
      <w:suff w:val="tab"/>
      <w:lvlText w:val="%1."/>
      <w:rPr>
        <w:color w:val="3370ff"/>
      </w:rPr>
    </w:lvl>
  </w:abstractNum>
  <w:abstractNum w:abstractNumId="6001027">
    <w:lvl>
      <w:start w:val="1"/>
      <w:numFmt w:val="lowerLetter"/>
      <w:suff w:val="tab"/>
      <w:lvlText w:val="%1."/>
      <w:rPr>
        <w:color w:val="3370ff"/>
      </w:rPr>
    </w:lvl>
  </w:abstractNum>
  <w:abstractNum w:abstractNumId="6001028">
    <w:lvl>
      <w:start w:val="2"/>
      <w:numFmt w:val="lowerLetter"/>
      <w:suff w:val="tab"/>
      <w:lvlText w:val="%1."/>
      <w:rPr>
        <w:color w:val="3370ff"/>
      </w:rPr>
    </w:lvl>
  </w:abstractNum>
  <w:abstractNum w:abstractNumId="6001029">
    <w:lvl>
      <w:start w:val="1"/>
      <w:numFmt w:val="decimal"/>
      <w:suff w:val="tab"/>
      <w:lvlText w:val="%1."/>
      <w:rPr>
        <w:color w:val="3370ff"/>
      </w:rPr>
    </w:lvl>
  </w:abstractNum>
  <w:abstractNum w:abstractNumId="6001030">
    <w:lvl>
      <w:start w:val="2"/>
      <w:numFmt w:val="decimal"/>
      <w:suff w:val="tab"/>
      <w:lvlText w:val="%1."/>
      <w:rPr>
        <w:color w:val="3370ff"/>
      </w:rPr>
    </w:lvl>
  </w:abstractNum>
  <w:abstractNum w:abstractNumId="6001031">
    <w:lvl>
      <w:start w:val="1"/>
      <w:numFmt w:val="lowerLetter"/>
      <w:suff w:val="tab"/>
      <w:lvlText w:val="%1."/>
      <w:rPr>
        <w:color w:val="3370ff"/>
      </w:rPr>
    </w:lvl>
  </w:abstractNum>
  <w:abstractNum w:abstractNumId="6001032">
    <w:lvl>
      <w:start w:val="2"/>
      <w:numFmt w:val="lowerLetter"/>
      <w:suff w:val="tab"/>
      <w:lvlText w:val="%1."/>
      <w:rPr>
        <w:color w:val="3370ff"/>
      </w:rPr>
    </w:lvl>
  </w:abstractNum>
  <w:abstractNum w:abstractNumId="6001033">
    <w:lvl>
      <w:start w:val="3"/>
      <w:numFmt w:val="decimal"/>
      <w:suff w:val="tab"/>
      <w:lvlText w:val="%1."/>
      <w:rPr>
        <w:color w:val="3370ff"/>
      </w:rPr>
    </w:lvl>
  </w:abstractNum>
  <w:abstractNum w:abstractNumId="6001034">
    <w:lvl>
      <w:start w:val="1"/>
      <w:numFmt w:val="lowerLetter"/>
      <w:suff w:val="tab"/>
      <w:lvlText w:val="%1."/>
      <w:rPr>
        <w:color w:val="3370ff"/>
      </w:rPr>
    </w:lvl>
  </w:abstractNum>
  <w:abstractNum w:abstractNumId="6001035">
    <w:lvl>
      <w:start w:val="2"/>
      <w:numFmt w:val="lowerLetter"/>
      <w:suff w:val="tab"/>
      <w:lvlText w:val="%1."/>
      <w:rPr>
        <w:color w:val="3370ff"/>
      </w:rPr>
    </w:lvl>
  </w:abstractNum>
  <w:abstractNum w:abstractNumId="6001036">
    <w:lvl>
      <w:start w:val="3"/>
      <w:numFmt w:val="lowerLetter"/>
      <w:suff w:val="tab"/>
      <w:lvlText w:val="%1."/>
      <w:rPr>
        <w:color w:val="3370ff"/>
      </w:rPr>
    </w:lvl>
  </w:abstractNum>
  <w:abstractNum w:abstractNumId="6001037">
    <w:lvl>
      <w:start w:val="1"/>
      <w:numFmt w:val="decimal"/>
      <w:suff w:val="tab"/>
      <w:lvlText w:val="%1."/>
      <w:rPr>
        <w:color w:val="3370ff"/>
      </w:rPr>
    </w:lvl>
  </w:abstractNum>
  <w:abstractNum w:abstractNumId="6001038">
    <w:lvl>
      <w:start w:val="2"/>
      <w:numFmt w:val="decimal"/>
      <w:suff w:val="tab"/>
      <w:lvlText w:val="%1."/>
      <w:rPr>
        <w:color w:val="3370ff"/>
      </w:rPr>
    </w:lvl>
  </w:abstractNum>
  <w:abstractNum w:abstractNumId="6001039">
    <w:lvl>
      <w:start w:val="3"/>
      <w:numFmt w:val="decimal"/>
      <w:suff w:val="tab"/>
      <w:lvlText w:val="%1."/>
      <w:rPr>
        <w:color w:val="3370ff"/>
      </w:rPr>
    </w:lvl>
  </w:abstractNum>
  <w:abstractNum w:abstractNumId="6001040">
    <w:lvl>
      <w:start w:val="4"/>
      <w:numFmt w:val="decimal"/>
      <w:suff w:val="tab"/>
      <w:lvlText w:val="%1."/>
      <w:rPr>
        <w:color w:val="3370ff"/>
      </w:rPr>
    </w:lvl>
  </w:abstractNum>
  <w:abstractNum w:abstractNumId="6001041">
    <w:lvl>
      <w:start w:val="5"/>
      <w:numFmt w:val="decimal"/>
      <w:suff w:val="tab"/>
      <w:lvlText w:val="%1."/>
      <w:rPr>
        <w:color w:val="3370ff"/>
      </w:rPr>
    </w:lvl>
  </w:abstractNum>
  <w:abstractNum w:abstractNumId="6001042">
    <w:lvl>
      <w:start w:val="1"/>
      <w:numFmt w:val="lowerLetter"/>
      <w:suff w:val="tab"/>
      <w:lvlText w:val="%1."/>
      <w:rPr>
        <w:color w:val="3370ff"/>
      </w:rPr>
    </w:lvl>
  </w:abstractNum>
  <w:abstractNum w:abstractNumId="6001043">
    <w:lvl>
      <w:start w:val="1"/>
      <w:numFmt w:val="lowerRoman"/>
      <w:suff w:val="tab"/>
      <w:lvlText w:val="%1."/>
      <w:rPr>
        <w:color w:val="3370ff"/>
      </w:rPr>
    </w:lvl>
  </w:abstractNum>
  <w:abstractNum w:abstractNumId="6001044">
    <w:lvl>
      <w:start w:val="2"/>
      <w:numFmt w:val="lowerRoman"/>
      <w:suff w:val="tab"/>
      <w:lvlText w:val="%1."/>
      <w:rPr>
        <w:color w:val="3370ff"/>
      </w:rPr>
    </w:lvl>
  </w:abstractNum>
  <w:abstractNum w:abstractNumId="6001045">
    <w:lvl>
      <w:start w:val="2"/>
      <w:numFmt w:val="lowerLetter"/>
      <w:suff w:val="tab"/>
      <w:lvlText w:val="%1."/>
      <w:rPr>
        <w:color w:val="3370ff"/>
      </w:rPr>
    </w:lvl>
  </w:abstractNum>
  <w:abstractNum w:abstractNumId="6001046">
    <w:lvl>
      <w:start w:val="3"/>
      <w:numFmt w:val="lowerLetter"/>
      <w:suff w:val="tab"/>
      <w:lvlText w:val="%1."/>
      <w:rPr>
        <w:color w:val="3370ff"/>
      </w:rPr>
    </w:lvl>
  </w:abstractNum>
  <w:abstractNum w:abstractNumId="6001047">
    <w:lvl>
      <w:start w:val="6"/>
      <w:numFmt w:val="decimal"/>
      <w:suff w:val="tab"/>
      <w:lvlText w:val="%1."/>
      <w:rPr>
        <w:color w:val="3370ff"/>
      </w:rPr>
    </w:lvl>
  </w:abstractNum>
  <w:abstractNum w:abstractNumId="6001048">
    <w:lvl>
      <w:start w:val="1"/>
      <w:numFmt w:val="lowerLetter"/>
      <w:suff w:val="tab"/>
      <w:lvlText w:val="%1."/>
      <w:rPr>
        <w:color w:val="3370ff"/>
      </w:rPr>
    </w:lvl>
  </w:abstractNum>
  <w:abstractNum w:abstractNumId="6001049">
    <w:lvl>
      <w:start w:val="2"/>
      <w:numFmt w:val="lowerLetter"/>
      <w:suff w:val="tab"/>
      <w:lvlText w:val="%1."/>
      <w:rPr>
        <w:color w:val="3370ff"/>
      </w:rPr>
    </w:lvl>
  </w:abstractNum>
  <w:abstractNum w:abstractNumId="6001050">
    <w:lvl>
      <w:start w:val="1"/>
      <w:numFmt w:val="lowerRoman"/>
      <w:suff w:val="tab"/>
      <w:lvlText w:val="%1."/>
      <w:rPr>
        <w:color w:val="3370ff"/>
      </w:rPr>
    </w:lvl>
  </w:abstractNum>
  <w:abstractNum w:abstractNumId="6001051">
    <w:lvl>
      <w:start w:val="2"/>
      <w:numFmt w:val="lowerRoman"/>
      <w:suff w:val="tab"/>
      <w:lvlText w:val="%1."/>
      <w:rPr>
        <w:color w:val="3370ff"/>
      </w:rPr>
    </w:lvl>
  </w:abstractNum>
  <w:abstractNum w:abstractNumId="6001052">
    <w:lvl>
      <w:start w:val="3"/>
      <w:numFmt w:val="lowerRoman"/>
      <w:suff w:val="tab"/>
      <w:lvlText w:val="%1."/>
      <w:rPr>
        <w:color w:val="3370ff"/>
      </w:rPr>
    </w:lvl>
  </w:abstractNum>
  <w:abstractNum w:abstractNumId="6001053">
    <w:lvl>
      <w:start w:val="4"/>
      <w:numFmt w:val="lowerRoman"/>
      <w:suff w:val="tab"/>
      <w:lvlText w:val="%1."/>
      <w:rPr>
        <w:color w:val="3370ff"/>
      </w:rPr>
    </w:lvl>
  </w:abstractNum>
  <w:abstractNum w:abstractNumId="6001054">
    <w:lvl>
      <w:start w:val="5"/>
      <w:numFmt w:val="lowerRoman"/>
      <w:suff w:val="tab"/>
      <w:lvlText w:val="%1."/>
      <w:rPr>
        <w:color w:val="3370ff"/>
      </w:rPr>
    </w:lvl>
  </w:abstractNum>
  <w:abstractNum w:abstractNumId="6001055">
    <w:lvl>
      <w:start w:val="6"/>
      <w:numFmt w:val="lowerRoman"/>
      <w:suff w:val="tab"/>
      <w:lvlText w:val="%1."/>
      <w:rPr>
        <w:color w:val="3370ff"/>
      </w:rPr>
    </w:lvl>
  </w:abstractNum>
  <w:abstractNum w:abstractNumId="6001056">
    <w:lvl>
      <w:start w:val="3"/>
      <w:numFmt w:val="lowerLetter"/>
      <w:suff w:val="tab"/>
      <w:lvlText w:val="%1."/>
      <w:rPr>
        <w:color w:val="3370ff"/>
      </w:rPr>
    </w:lvl>
  </w:abstractNum>
  <w:abstractNum w:abstractNumId="6001057">
    <w:lvl>
      <w:start w:val="1"/>
      <w:numFmt w:val="lowerRoman"/>
      <w:suff w:val="tab"/>
      <w:lvlText w:val="%1."/>
      <w:rPr>
        <w:color w:val="3370ff"/>
      </w:rPr>
    </w:lvl>
  </w:abstractNum>
  <w:abstractNum w:abstractNumId="6001058">
    <w:lvl>
      <w:start w:val="2"/>
      <w:numFmt w:val="lowerRoman"/>
      <w:suff w:val="tab"/>
      <w:lvlText w:val="%1."/>
      <w:rPr>
        <w:color w:val="3370ff"/>
      </w:rPr>
    </w:lvl>
  </w:abstractNum>
  <w:abstractNum w:abstractNumId="6001059">
    <w:lvl>
      <w:start w:val="3"/>
      <w:numFmt w:val="lowerRoman"/>
      <w:suff w:val="tab"/>
      <w:lvlText w:val="%1."/>
      <w:rPr>
        <w:color w:val="3370ff"/>
      </w:rPr>
    </w:lvl>
  </w:abstractNum>
  <w:abstractNum w:abstractNumId="6001060">
    <w:lvl>
      <w:start w:val="4"/>
      <w:numFmt w:val="lowerRoman"/>
      <w:suff w:val="tab"/>
      <w:lvlText w:val="%1."/>
      <w:rPr>
        <w:color w:val="3370ff"/>
      </w:rPr>
    </w:lvl>
  </w:abstractNum>
  <w:abstractNum w:abstractNumId="6001061">
    <w:lvl>
      <w:start w:val="7"/>
      <w:numFmt w:val="decimal"/>
      <w:suff w:val="tab"/>
      <w:lvlText w:val="%1."/>
      <w:rPr>
        <w:color w:val="3370ff"/>
      </w:rPr>
    </w:lvl>
  </w:abstractNum>
  <w:abstractNum w:abstractNumId="6001062">
    <w:lvl>
      <w:start w:val="8"/>
      <w:numFmt w:val="decimal"/>
      <w:suff w:val="tab"/>
      <w:lvlText w:val="%1."/>
      <w:rPr>
        <w:color w:val="3370ff"/>
      </w:rPr>
    </w:lvl>
  </w:abstractNum>
  <w:abstractNum w:abstractNumId="6001063">
    <w:lvl>
      <w:start w:val="1"/>
      <w:numFmt w:val="lowerLetter"/>
      <w:suff w:val="tab"/>
      <w:lvlText w:val="%1."/>
      <w:rPr>
        <w:color w:val="3370ff"/>
      </w:rPr>
    </w:lvl>
  </w:abstractNum>
  <w:abstractNum w:abstractNumId="6001064">
    <w:lvl>
      <w:start w:val="2"/>
      <w:numFmt w:val="lowerLetter"/>
      <w:suff w:val="tab"/>
      <w:lvlText w:val="%1."/>
      <w:rPr>
        <w:color w:val="3370ff"/>
      </w:rPr>
    </w:lvl>
  </w:abstractNum>
  <w:abstractNum w:abstractNumId="6001065">
    <w:lvl>
      <w:start w:val="1"/>
      <w:numFmt w:val="decimal"/>
      <w:suff w:val="tab"/>
      <w:lvlText w:val="%1."/>
      <w:rPr>
        <w:color w:val="3370ff"/>
      </w:rPr>
    </w:lvl>
  </w:abstractNum>
  <w:abstractNum w:abstractNumId="6001066">
    <w:lvl>
      <w:start w:val="2"/>
      <w:numFmt w:val="decimal"/>
      <w:suff w:val="tab"/>
      <w:lvlText w:val="%1."/>
      <w:rPr>
        <w:color w:val="3370ff"/>
      </w:rPr>
    </w:lvl>
  </w:abstractNum>
  <w:abstractNum w:abstractNumId="6001067">
    <w:lvl>
      <w:start w:val="1"/>
      <w:numFmt w:val="lowerLetter"/>
      <w:suff w:val="tab"/>
      <w:lvlText w:val="%1."/>
      <w:rPr>
        <w:color w:val="3370ff"/>
      </w:rPr>
    </w:lvl>
  </w:abstractNum>
  <w:abstractNum w:abstractNumId="6001068">
    <w:lvl>
      <w:start w:val="2"/>
      <w:numFmt w:val="lowerLetter"/>
      <w:suff w:val="tab"/>
      <w:lvlText w:val="%1."/>
      <w:rPr>
        <w:color w:val="3370ff"/>
      </w:rPr>
    </w:lvl>
  </w:abstractNum>
  <w:abstractNum w:abstractNumId="6001069">
    <w:lvl>
      <w:start w:val="3"/>
      <w:numFmt w:val="lowerLetter"/>
      <w:suff w:val="tab"/>
      <w:lvlText w:val="%1."/>
      <w:rPr>
        <w:color w:val="3370ff"/>
      </w:rPr>
    </w:lvl>
  </w:abstractNum>
  <w:abstractNum w:abstractNumId="6001070">
    <w:lvl>
      <w:start w:val="4"/>
      <w:numFmt w:val="lowerLetter"/>
      <w:suff w:val="tab"/>
      <w:lvlText w:val="%1."/>
      <w:rPr>
        <w:color w:val="3370ff"/>
      </w:rPr>
    </w:lvl>
  </w:abstractNum>
  <w:abstractNum w:abstractNumId="6001071">
    <w:lvl>
      <w:start w:val="5"/>
      <w:numFmt w:val="lowerLetter"/>
      <w:suff w:val="tab"/>
      <w:lvlText w:val="%1."/>
      <w:rPr>
        <w:color w:val="3370ff"/>
      </w:rPr>
    </w:lvl>
  </w:abstractNum>
  <w:abstractNum w:abstractNumId="6001072">
    <w:lvl>
      <w:start w:val="3"/>
      <w:numFmt w:val="decimal"/>
      <w:suff w:val="tab"/>
      <w:lvlText w:val="%1."/>
      <w:rPr>
        <w:color w:val="3370ff"/>
      </w:rPr>
    </w:lvl>
  </w:abstractNum>
  <w:abstractNum w:abstractNumId="6001073">
    <w:lvl>
      <w:start w:val="1"/>
      <w:numFmt w:val="lowerLetter"/>
      <w:suff w:val="tab"/>
      <w:lvlText w:val="%1."/>
      <w:rPr>
        <w:color w:val="3370ff"/>
      </w:rPr>
    </w:lvl>
  </w:abstractNum>
  <w:abstractNum w:abstractNumId="6001074">
    <w:lvl>
      <w:start w:val="2"/>
      <w:numFmt w:val="lowerLetter"/>
      <w:suff w:val="tab"/>
      <w:lvlText w:val="%1."/>
      <w:rPr>
        <w:color w:val="3370ff"/>
      </w:rPr>
    </w:lvl>
  </w:abstractNum>
  <w:abstractNum w:abstractNumId="6001075">
    <w:lvl>
      <w:start w:val="3"/>
      <w:numFmt w:val="lowerLetter"/>
      <w:suff w:val="tab"/>
      <w:lvlText w:val="%1."/>
      <w:rPr>
        <w:color w:val="3370ff"/>
      </w:rPr>
    </w:lvl>
  </w:abstractNum>
  <w:abstractNum w:abstractNumId="6001076">
    <w:lvl>
      <w:start w:val="4"/>
      <w:numFmt w:val="lowerLetter"/>
      <w:suff w:val="tab"/>
      <w:lvlText w:val="%1."/>
      <w:rPr>
        <w:color w:val="3370ff"/>
      </w:rPr>
    </w:lvl>
  </w:abstractNum>
  <w:abstractNum w:abstractNumId="6001077">
    <w:lvl>
      <w:start w:val="4"/>
      <w:numFmt w:val="decimal"/>
      <w:suff w:val="tab"/>
      <w:lvlText w:val="%1."/>
      <w:rPr>
        <w:color w:val="3370ff"/>
      </w:rPr>
    </w:lvl>
  </w:abstractNum>
  <w:abstractNum w:abstractNumId="6001078">
    <w:lvl>
      <w:start w:val="1"/>
      <w:numFmt w:val="decimal"/>
      <w:suff w:val="tab"/>
      <w:lvlText w:val="%1."/>
      <w:rPr>
        <w:color w:val="3370ff"/>
      </w:rPr>
    </w:lvl>
  </w:abstractNum>
  <w:abstractNum w:abstractNumId="6001079">
    <w:lvl>
      <w:start w:val="2"/>
      <w:numFmt w:val="decimal"/>
      <w:suff w:val="tab"/>
      <w:lvlText w:val="%1."/>
      <w:rPr>
        <w:color w:val="3370ff"/>
      </w:rPr>
    </w:lvl>
  </w:abstractNum>
  <w:abstractNum w:abstractNumId="6001080">
    <w:lvl>
      <w:start w:val="3"/>
      <w:numFmt w:val="decimal"/>
      <w:suff w:val="tab"/>
      <w:lvlText w:val="%1."/>
      <w:rPr>
        <w:color w:val="3370ff"/>
      </w:rPr>
    </w:lvl>
  </w:abstractNum>
  <w:abstractNum w:abstractNumId="6001081">
    <w:lvl>
      <w:start w:val="4"/>
      <w:numFmt w:val="decimal"/>
      <w:suff w:val="tab"/>
      <w:lvlText w:val="%1."/>
      <w:rPr>
        <w:color w:val="3370ff"/>
      </w:rPr>
    </w:lvl>
  </w:abstractNum>
  <w:abstractNum w:abstractNumId="6001082">
    <w:lvl>
      <w:start w:val="5"/>
      <w:numFmt w:val="decimal"/>
      <w:suff w:val="tab"/>
      <w:lvlText w:val="%1."/>
      <w:rPr>
        <w:color w:val="3370ff"/>
      </w:rPr>
    </w:lvl>
  </w:abstractNum>
  <w:abstractNum w:abstractNumId="6001083">
    <w:lvl>
      <w:start w:val="6"/>
      <w:numFmt w:val="decimal"/>
      <w:suff w:val="tab"/>
      <w:lvlText w:val="%1."/>
      <w:rPr>
        <w:color w:val="3370ff"/>
      </w:rPr>
    </w:lvl>
  </w:abstractNum>
  <w:abstractNum w:abstractNumId="6001084">
    <w:lvl>
      <w:start w:val="7"/>
      <w:numFmt w:val="decimal"/>
      <w:suff w:val="tab"/>
      <w:lvlText w:val="%1."/>
      <w:rPr>
        <w:color w:val="3370ff"/>
      </w:rPr>
    </w:lvl>
  </w:abstractNum>
  <w:abstractNum w:abstractNumId="6001085">
    <w:lvl>
      <w:start w:val="8"/>
      <w:numFmt w:val="decimal"/>
      <w:suff w:val="tab"/>
      <w:lvlText w:val="%1."/>
      <w:rPr>
        <w:color w:val="3370ff"/>
      </w:rPr>
    </w:lvl>
  </w:abstractNum>
  <w:abstractNum w:abstractNumId="6001086">
    <w:lvl>
      <w:start w:val="9"/>
      <w:numFmt w:val="decimal"/>
      <w:suff w:val="tab"/>
      <w:lvlText w:val="%1."/>
      <w:rPr>
        <w:color w:val="3370ff"/>
      </w:rPr>
    </w:lvl>
  </w:abstractNum>
  <w:abstractNum w:abstractNumId="6001087">
    <w:lvl>
      <w:numFmt w:val="bullet"/>
      <w:suff w:val="tab"/>
      <w:lvlText w:val="•"/>
      <w:rPr>
        <w:color w:val="3370ff"/>
      </w:rPr>
    </w:lvl>
  </w:abstractNum>
  <w:abstractNum w:abstractNumId="6001088">
    <w:lvl>
      <w:numFmt w:val="bullet"/>
      <w:suff w:val="tab"/>
      <w:lvlText w:val="•"/>
      <w:rPr>
        <w:color w:val="3370ff"/>
      </w:rPr>
    </w:lvl>
  </w:abstractNum>
  <w:abstractNum w:abstractNumId="6001089">
    <w:lvl>
      <w:numFmt w:val="bullet"/>
      <w:suff w:val="tab"/>
      <w:lvlText w:val="•"/>
      <w:rPr>
        <w:color w:val="3370ff"/>
      </w:rPr>
    </w:lvl>
  </w:abstractNum>
  <w:abstractNum w:abstractNumId="6001090">
    <w:lvl>
      <w:numFmt w:val="bullet"/>
      <w:suff w:val="tab"/>
      <w:lvlText w:val="•"/>
      <w:rPr>
        <w:color w:val="3370ff"/>
      </w:rPr>
    </w:lvl>
  </w:abstractNum>
  <w:abstractNum w:abstractNumId="6001091">
    <w:lvl>
      <w:start w:val="10"/>
      <w:numFmt w:val="decimal"/>
      <w:suff w:val="tab"/>
      <w:lvlText w:val="%1."/>
      <w:rPr>
        <w:color w:val="3370ff"/>
      </w:rPr>
    </w:lvl>
  </w:abstractNum>
  <w:abstractNum w:abstractNumId="6001092">
    <w:lvl>
      <w:start w:val="11"/>
      <w:numFmt w:val="decimal"/>
      <w:suff w:val="tab"/>
      <w:lvlText w:val="%1."/>
      <w:rPr>
        <w:color w:val="3370ff"/>
      </w:rPr>
    </w:lvl>
  </w:abstractNum>
  <w:abstractNum w:abstractNumId="6001093">
    <w:lvl>
      <w:start w:val="12"/>
      <w:numFmt w:val="decimal"/>
      <w:suff w:val="tab"/>
      <w:lvlText w:val="%1."/>
      <w:rPr>
        <w:color w:val="3370ff"/>
      </w:rPr>
    </w:lvl>
  </w:abstractNum>
  <w:abstractNum w:abstractNumId="6001094">
    <w:lvl>
      <w:start w:val="13"/>
      <w:numFmt w:val="decimal"/>
      <w:suff w:val="tab"/>
      <w:lvlText w:val="%1."/>
      <w:rPr>
        <w:color w:val="3370ff"/>
      </w:rPr>
    </w:lvl>
  </w:abstractNum>
  <w:abstractNum w:abstractNumId="6001095">
    <w:lvl>
      <w:start w:val="14"/>
      <w:numFmt w:val="decimal"/>
      <w:suff w:val="tab"/>
      <w:lvlText w:val="%1."/>
      <w:rPr>
        <w:color w:val="3370ff"/>
      </w:rPr>
    </w:lvl>
  </w:abstractNum>
  <w:abstractNum w:abstractNumId="6001096">
    <w:lvl>
      <w:start w:val="15"/>
      <w:numFmt w:val="decimal"/>
      <w:suff w:val="tab"/>
      <w:lvlText w:val="%1."/>
      <w:rPr>
        <w:color w:val="3370ff"/>
      </w:rPr>
    </w:lvl>
  </w:abstractNum>
  <w:abstractNum w:abstractNumId="6001097">
    <w:lvl>
      <w:start w:val="1"/>
      <w:numFmt w:val="decimal"/>
      <w:suff w:val="tab"/>
      <w:lvlText w:val="%1."/>
      <w:rPr>
        <w:color w:val="3370ff"/>
      </w:rPr>
    </w:lvl>
  </w:abstractNum>
  <w:abstractNum w:abstractNumId="6001098">
    <w:lvl>
      <w:start w:val="2"/>
      <w:numFmt w:val="decimal"/>
      <w:suff w:val="tab"/>
      <w:lvlText w:val="%1."/>
      <w:rPr>
        <w:color w:val="3370ff"/>
      </w:rPr>
    </w:lvl>
  </w:abstractNum>
  <w:abstractNum w:abstractNumId="6001099">
    <w:lvl>
      <w:start w:val="3"/>
      <w:numFmt w:val="decimal"/>
      <w:suff w:val="tab"/>
      <w:lvlText w:val="%1."/>
      <w:rPr>
        <w:color w:val="3370ff"/>
      </w:rPr>
    </w:lvl>
  </w:abstractNum>
  <w:abstractNum w:abstractNumId="6001100">
    <w:lvl>
      <w:start w:val="4"/>
      <w:numFmt w:val="decimal"/>
      <w:suff w:val="tab"/>
      <w:lvlText w:val="%1."/>
      <w:rPr>
        <w:color w:val="3370ff"/>
      </w:rPr>
    </w:lvl>
  </w:abstractNum>
  <w:abstractNum w:abstractNumId="6001101">
    <w:lvl>
      <w:start w:val="5"/>
      <w:numFmt w:val="decimal"/>
      <w:suff w:val="tab"/>
      <w:lvlText w:val="%1."/>
      <w:rPr>
        <w:color w:val="3370ff"/>
      </w:rPr>
    </w:lvl>
  </w:abstractNum>
  <w:abstractNum w:abstractNumId="6001102">
    <w:lvl>
      <w:start w:val="7"/>
      <w:numFmt w:val="decimal"/>
      <w:suff w:val="tab"/>
      <w:lvlText w:val="%1."/>
      <w:rPr>
        <w:color w:val="3370ff"/>
      </w:rPr>
    </w:lvl>
  </w:abstractNum>
  <w:abstractNum w:abstractNumId="6001103">
    <w:lvl>
      <w:start w:val="8"/>
      <w:numFmt w:val="decimal"/>
      <w:suff w:val="tab"/>
      <w:lvlText w:val="%1."/>
      <w:rPr>
        <w:color w:val="3370ff"/>
      </w:rPr>
    </w:lvl>
  </w:abstractNum>
  <w:abstractNum w:abstractNumId="6001104">
    <w:lvl>
      <w:start w:val="9"/>
      <w:numFmt w:val="decimal"/>
      <w:suff w:val="tab"/>
      <w:lvlText w:val="%1."/>
      <w:rPr>
        <w:color w:val="3370ff"/>
      </w:rPr>
    </w:lvl>
  </w:abstractNum>
  <w:abstractNum w:abstractNumId="6001105">
    <w:lvl>
      <w:start w:val="10"/>
      <w:numFmt w:val="decimal"/>
      <w:suff w:val="tab"/>
      <w:lvlText w:val="%1."/>
      <w:rPr>
        <w:color w:val="3370ff"/>
      </w:rPr>
    </w:lvl>
  </w:abstractNum>
  <w:num w:numId="1">
    <w:abstractNumId w:val="6000964"/>
  </w:num>
  <w:num w:numId="2">
    <w:abstractNumId w:val="6000965"/>
  </w:num>
  <w:num w:numId="3">
    <w:abstractNumId w:val="6000966"/>
  </w:num>
  <w:num w:numId="4">
    <w:abstractNumId w:val="6000967"/>
  </w:num>
  <w:num w:numId="5">
    <w:abstractNumId w:val="6000968"/>
  </w:num>
  <w:num w:numId="6">
    <w:abstractNumId w:val="6000969"/>
  </w:num>
  <w:num w:numId="7">
    <w:abstractNumId w:val="6000970"/>
  </w:num>
  <w:num w:numId="8">
    <w:abstractNumId w:val="6000971"/>
  </w:num>
  <w:num w:numId="9">
    <w:abstractNumId w:val="6000972"/>
  </w:num>
  <w:num w:numId="10">
    <w:abstractNumId w:val="6000973"/>
  </w:num>
  <w:num w:numId="11">
    <w:abstractNumId w:val="6000974"/>
  </w:num>
  <w:num w:numId="12">
    <w:abstractNumId w:val="6000975"/>
  </w:num>
  <w:num w:numId="13">
    <w:abstractNumId w:val="6000976"/>
  </w:num>
  <w:num w:numId="14">
    <w:abstractNumId w:val="6000977"/>
  </w:num>
  <w:num w:numId="15">
    <w:abstractNumId w:val="6000978"/>
  </w:num>
  <w:num w:numId="16">
    <w:abstractNumId w:val="6000979"/>
  </w:num>
  <w:num w:numId="17">
    <w:abstractNumId w:val="6000980"/>
  </w:num>
  <w:num w:numId="18">
    <w:abstractNumId w:val="6000981"/>
  </w:num>
  <w:num w:numId="19">
    <w:abstractNumId w:val="6000982"/>
  </w:num>
  <w:num w:numId="20">
    <w:abstractNumId w:val="6000983"/>
  </w:num>
  <w:num w:numId="21">
    <w:abstractNumId w:val="6000984"/>
  </w:num>
  <w:num w:numId="22">
    <w:abstractNumId w:val="6000985"/>
  </w:num>
  <w:num w:numId="23">
    <w:abstractNumId w:val="6000986"/>
  </w:num>
  <w:num w:numId="24">
    <w:abstractNumId w:val="6000987"/>
  </w:num>
  <w:num w:numId="25">
    <w:abstractNumId w:val="6000988"/>
  </w:num>
  <w:num w:numId="26">
    <w:abstractNumId w:val="6000989"/>
  </w:num>
  <w:num w:numId="27">
    <w:abstractNumId w:val="6000990"/>
  </w:num>
  <w:num w:numId="28">
    <w:abstractNumId w:val="6000991"/>
  </w:num>
  <w:num w:numId="29">
    <w:abstractNumId w:val="6000992"/>
  </w:num>
  <w:num w:numId="30">
    <w:abstractNumId w:val="6000993"/>
  </w:num>
  <w:num w:numId="31">
    <w:abstractNumId w:val="6000994"/>
  </w:num>
  <w:num w:numId="32">
    <w:abstractNumId w:val="6000995"/>
  </w:num>
  <w:num w:numId="33">
    <w:abstractNumId w:val="6000996"/>
  </w:num>
  <w:num w:numId="34">
    <w:abstractNumId w:val="6000997"/>
  </w:num>
  <w:num w:numId="35">
    <w:abstractNumId w:val="6000998"/>
  </w:num>
  <w:num w:numId="36">
    <w:abstractNumId w:val="6000999"/>
  </w:num>
  <w:num w:numId="37">
    <w:abstractNumId w:val="6001000"/>
  </w:num>
  <w:num w:numId="38">
    <w:abstractNumId w:val="6001001"/>
  </w:num>
  <w:num w:numId="39">
    <w:abstractNumId w:val="6001002"/>
  </w:num>
  <w:num w:numId="40">
    <w:abstractNumId w:val="6001003"/>
  </w:num>
  <w:num w:numId="41">
    <w:abstractNumId w:val="6001004"/>
  </w:num>
  <w:num w:numId="42">
    <w:abstractNumId w:val="6001005"/>
  </w:num>
  <w:num w:numId="43">
    <w:abstractNumId w:val="6001006"/>
  </w:num>
  <w:num w:numId="44">
    <w:abstractNumId w:val="6001007"/>
  </w:num>
  <w:num w:numId="45">
    <w:abstractNumId w:val="6001008"/>
  </w:num>
  <w:num w:numId="46">
    <w:abstractNumId w:val="6001009"/>
  </w:num>
  <w:num w:numId="47">
    <w:abstractNumId w:val="6001010"/>
  </w:num>
  <w:num w:numId="48">
    <w:abstractNumId w:val="6001011"/>
  </w:num>
  <w:num w:numId="49">
    <w:abstractNumId w:val="6001012"/>
  </w:num>
  <w:num w:numId="50">
    <w:abstractNumId w:val="6001013"/>
  </w:num>
  <w:num w:numId="51">
    <w:abstractNumId w:val="6001014"/>
  </w:num>
  <w:num w:numId="52">
    <w:abstractNumId w:val="6001015"/>
  </w:num>
  <w:num w:numId="53">
    <w:abstractNumId w:val="6001016"/>
  </w:num>
  <w:num w:numId="54">
    <w:abstractNumId w:val="6001017"/>
  </w:num>
  <w:num w:numId="55">
    <w:abstractNumId w:val="6001018"/>
  </w:num>
  <w:num w:numId="56">
    <w:abstractNumId w:val="6001019"/>
  </w:num>
  <w:num w:numId="57">
    <w:abstractNumId w:val="6001020"/>
  </w:num>
  <w:num w:numId="58">
    <w:abstractNumId w:val="6001021"/>
  </w:num>
  <w:num w:numId="59">
    <w:abstractNumId w:val="6001022"/>
  </w:num>
  <w:num w:numId="60">
    <w:abstractNumId w:val="6001023"/>
  </w:num>
  <w:num w:numId="61">
    <w:abstractNumId w:val="6001024"/>
  </w:num>
  <w:num w:numId="62">
    <w:abstractNumId w:val="6001025"/>
  </w:num>
  <w:num w:numId="63">
    <w:abstractNumId w:val="6001026"/>
  </w:num>
  <w:num w:numId="64">
    <w:abstractNumId w:val="6001027"/>
  </w:num>
  <w:num w:numId="65">
    <w:abstractNumId w:val="6001028"/>
  </w:num>
  <w:num w:numId="66">
    <w:abstractNumId w:val="6001029"/>
  </w:num>
  <w:num w:numId="67">
    <w:abstractNumId w:val="6001030"/>
  </w:num>
  <w:num w:numId="68">
    <w:abstractNumId w:val="6001031"/>
  </w:num>
  <w:num w:numId="69">
    <w:abstractNumId w:val="6001032"/>
  </w:num>
  <w:num w:numId="70">
    <w:abstractNumId w:val="6001033"/>
  </w:num>
  <w:num w:numId="71">
    <w:abstractNumId w:val="6001034"/>
  </w:num>
  <w:num w:numId="72">
    <w:abstractNumId w:val="6001035"/>
  </w:num>
  <w:num w:numId="73">
    <w:abstractNumId w:val="6001036"/>
  </w:num>
  <w:num w:numId="74">
    <w:abstractNumId w:val="6001037"/>
  </w:num>
  <w:num w:numId="75">
    <w:abstractNumId w:val="6001038"/>
  </w:num>
  <w:num w:numId="76">
    <w:abstractNumId w:val="6001039"/>
  </w:num>
  <w:num w:numId="77">
    <w:abstractNumId w:val="6001040"/>
  </w:num>
  <w:num w:numId="78">
    <w:abstractNumId w:val="6001041"/>
  </w:num>
  <w:num w:numId="79">
    <w:abstractNumId w:val="6001042"/>
  </w:num>
  <w:num w:numId="80">
    <w:abstractNumId w:val="6001043"/>
  </w:num>
  <w:num w:numId="81">
    <w:abstractNumId w:val="6001044"/>
  </w:num>
  <w:num w:numId="82">
    <w:abstractNumId w:val="6001045"/>
  </w:num>
  <w:num w:numId="83">
    <w:abstractNumId w:val="6001046"/>
  </w:num>
  <w:num w:numId="84">
    <w:abstractNumId w:val="6001047"/>
  </w:num>
  <w:num w:numId="85">
    <w:abstractNumId w:val="6001048"/>
  </w:num>
  <w:num w:numId="86">
    <w:abstractNumId w:val="6001049"/>
  </w:num>
  <w:num w:numId="87">
    <w:abstractNumId w:val="6001050"/>
  </w:num>
  <w:num w:numId="88">
    <w:abstractNumId w:val="6001051"/>
  </w:num>
  <w:num w:numId="89">
    <w:abstractNumId w:val="6001052"/>
  </w:num>
  <w:num w:numId="90">
    <w:abstractNumId w:val="6001053"/>
  </w:num>
  <w:num w:numId="91">
    <w:abstractNumId w:val="6001054"/>
  </w:num>
  <w:num w:numId="92">
    <w:abstractNumId w:val="6001055"/>
  </w:num>
  <w:num w:numId="93">
    <w:abstractNumId w:val="6001056"/>
  </w:num>
  <w:num w:numId="94">
    <w:abstractNumId w:val="6001057"/>
  </w:num>
  <w:num w:numId="95">
    <w:abstractNumId w:val="6001058"/>
  </w:num>
  <w:num w:numId="96">
    <w:abstractNumId w:val="6001059"/>
  </w:num>
  <w:num w:numId="97">
    <w:abstractNumId w:val="6001060"/>
  </w:num>
  <w:num w:numId="98">
    <w:abstractNumId w:val="6001061"/>
  </w:num>
  <w:num w:numId="99">
    <w:abstractNumId w:val="6001062"/>
  </w:num>
  <w:num w:numId="100">
    <w:abstractNumId w:val="6001063"/>
  </w:num>
  <w:num w:numId="101">
    <w:abstractNumId w:val="6001064"/>
  </w:num>
  <w:num w:numId="102">
    <w:abstractNumId w:val="6001065"/>
  </w:num>
  <w:num w:numId="103">
    <w:abstractNumId w:val="6001066"/>
  </w:num>
  <w:num w:numId="104">
    <w:abstractNumId w:val="6001067"/>
  </w:num>
  <w:num w:numId="105">
    <w:abstractNumId w:val="6001068"/>
  </w:num>
  <w:num w:numId="106">
    <w:abstractNumId w:val="6001069"/>
  </w:num>
  <w:num w:numId="107">
    <w:abstractNumId w:val="6001070"/>
  </w:num>
  <w:num w:numId="108">
    <w:abstractNumId w:val="6001071"/>
  </w:num>
  <w:num w:numId="109">
    <w:abstractNumId w:val="6001072"/>
  </w:num>
  <w:num w:numId="110">
    <w:abstractNumId w:val="6001073"/>
  </w:num>
  <w:num w:numId="111">
    <w:abstractNumId w:val="6001074"/>
  </w:num>
  <w:num w:numId="112">
    <w:abstractNumId w:val="6001075"/>
  </w:num>
  <w:num w:numId="113">
    <w:abstractNumId w:val="6001076"/>
  </w:num>
  <w:num w:numId="114">
    <w:abstractNumId w:val="6001077"/>
  </w:num>
  <w:num w:numId="115">
    <w:abstractNumId w:val="6001078"/>
  </w:num>
  <w:num w:numId="116">
    <w:abstractNumId w:val="6001079"/>
  </w:num>
  <w:num w:numId="117">
    <w:abstractNumId w:val="6001080"/>
  </w:num>
  <w:num w:numId="118">
    <w:abstractNumId w:val="6001081"/>
  </w:num>
  <w:num w:numId="119">
    <w:abstractNumId w:val="6001082"/>
  </w:num>
  <w:num w:numId="120">
    <w:abstractNumId w:val="6001083"/>
  </w:num>
  <w:num w:numId="121">
    <w:abstractNumId w:val="6001084"/>
  </w:num>
  <w:num w:numId="122">
    <w:abstractNumId w:val="6001085"/>
  </w:num>
  <w:num w:numId="123">
    <w:abstractNumId w:val="6001086"/>
  </w:num>
  <w:num w:numId="124">
    <w:abstractNumId w:val="6001087"/>
  </w:num>
  <w:num w:numId="125">
    <w:abstractNumId w:val="6001088"/>
  </w:num>
  <w:num w:numId="126">
    <w:abstractNumId w:val="6001089"/>
  </w:num>
  <w:num w:numId="127">
    <w:abstractNumId w:val="6001090"/>
  </w:num>
  <w:num w:numId="128">
    <w:abstractNumId w:val="6001091"/>
  </w:num>
  <w:num w:numId="129">
    <w:abstractNumId w:val="6001092"/>
  </w:num>
  <w:num w:numId="130">
    <w:abstractNumId w:val="6001093"/>
  </w:num>
  <w:num w:numId="131">
    <w:abstractNumId w:val="6001094"/>
  </w:num>
  <w:num w:numId="132">
    <w:abstractNumId w:val="6001095"/>
  </w:num>
  <w:num w:numId="133">
    <w:abstractNumId w:val="6001096"/>
  </w:num>
  <w:num w:numId="134">
    <w:abstractNumId w:val="6001097"/>
  </w:num>
  <w:num w:numId="135">
    <w:abstractNumId w:val="6001098"/>
  </w:num>
  <w:num w:numId="136">
    <w:abstractNumId w:val="6001099"/>
  </w:num>
  <w:num w:numId="137">
    <w:abstractNumId w:val="6001100"/>
  </w:num>
  <w:num w:numId="138">
    <w:abstractNumId w:val="6001101"/>
  </w:num>
  <w:num w:numId="139">
    <w:abstractNumId w:val="6001102"/>
  </w:num>
  <w:num w:numId="140">
    <w:abstractNumId w:val="6001103"/>
  </w:num>
  <w:num w:numId="141">
    <w:abstractNumId w:val="6001104"/>
  </w:num>
  <w:num w:numId="142">
    <w:abstractNumId w:val="60011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embeddings/Microsoft_Excel_Worksheet1.xlsx" Type="http://schemas.openxmlformats.org/officeDocument/2006/relationships/pack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styles.xml" Type="http://schemas.openxmlformats.org/officeDocument/2006/relationships/styles"/><Relationship Id="rId20" Target="media/image11.png" Type="http://schemas.openxmlformats.org/officeDocument/2006/relationships/image"/><Relationship Id="rId21" Target="media/image12.png" Type="http://schemas.openxmlformats.org/officeDocument/2006/relationships/image"/><Relationship Id="rId22" Target="media/image13.png" Type="http://schemas.openxmlformats.org/officeDocument/2006/relationships/image"/><Relationship Id="rId23" Target="media/image14.png" Type="http://schemas.openxmlformats.org/officeDocument/2006/relationships/image"/><Relationship Id="rId24" Target="embeddings/Microsoft_Excel_Worksheet2.xlsx" Type="http://schemas.openxmlformats.org/officeDocument/2006/relationships/package"/><Relationship Id="rId25" Target="media/image15.png" Type="http://schemas.openxmlformats.org/officeDocument/2006/relationships/image"/><Relationship Id="rId26" Target="embeddings/Microsoft_Excel_Worksheet3.xlsx" Type="http://schemas.openxmlformats.org/officeDocument/2006/relationships/package"/><Relationship Id="rId27" Target="media/image16.png" Type="http://schemas.openxmlformats.org/officeDocument/2006/relationships/image"/><Relationship Id="rId28" Target="media/image17.png" Type="http://schemas.openxmlformats.org/officeDocument/2006/relationships/image"/><Relationship Id="rId29" Target="media/image18.png" Type="http://schemas.openxmlformats.org/officeDocument/2006/relationships/image"/><Relationship Id="rId3" Target="footer1.xml" Type="http://schemas.openxmlformats.org/officeDocument/2006/relationships/footer"/><Relationship Id="rId30" Target="media/image19.png" Type="http://schemas.openxmlformats.org/officeDocument/2006/relationships/image"/><Relationship Id="rId31" Target="media/image20.png" Type="http://schemas.openxmlformats.org/officeDocument/2006/relationships/image"/><Relationship Id="rId32" Target="media/image21.png" Type="http://schemas.openxmlformats.org/officeDocument/2006/relationships/image"/><Relationship Id="rId33" Target="https://www.nmg.gov.cn/ztzl/tjlswdrw/nxcpsc/202407/t20240708_2539278.html" TargetMode="External" Type="http://schemas.openxmlformats.org/officeDocument/2006/relationships/hyperlink"/><Relationship Id="rId34" Target="http://www.gdzl.agri.cn/zljs/htbh/202411/t20241119_449501.htm" TargetMode="External" Type="http://schemas.openxmlformats.org/officeDocument/2006/relationships/hyperlink"/><Relationship Id="rId35" Target="https://nmt.nmg.gov.cn/yw/syjs/trfl/202508/t20250826_2779439.html" TargetMode="External" Type="http://schemas.openxmlformats.org/officeDocument/2006/relationships/hyperlink"/><Relationship Id="rId36" Target="https://m.northnews.cn/2025/0522/2409977.html" TargetMode="External" Type="http://schemas.openxmlformats.org/officeDocument/2006/relationships/hyperlink"/><Relationship Id="rId37" Target="https://nmt.nmg.gov.cn/yw/nszd/xam/202302/t20230228_2264117.html" TargetMode="External" Type="http://schemas.openxmlformats.org/officeDocument/2006/relationships/hyperlink"/><Relationship Id="rId38" Target="https://www.xam.gov.cn/xam/2025-07/15/article_2025071515382693448.html" TargetMode="External" Type="http://schemas.openxmlformats.org/officeDocument/2006/relationships/hyperlink"/><Relationship Id="rId39" Target="https://nmt.nmg.gov.cn/zzb/nmdt/202310/t20231008_2389682.html" TargetMode="External" Type="http://schemas.openxmlformats.org/officeDocument/2006/relationships/hyperlink"/><Relationship Id="rId4" Target="numbering.xml" Type="http://schemas.openxmlformats.org/officeDocument/2006/relationships/numbering"/><Relationship Id="rId40" Target="http://www.nmg.news.cn/20260330/26713e40c2734e86a2a91852513eff47/c.html" TargetMode="External" Type="http://schemas.openxmlformats.org/officeDocument/2006/relationships/hyperlink"/><Relationship Id="rId41" Target="https://www.nmg.gov.cn/ztzl/tjlswdrw/nxcpsc/202508/t20250813_2773310.html" TargetMode="External" Type="http://schemas.openxmlformats.org/officeDocument/2006/relationships/hyperlink"/><Relationship Id="rId42" Target="https://www.xam.gov.cn/xam/2025-07/15/article_2025071515514527638.html" TargetMode="External" Type="http://schemas.openxmlformats.org/officeDocument/2006/relationships/hyperlink"/><Relationship Id="rId43" Target="https://nmt.nmg.gov.cn/xw/msdt/xam/202509/t20250918_2792049.html" TargetMode="External" Type="http://schemas.openxmlformats.org/officeDocument/2006/relationships/hyperlink"/><Relationship Id="rId44" Target="http://www.xam.gov.cn:8030/xamagri/2025-10/14/article_2025101410005480247.html" TargetMode="External" Type="http://schemas.openxmlformats.org/officeDocument/2006/relationships/hyperlink"/><Relationship Id="rId45" Target="embeddings/Microsoft_Excel_Worksheet4.xlsx" Type="http://schemas.openxmlformats.org/officeDocument/2006/relationships/package"/><Relationship Id="rId46" Target="media/image22.png" Type="http://schemas.openxmlformats.org/officeDocument/2006/relationships/image"/><Relationship Id="rId47" Target="embeddings/Microsoft_Excel_Worksheet5.xlsx" Type="http://schemas.openxmlformats.org/officeDocument/2006/relationships/package"/><Relationship Id="rId48" Target="media/image23.png" Type="http://schemas.openxmlformats.org/officeDocument/2006/relationships/image"/><Relationship Id="rId49" Target="embeddings/Microsoft_Excel_Worksheet6.xlsx" Type="http://schemas.openxmlformats.org/officeDocument/2006/relationships/package"/><Relationship Id="rId5" Target="https://portal.opentopography.org/raster?opentopoID=OTSDEM.032021.4326.3" TargetMode="External" Type="http://schemas.openxmlformats.org/officeDocument/2006/relationships/hyperlink"/><Relationship Id="rId50" Target="media/image24.png" Type="http://schemas.openxmlformats.org/officeDocument/2006/relationships/image"/><Relationship Id="rId51" Target="embeddings/Microsoft_Excel_Worksheet7.xlsx" Type="http://schemas.openxmlformats.org/officeDocument/2006/relationships/package"/><Relationship Id="rId52" Target="media/image25.png" Type="http://schemas.openxmlformats.org/officeDocument/2006/relationships/image"/><Relationship Id="rId53" Target="embeddings/Microsoft_Excel_Worksheet8.xlsx" Type="http://schemas.openxmlformats.org/officeDocument/2006/relationships/package"/><Relationship Id="rId54" Target="media/image26.png" Type="http://schemas.openxmlformats.org/officeDocument/2006/relationships/image"/><Relationship Id="rId55" Target="media/image27.png" Type="http://schemas.openxmlformats.org/officeDocument/2006/relationships/image"/><Relationship Id="rId56" Target="media/image28.png" Type="http://schemas.openxmlformats.org/officeDocument/2006/relationships/image"/><Relationship Id="rId57" Target="media/image29.png" Type="http://schemas.openxmlformats.org/officeDocument/2006/relationships/image"/><Relationship Id="rId58" Target="media/image30.png" Type="http://schemas.openxmlformats.org/officeDocument/2006/relationships/image"/><Relationship Id="rId59" Target="media/image31.png" Type="http://schemas.openxmlformats.org/officeDocument/2006/relationships/image"/><Relationship Id="rId6" Target="https://doi.org/10.11888/Atmos.tpdc.302088" TargetMode="External" Type="http://schemas.openxmlformats.org/officeDocument/2006/relationships/hyperlink"/><Relationship Id="rId60" Target="media/image32.png" Type="http://schemas.openxmlformats.org/officeDocument/2006/relationships/image"/><Relationship Id="rId61" Target="media/image33.png" Type="http://schemas.openxmlformats.org/officeDocument/2006/relationships/image"/><Relationship Id="rId62" Target="media/image34.png" Type="http://schemas.openxmlformats.org/officeDocument/2006/relationships/image"/><Relationship Id="rId63" Target="media/image35.png" Type="http://schemas.openxmlformats.org/officeDocument/2006/relationships/image"/><Relationship Id="rId64" Target="media/image36.png" Type="http://schemas.openxmlformats.org/officeDocument/2006/relationships/image"/><Relationship Id="rId65" Target="media/image37.png" Type="http://schemas.openxmlformats.org/officeDocument/2006/relationships/image"/><Relationship Id="rId66" Target="media/image38.png" Type="http://schemas.openxmlformats.org/officeDocument/2006/relationships/image"/><Relationship Id="rId67" Target="embeddings/Microsoft_Excel_Worksheet9.xlsx" Type="http://schemas.openxmlformats.org/officeDocument/2006/relationships/package"/><Relationship Id="rId68" Target="media/image39.png" Type="http://schemas.openxmlformats.org/officeDocument/2006/relationships/image"/><Relationship Id="rId69" Target="header1.xml" Type="http://schemas.openxmlformats.org/officeDocument/2006/relationships/header"/><Relationship Id="rId7" Target="https://cstr.cn/18406.11.Atmos.tpdc.302088" TargetMode="External" Type="http://schemas.openxmlformats.org/officeDocument/2006/relationships/hyperlink"/><Relationship Id="rId8" Target="https://doi.org/10.5281/zenodo.10983199%20" TargetMode="External" Type="http://schemas.openxmlformats.org/officeDocument/2006/relationships/hyperlink"/><Relationship Id="rId9"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2026-05-16T10:38:12Z</dcterms:created>
  <dc:creator>Apache POI</dc:creator>
</cp:coreProperties>
</file>