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黑体" w:hAnsi="黑体" w:eastAsia="黑体"/>
        </w:rPr>
        <w:t>技术交底书</w:t>
      </w:r>
    </w:p>
    <w:p>
      <w:pPr>
        <w:spacing w:after="120" w:line="276" w:lineRule="auto"/>
      </w:pPr>
      <w:r>
        <w:rPr>
          <w:rFonts w:ascii="宋体" w:hAnsi="宋体" w:eastAsia="宋体"/>
          <w:b/>
          <w:sz w:val="21"/>
        </w:rPr>
        <w:t>案件名称</w:t>
      </w:r>
      <w:r>
        <w:rPr>
          <w:rFonts w:ascii="宋体" w:hAnsi="宋体" w:eastAsia="宋体"/>
          <w:sz w:val="21"/>
        </w:rPr>
        <w:t>：一种基于预归一化反坍缩与双窗口时序对比的遥感嵌入学习方法及系统</w:t>
      </w:r>
    </w:p>
    <w:p>
      <w:pPr>
        <w:spacing w:after="120" w:line="276" w:lineRule="auto"/>
      </w:pPr>
      <w:r>
        <w:rPr>
          <w:rFonts w:ascii="宋体" w:hAnsi="宋体" w:eastAsia="宋体"/>
          <w:b/>
          <w:sz w:val="21"/>
        </w:rPr>
        <w:t>技术联系人</w:t>
      </w:r>
      <w:r>
        <w:rPr>
          <w:rFonts w:ascii="宋体" w:hAnsi="宋体" w:eastAsia="宋体"/>
          <w:sz w:val="21"/>
        </w:rPr>
        <w:t>：</w:t>
      </w:r>
    </w:p>
    <w:p>
      <w:pPr>
        <w:pStyle w:val="ListBullet"/>
        <w:spacing w:after="60"/>
      </w:pPr>
      <w:r>
        <w:rPr>
          <w:rFonts w:ascii="宋体" w:hAnsi="宋体" w:eastAsia="宋体"/>
          <w:sz w:val="21"/>
        </w:rPr>
        <w:t>姓名：[待填写]</w:t>
      </w:r>
    </w:p>
    <w:p>
      <w:pPr>
        <w:pStyle w:val="ListBullet"/>
        <w:spacing w:after="60"/>
      </w:pPr>
      <w:r>
        <w:rPr>
          <w:rFonts w:ascii="宋体" w:hAnsi="宋体" w:eastAsia="宋体"/>
          <w:sz w:val="21"/>
        </w:rPr>
        <w:t>电话：[待填写]</w:t>
      </w:r>
    </w:p>
    <w:p>
      <w:pPr>
        <w:pStyle w:val="ListBullet"/>
        <w:spacing w:after="60"/>
      </w:pPr>
      <w:r>
        <w:rPr>
          <w:rFonts w:ascii="宋体" w:hAnsi="宋体" w:eastAsia="宋体"/>
          <w:sz w:val="21"/>
        </w:rPr>
        <w:t>邮箱：[待填写]</w:t>
      </w:r>
    </w:p>
    <w:p>
      <w:pPr>
        <w:spacing w:after="120" w:line="276" w:lineRule="auto"/>
      </w:pPr>
      <w:r>
        <w:rPr>
          <w:rFonts w:ascii="宋体" w:hAnsi="宋体" w:eastAsia="宋体"/>
          <w:b/>
          <w:sz w:val="21"/>
        </w:rPr>
        <w:t>专利类型</w:t>
      </w:r>
      <w:r>
        <w:rPr>
          <w:rFonts w:ascii="宋体" w:hAnsi="宋体" w:eastAsia="宋体"/>
          <w:sz w:val="21"/>
        </w:rPr>
        <w:t>：发明</w:t>
      </w:r>
    </w:p>
    <w:p>
      <w:pPr>
        <w:spacing w:after="160" w:before="160"/>
      </w:pPr>
      <w:r>
        <w:rPr>
          <w:rFonts w:ascii="宋体" w:hAnsi="宋体" w:eastAsia="宋体"/>
          <w:color w:val="AAAAAA"/>
          <w:sz w:val="16"/>
        </w:rPr>
        <w:t>────────────────────────────────</w:t>
      </w:r>
    </w:p>
    <w:p>
      <w:pPr>
        <w:pStyle w:val="Heading2"/>
      </w:pPr>
      <w:r>
        <w:rPr>
          <w:rFonts w:ascii="黑体" w:hAnsi="黑体" w:eastAsia="黑体"/>
        </w:rPr>
        <w:t>注意事项</w:t>
      </w:r>
    </w:p>
    <w:p>
      <w:pPr>
        <w:spacing w:after="120" w:line="276" w:lineRule="auto"/>
      </w:pPr>
      <w:r>
        <w:rPr>
          <w:rFonts w:ascii="宋体" w:hAnsi="宋体" w:eastAsia="宋体"/>
          <w:sz w:val="21"/>
        </w:rPr>
        <w:t>（1）交底书应使代理人能看懂，尤其是背景技术和详细技术方案，一定要写得全面、清楚、完整；</w:t>
      </w:r>
    </w:p>
    <w:p>
      <w:pPr>
        <w:spacing w:after="120" w:line="276" w:lineRule="auto"/>
      </w:pPr>
      <w:r>
        <w:rPr>
          <w:rFonts w:ascii="宋体" w:hAnsi="宋体" w:eastAsia="宋体"/>
          <w:sz w:val="21"/>
        </w:rPr>
        <w:t>（2）技术的公开程度，应以本领域普通技术人员不需付出创造性劳动即可进行实施为准。</w:t>
      </w:r>
    </w:p>
    <w:p>
      <w:pPr>
        <w:spacing w:after="120" w:line="276" w:lineRule="auto"/>
      </w:pPr>
      <w:r>
        <w:rPr>
          <w:rFonts w:ascii="宋体" w:hAnsi="宋体" w:eastAsia="宋体"/>
          <w:sz w:val="21"/>
        </w:rPr>
        <w:t>（3）在与代理人沟通时，对于代理人咨询的技术问题，应给予回答并认真讲解，并且按要求及时正确地补充相应技术材料。</w:t>
      </w:r>
    </w:p>
    <w:p>
      <w:pPr>
        <w:spacing w:after="160" w:before="160"/>
      </w:pPr>
      <w:r>
        <w:rPr>
          <w:rFonts w:ascii="宋体" w:hAnsi="宋体" w:eastAsia="宋体"/>
          <w:color w:val="AAAAAA"/>
          <w:sz w:val="16"/>
        </w:rPr>
        <w:t>────────────────────────────────</w:t>
      </w:r>
    </w:p>
    <w:p>
      <w:pPr>
        <w:pStyle w:val="Heading2"/>
      </w:pPr>
      <w:r>
        <w:rPr>
          <w:rFonts w:ascii="黑体" w:hAnsi="黑体" w:eastAsia="黑体"/>
        </w:rPr>
        <w:t>一、技术背景与现有技术</w:t>
      </w:r>
    </w:p>
    <w:p>
      <w:pPr>
        <w:pStyle w:val="Heading3"/>
      </w:pPr>
      <w:r>
        <w:rPr>
          <w:rFonts w:ascii="宋体" w:hAnsi="宋体" w:eastAsia="宋体"/>
        </w:rPr>
        <w:t>1.1 现有技术</w:t>
      </w:r>
    </w:p>
    <w:p>
      <w:pPr>
        <w:spacing w:after="120" w:line="276" w:lineRule="auto"/>
      </w:pPr>
      <w:r>
        <w:rPr>
          <w:rFonts w:ascii="宋体" w:hAnsi="宋体" w:eastAsia="宋体"/>
          <w:sz w:val="21"/>
        </w:rPr>
        <w:t>遥感影像的时序分析是监测地表动态变化的重要手段。现有技术按技术方向可分为以下几类。</w:t>
      </w:r>
    </w:p>
    <w:p>
      <w:pPr>
        <w:spacing w:after="120" w:line="276" w:lineRule="auto"/>
      </w:pPr>
      <w:r>
        <w:rPr>
          <w:rFonts w:ascii="宋体" w:hAnsi="宋体" w:eastAsia="宋体"/>
          <w:b/>
          <w:sz w:val="21"/>
        </w:rPr>
        <w:t>方向一：基于人工特征的传统遥感分析方法</w:t>
      </w:r>
    </w:p>
    <w:p>
      <w:pPr>
        <w:spacing w:after="120" w:line="276" w:lineRule="auto"/>
      </w:pPr>
      <w:r>
        <w:rPr>
          <w:rFonts w:ascii="宋体" w:hAnsi="宋体" w:eastAsia="宋体"/>
          <w:sz w:val="21"/>
        </w:rPr>
        <w:t>传统方法依赖人工设计的指数（如归一化植被指数 NDVI、归一化水体指数 NDWI）或监督分类器（如支持向量机、随机森林）进行时序分析。此类方法需要大量人工标注数据，对季节变化、云雨遮挡等干扰敏感，且特征设计依赖专家经验，难以覆盖复杂地物类型。</w:t>
      </w:r>
    </w:p>
    <w:p>
      <w:pPr>
        <w:spacing w:after="120" w:line="276" w:lineRule="auto"/>
      </w:pPr>
      <w:r>
        <w:rPr>
          <w:rFonts w:ascii="宋体" w:hAnsi="宋体" w:eastAsia="宋体"/>
          <w:sz w:val="21"/>
        </w:rPr>
        <w:t>来源：Richards, J. A. "Remote Sensing Digital Image Analysis". Springer, 2013.</w:t>
      </w:r>
    </w:p>
    <w:p>
      <w:pPr>
        <w:spacing w:after="120" w:line="276" w:lineRule="auto"/>
      </w:pPr>
      <w:r>
        <w:rPr>
          <w:rFonts w:ascii="宋体" w:hAnsi="宋体" w:eastAsia="宋体"/>
          <w:b/>
          <w:sz w:val="21"/>
        </w:rPr>
        <w:t>方向二：基于自监督学习的遥感基础模型</w:t>
      </w:r>
    </w:p>
    <w:p>
      <w:pPr>
        <w:spacing w:after="120" w:line="276" w:lineRule="auto"/>
      </w:pPr>
      <w:r>
        <w:rPr>
          <w:rFonts w:ascii="宋体" w:hAnsi="宋体" w:eastAsia="宋体"/>
          <w:sz w:val="21"/>
        </w:rPr>
        <w:t>近年来，自监督基础模型成为遥感领域的热点。代表性工作包括：</w:t>
      </w:r>
    </w:p>
    <w:p>
      <w:pPr>
        <w:spacing w:after="120" w:line="276" w:lineRule="auto"/>
      </w:pPr>
      <w:r>
        <w:rPr>
          <w:rFonts w:ascii="宋体" w:hAnsi="宋体" w:eastAsia="宋体"/>
          <w:sz w:val="21"/>
        </w:rPr>
        <w:t>（1）基于掩码自编码器（MAE）的方法，如 SatMAE、Prithvi，通过随机掩码时空 patch 并重建原始像素来学习表征。此类方法在预训练数据充足时效果显著，但在小数据场景下容易发生过拟合，且重建任务本身不直接约束嵌入的时间敏感性。</w:t>
      </w:r>
    </w:p>
    <w:p>
      <w:pPr>
        <w:spacing w:after="120" w:line="276" w:lineRule="auto"/>
      </w:pPr>
      <w:r>
        <w:rPr>
          <w:rFonts w:ascii="宋体" w:hAnsi="宋体" w:eastAsia="宋体"/>
          <w:sz w:val="21"/>
        </w:rPr>
        <w:t>（2）基于对比学习的方法，如 SeCo、CaCo，通过构造正负样本对来拉近相似样本、推远不相似样本。此类方法依赖大批量或记忆库存储负样本，在批次内样本高度相关时（如单一区域数据）对比效果受限。</w:t>
      </w:r>
    </w:p>
    <w:p>
      <w:pPr>
        <w:spacing w:after="120" w:line="276" w:lineRule="auto"/>
      </w:pPr>
      <w:r>
        <w:rPr>
          <w:rFonts w:ascii="宋体" w:hAnsi="宋体" w:eastAsia="宋体"/>
          <w:sz w:val="21"/>
        </w:rPr>
        <w:t>（3）基于非对比学习的方法，如 Barlow Twins、VICReg，通过去相关和方差约束防止嵌入坍缩。此类方法通常在 L2 归一化后的单位超球面上计算损失，梯度需经过归一化操作的雅可比矩阵变换，当嵌入趋于坍缩时梯度趋于消失。</w:t>
      </w:r>
    </w:p>
    <w:p>
      <w:pPr>
        <w:spacing w:after="120" w:line="276" w:lineRule="auto"/>
      </w:pPr>
      <w:r>
        <w:rPr>
          <w:rFonts w:ascii="宋体" w:hAnsi="宋体" w:eastAsia="宋体"/>
          <w:sz w:val="21"/>
        </w:rPr>
        <w:t>来源：</w:t>
      </w:r>
    </w:p>
    <w:p>
      <w:pPr>
        <w:pStyle w:val="ListBullet"/>
        <w:spacing w:after="60"/>
      </w:pPr>
      <w:r>
        <w:rPr>
          <w:rFonts w:ascii="宋体" w:hAnsi="宋体" w:eastAsia="宋体"/>
          <w:sz w:val="21"/>
        </w:rPr>
        <w:t>Cong et al. "SatMAE: Pre-training transformers for temporal and multi-spectral satellite imagery". NeurIPS 2022.</w:t>
      </w:r>
    </w:p>
    <w:p>
      <w:pPr>
        <w:pStyle w:val="ListBullet"/>
        <w:spacing w:after="60"/>
      </w:pPr>
      <w:r>
        <w:rPr>
          <w:rFonts w:ascii="宋体" w:hAnsi="宋体" w:eastAsia="宋体"/>
          <w:sz w:val="21"/>
        </w:rPr>
        <w:t>Bardes et al. "VICReg: Variance-invariance-covariance regularization for self-supervised learning". ICLR 2022.</w:t>
      </w:r>
    </w:p>
    <w:p>
      <w:pPr>
        <w:pStyle w:val="ListBullet"/>
        <w:spacing w:after="60"/>
      </w:pPr>
      <w:r>
        <w:rPr>
          <w:rFonts w:ascii="宋体" w:hAnsi="宋体" w:eastAsia="宋体"/>
          <w:sz w:val="21"/>
        </w:rPr>
        <w:t>Manas et al. "Seasonal Contrast: Unsupervised pre-training from uncurated remote sensing data". ICCV 2021.</w:t>
      </w:r>
    </w:p>
    <w:p>
      <w:pPr>
        <w:spacing w:after="120" w:line="276" w:lineRule="auto"/>
      </w:pPr>
      <w:r>
        <w:rPr>
          <w:rFonts w:ascii="宋体" w:hAnsi="宋体" w:eastAsia="宋体"/>
          <w:b/>
          <w:sz w:val="21"/>
        </w:rPr>
        <w:t>方向三：基于嵌入的变化检测方法</w:t>
      </w:r>
    </w:p>
    <w:p>
      <w:pPr>
        <w:spacing w:after="120" w:line="276" w:lineRule="auto"/>
      </w:pPr>
      <w:r>
        <w:rPr>
          <w:rFonts w:ascii="宋体" w:hAnsi="宋体" w:eastAsia="宋体"/>
          <w:sz w:val="21"/>
        </w:rPr>
        <w:t>现有变化检测方法可分为两类：端到端监督方法和基于预训练嵌入的方法。端到端方法（如 Siamese UNet、ChangeFormer）需要大量成对的变化标注数据。基于预训练嵌入的方法先学习通用地表表征，再通过嵌入距离度量变化，但现有嵌入方法的时间敏感性不足，导致变化检测精度受限。</w:t>
      </w:r>
    </w:p>
    <w:p>
      <w:pPr>
        <w:spacing w:after="120" w:line="276" w:lineRule="auto"/>
      </w:pPr>
      <w:r>
        <w:rPr>
          <w:rFonts w:ascii="宋体" w:hAnsi="宋体" w:eastAsia="宋体"/>
          <w:sz w:val="21"/>
        </w:rPr>
        <w:t>来源：</w:t>
      </w:r>
    </w:p>
    <w:p>
      <w:pPr>
        <w:pStyle w:val="ListBullet"/>
        <w:spacing w:after="60"/>
      </w:pPr>
      <w:r>
        <w:rPr>
          <w:rFonts w:ascii="宋体" w:hAnsi="宋体" w:eastAsia="宋体"/>
          <w:sz w:val="21"/>
        </w:rPr>
        <w:t>Bandara &amp; Patel. "ChangeFormer: A transformer-based siamese network for change detection". arXiv 2022.</w:t>
      </w:r>
    </w:p>
    <w:p>
      <w:pPr>
        <w:pStyle w:val="ListBullet"/>
        <w:spacing w:after="60"/>
      </w:pPr>
      <w:r>
        <w:rPr>
          <w:rFonts w:ascii="宋体" w:hAnsi="宋体" w:eastAsia="宋体"/>
          <w:sz w:val="21"/>
        </w:rPr>
        <w:t>Chen et al. "Remote sensing image change detection with transformers". IEEE TGRS 2021.</w:t>
      </w:r>
    </w:p>
    <w:p>
      <w:pPr>
        <w:spacing w:after="120" w:line="276" w:lineRule="auto"/>
      </w:pPr>
      <w:r>
        <w:rPr>
          <w:rFonts w:ascii="宋体" w:hAnsi="宋体" w:eastAsia="宋体"/>
          <w:b/>
          <w:sz w:val="21"/>
        </w:rPr>
        <w:t>本发明与现有技术的本质区别</w:t>
      </w:r>
    </w:p>
    <w:p>
      <w:pPr>
        <w:spacing w:after="120" w:line="276" w:lineRule="auto"/>
      </w:pPr>
      <w:r>
        <w:rPr>
          <w:rFonts w:ascii="宋体" w:hAnsi="宋体" w:eastAsia="宋体"/>
          <w:sz w:val="21"/>
        </w:rPr>
        <w:t>现有方法在以下三个层面存在根本性不足：</w:t>
      </w:r>
    </w:p>
    <w:p>
      <w:pPr>
        <w:spacing w:after="120" w:line="276" w:lineRule="auto"/>
      </w:pPr>
      <w:r>
        <w:rPr>
          <w:rFonts w:ascii="宋体" w:hAnsi="宋体" w:eastAsia="宋体"/>
          <w:sz w:val="21"/>
        </w:rPr>
        <w:t>第一，反坍缩损失的梯度传递问题。现有方法在 L2 归一化后的球面上计算反坍缩损失，归一化操作的雅可比矩阵在嵌入坍缩时接近奇异，导致反坍缩梯度消失，模型无法有效学习分散的嵌入。</w:t>
      </w:r>
    </w:p>
    <w:p>
      <w:pPr>
        <w:spacing w:after="120" w:line="276" w:lineRule="auto"/>
      </w:pPr>
      <w:r>
        <w:rPr>
          <w:rFonts w:ascii="宋体" w:hAnsi="宋体" w:eastAsia="宋体"/>
          <w:sz w:val="21"/>
        </w:rPr>
        <w:t>第二，时间敏感性的缺失。现有方法主要依赖重建任务隐式学习时序信息，缺乏显式约束迫使不同时间窗口的嵌入产生可区分的差异。嵌入向量对地表时间变化不敏感，无法直接用于无监督变化检测。</w:t>
      </w:r>
    </w:p>
    <w:p>
      <w:pPr>
        <w:spacing w:after="120" w:line="276" w:lineRule="auto"/>
      </w:pPr>
      <w:r>
        <w:rPr>
          <w:rFonts w:ascii="宋体" w:hAnsi="宋体" w:eastAsia="宋体"/>
          <w:sz w:val="21"/>
        </w:rPr>
        <w:t>第三，静态目标对时序学习的干扰。现有方法将高程数据、土地覆盖等静态数据与动态遥感数据同等对待作为重建目标，静态目标的时间无关性会干扰模型对时间动态的建模。</w:t>
      </w:r>
    </w:p>
    <w:p>
      <w:pPr>
        <w:pStyle w:val="Heading3"/>
      </w:pPr>
      <w:r>
        <w:rPr>
          <w:rFonts w:ascii="宋体" w:hAnsi="宋体" w:eastAsia="宋体"/>
        </w:rPr>
        <w:t>1.2 现有技术存在的缺点</w:t>
      </w:r>
    </w:p>
    <w:p>
      <w:pPr>
        <w:spacing w:after="120" w:line="276" w:lineRule="auto"/>
      </w:pPr>
      <w:r>
        <w:rPr>
          <w:rFonts w:ascii="宋体" w:hAnsi="宋体" w:eastAsia="宋体"/>
          <w:sz w:val="21"/>
        </w:rPr>
        <w:t>（1）L2 归一化导致反坍缩梯度消失。现有非对比方法在 L2 归一化后的单位超球面上计算均匀性、去相关等损失。设嵌入向量为 x，归一化后 u = x / ||x||，损失对 x 的梯度为 ∂L/∂x = (∂L/∂u) · (I - uu^T) / ||x||。当嵌入趋于坍缩时，(I - uu^T) 的行列式接近零，梯度急剧衰减，反坍缩损失失效。</w:t>
      </w:r>
    </w:p>
    <w:p>
      <w:pPr>
        <w:spacing w:after="120" w:line="276" w:lineRule="auto"/>
      </w:pPr>
      <w:r>
        <w:rPr>
          <w:rFonts w:ascii="宋体" w:hAnsi="宋体" w:eastAsia="宋体"/>
          <w:sz w:val="21"/>
        </w:rPr>
        <w:t>（2）时间敏感性不可控。现有方法的时间敏感性是重建任务的"副产物"，无法显式调控。不同时间窗口的嵌入相似度过高，cosine 相似度接近 1.0，变化信号被淹没。</w:t>
      </w:r>
    </w:p>
    <w:p>
      <w:pPr>
        <w:spacing w:after="120" w:line="276" w:lineRule="auto"/>
      </w:pPr>
      <w:r>
        <w:rPr>
          <w:rFonts w:ascii="宋体" w:hAnsi="宋体" w:eastAsia="宋体"/>
          <w:sz w:val="21"/>
        </w:rPr>
        <w:t>（3）小数据场景下批均匀性失效。批均匀性损失假设批次内样本来自不同地理区域、互不相关。在小数据场景（如单一城市数百个观测点）中，批次内样本高度相关，批均匀性的负样本假设不成立。</w:t>
      </w:r>
    </w:p>
    <w:p>
      <w:pPr>
        <w:spacing w:after="120" w:line="276" w:lineRule="auto"/>
      </w:pPr>
      <w:r>
        <w:rPr>
          <w:rFonts w:ascii="宋体" w:hAnsi="宋体" w:eastAsia="宋体"/>
          <w:sz w:val="21"/>
        </w:rPr>
        <w:t>（4）静态目标稀释时序信号。静态数据（如高程、土地覆盖）的重建不需要时间信息，模型可能学到"时间不重要"的偏差，降低对动态变化的敏感度。</w:t>
      </w:r>
    </w:p>
    <w:p>
      <w:pPr>
        <w:spacing w:after="160" w:before="160"/>
      </w:pPr>
      <w:r>
        <w:rPr>
          <w:rFonts w:ascii="宋体" w:hAnsi="宋体" w:eastAsia="宋体"/>
          <w:color w:val="AAAAAA"/>
          <w:sz w:val="16"/>
        </w:rPr>
        <w:t>────────────────────────────────</w:t>
      </w:r>
    </w:p>
    <w:p>
      <w:pPr>
        <w:pStyle w:val="Heading2"/>
      </w:pPr>
      <w:r>
        <w:rPr>
          <w:rFonts w:ascii="黑体" w:hAnsi="黑体" w:eastAsia="黑体"/>
        </w:rPr>
        <w:t>二、本发明所要解决的技术问题</w:t>
      </w:r>
    </w:p>
    <w:p>
      <w:pPr>
        <w:spacing w:after="120" w:line="276" w:lineRule="auto"/>
      </w:pPr>
      <w:r>
        <w:rPr>
          <w:rFonts w:ascii="宋体" w:hAnsi="宋体" w:eastAsia="宋体"/>
          <w:sz w:val="21"/>
        </w:rPr>
        <w:t>针对上述现有技术的缺点，本发明提出以下解决思路。</w:t>
      </w:r>
    </w:p>
    <w:p>
      <w:pPr>
        <w:spacing w:after="120" w:line="276" w:lineRule="auto"/>
      </w:pPr>
      <w:r>
        <w:rPr>
          <w:rFonts w:ascii="宋体" w:hAnsi="宋体" w:eastAsia="宋体"/>
          <w:sz w:val="21"/>
        </w:rPr>
        <w:t>（1）解决 L2 归一化导致的梯度消失问题。本发明在训练阶段跳过 L2 归一化，直接在原始幅度空间（pre-norm space）中计算全部反坍缩损失，确保反坍缩梯度始终非零。</w:t>
      </w:r>
    </w:p>
    <w:p>
      <w:pPr>
        <w:spacing w:after="120" w:line="276" w:lineRule="auto"/>
      </w:pPr>
      <w:r>
        <w:rPr>
          <w:rFonts w:ascii="宋体" w:hAnsi="宋体" w:eastAsia="宋体"/>
          <w:sz w:val="21"/>
        </w:rPr>
        <w:t>（2）解决时间敏感性不足的问题。本发明引入双窗口不重叠采样和时序对比损失，显式约束不同时间窗口的嵌入产生可区分的差异，使嵌入对地表时间变化敏感。</w:t>
      </w:r>
    </w:p>
    <w:p>
      <w:pPr>
        <w:spacing w:after="120" w:line="276" w:lineRule="auto"/>
      </w:pPr>
      <w:r>
        <w:rPr>
          <w:rFonts w:ascii="宋体" w:hAnsi="宋体" w:eastAsia="宋体"/>
          <w:sz w:val="21"/>
        </w:rPr>
        <w:t>（3）解决小数据场景下的反坍缩问题。本发明采用原始幅度空间中的 RBF 均匀性损失，不依赖批次内的负样本假设，在小数据场景下仍可有效防止坍缩。</w:t>
      </w:r>
    </w:p>
    <w:p>
      <w:pPr>
        <w:spacing w:after="120" w:line="276" w:lineRule="auto"/>
      </w:pPr>
      <w:r>
        <w:rPr>
          <w:rFonts w:ascii="宋体" w:hAnsi="宋体" w:eastAsia="宋体"/>
          <w:sz w:val="21"/>
        </w:rPr>
        <w:t>（4）解决静态目标干扰的问题。本发明降低静态数据的重建权重，使模型优先学习需要时间信息才能重建的动态目标。</w:t>
      </w:r>
    </w:p>
    <w:p>
      <w:pPr>
        <w:spacing w:after="160" w:before="160"/>
      </w:pPr>
      <w:r>
        <w:rPr>
          <w:rFonts w:ascii="宋体" w:hAnsi="宋体" w:eastAsia="宋体"/>
          <w:color w:val="AAAAAA"/>
          <w:sz w:val="16"/>
        </w:rPr>
        <w:t>────────────────────────────────</w:t>
      </w:r>
    </w:p>
    <w:p>
      <w:pPr>
        <w:pStyle w:val="Heading2"/>
      </w:pPr>
      <w:r>
        <w:rPr>
          <w:rFonts w:ascii="黑体" w:hAnsi="黑体" w:eastAsia="黑体"/>
        </w:rPr>
        <w:t>三、技术方案详细阐述</w:t>
      </w:r>
    </w:p>
    <w:p>
      <w:pPr>
        <w:pStyle w:val="Heading3"/>
      </w:pPr>
      <w:r>
        <w:rPr>
          <w:rFonts w:ascii="宋体" w:hAnsi="宋体" w:eastAsia="宋体"/>
        </w:rPr>
        <w:t>3.1 背景</w:t>
      </w:r>
    </w:p>
    <w:p>
      <w:pPr>
        <w:spacing w:after="120" w:line="276" w:lineRule="auto"/>
      </w:pPr>
      <w:r>
        <w:rPr>
          <w:rFonts w:ascii="宋体" w:hAnsi="宋体" w:eastAsia="宋体"/>
          <w:sz w:val="21"/>
        </w:rPr>
        <w:t>本发明面向多时相、多源遥感数据的自监督嵌入学习场景。应用场景包括但不限于：城市扩张监测、农田变化检测、水体范围动态追踪、森林覆盖变化分析等。</w:t>
      </w:r>
    </w:p>
    <w:p>
      <w:pPr>
        <w:spacing w:after="120" w:line="276" w:lineRule="auto"/>
      </w:pPr>
      <w:r>
        <w:rPr>
          <w:rFonts w:ascii="宋体" w:hAnsi="宋体" w:eastAsia="宋体"/>
          <w:sz w:val="21"/>
        </w:rPr>
        <w:t>本发明的核心创新在于：通过预归一化反坍缩方法和双窗口时序对比方法，训练出对时间变化敏感的嵌入向量，使同一地点不同时间窗口的嵌入具有可区分的差异，从而支持无监督变化检测。</w:t>
      </w:r>
    </w:p>
    <w:p>
      <w:pPr>
        <w:pStyle w:val="Heading3"/>
      </w:pPr>
      <w:r>
        <w:rPr>
          <w:rFonts w:ascii="宋体" w:hAnsi="宋体" w:eastAsia="宋体"/>
        </w:rPr>
        <w:t>3.2 系统框图</w:t>
      </w:r>
    </w:p>
    <w:p>
      <w:pPr>
        <w:keepLines/>
        <w:spacing w:after="120"/>
        <w:ind w:left="288"/>
      </w:pPr>
      <w:r>
        <w:rPr>
          <w:rFonts w:ascii="Consolas" w:hAnsi="Consolas" w:eastAsia="Consolas"/>
          <w:color w:val="202020"/>
          <w:sz w:val="18"/>
        </w:rPr>
        <w:t>flowchart TB</w:t>
        <w:br/>
        <w:t xml:space="preserve">  subgraph input["输入层"]</w:t>
        <w:br/>
        <w:t xml:space="preserve">    direction LR</w:t>
        <w:br/>
        <w:t xml:space="preserve">    S2["光学遥感数据"]</w:t>
        <w:br/>
        <w:t xml:space="preserve">    S1["SAR 遥感数据"]</w:t>
        <w:br/>
        <w:t xml:space="preserve">    LS["多光谱遥感数据"]</w:t>
        <w:br/>
        <w:t xml:space="preserve">  end</w:t>
        <w:br/>
        <w:t xml:space="preserve">  subgraph encoder["编码层"]</w:t>
        <w:br/>
        <w:t xml:space="preserve">    direction LR</w:t>
        <w:br/>
        <w:t xml:space="preserve">    SE["多源编码器"]</w:t>
        <w:br/>
        <w:t xml:space="preserve">    TE["时间编码器"]</w:t>
        <w:br/>
        <w:t xml:space="preserve">    STP["时空精度块 xN"]</w:t>
        <w:br/>
        <w:t xml:space="preserve">  end</w:t>
        <w:br/>
        <w:t xml:space="preserve">  subgraph bottleneck["嵌入层"]</w:t>
        <w:br/>
        <w:t xml:space="preserve">    VMF["VMF 瓶颈层"]</w:t>
        <w:br/>
        <w:t xml:space="preserve">  end</w:t>
        <w:br/>
        <w:t xml:space="preserve">  subgraph decoder["解码层"]</w:t>
        <w:br/>
        <w:t xml:space="preserve">    direction LR</w:t>
        <w:br/>
        <w:t xml:space="preserve">    D1["动态目标解码器"]</w:t>
        <w:br/>
        <w:t xml:space="preserve">    D2["静态目标解码器"]</w:t>
        <w:br/>
        <w:t xml:space="preserve">  end</w:t>
        <w:br/>
        <w:t xml:space="preserve">  subgraph losses["损失层"]</w:t>
        <w:br/>
        <w:t xml:space="preserve">    direction LR</w:t>
        <w:br/>
        <w:t xml:space="preserve">    R["重建损失"]</w:t>
        <w:br/>
        <w:t xml:space="preserve">    U["反坍缩损失"]</w:t>
        <w:br/>
        <w:t xml:space="preserve">    C["一致性损失"]</w:t>
        <w:br/>
        <w:t xml:space="preserve">    T["时序对比损失"]</w:t>
        <w:br/>
        <w:t xml:space="preserve">  end</w:t>
        <w:br/>
        <w:t xml:space="preserve">  S2 --&gt; SE</w:t>
        <w:br/>
        <w:t xml:space="preserve">  S1 --&gt; SE</w:t>
        <w:br/>
        <w:t xml:space="preserve">  LS --&gt; SE</w:t>
        <w:br/>
        <w:t xml:space="preserve">  SE --&gt; TE</w:t>
        <w:br/>
        <w:t xml:space="preserve">  TE --&gt; STP</w:t>
        <w:br/>
        <w:t xml:space="preserve">  STP --&gt; VMF</w:t>
        <w:br/>
        <w:t xml:space="preserve">  VMF --&gt; D1</w:t>
        <w:br/>
        <w:t xml:space="preserve">  VMF --&gt; D2</w:t>
        <w:br/>
        <w:t xml:space="preserve">  D1 --&gt; R</w:t>
        <w:br/>
        <w:t xml:space="preserve">  D2 --&gt; R</w:t>
        <w:br/>
        <w:t xml:space="preserve">  VMF --&gt; U</w:t>
        <w:br/>
        <w:t xml:space="preserve">  VMF --&gt; C</w:t>
        <w:br/>
        <w:t xml:space="preserve">  VMF --&gt; T</w:t>
      </w:r>
    </w:p>
    <w:p>
      <w:pPr>
        <w:pStyle w:val="Heading3"/>
      </w:pPr>
      <w:r>
        <w:rPr>
          <w:rFonts w:ascii="宋体" w:hAnsi="宋体" w:eastAsia="宋体"/>
        </w:rPr>
        <w:t>3.3 模块功能说明</w:t>
      </w:r>
    </w:p>
    <w:p>
      <w:pPr>
        <w:spacing w:after="120" w:line="276" w:lineRule="auto"/>
      </w:pPr>
      <w:r>
        <w:rPr>
          <w:rFonts w:ascii="宋体" w:hAnsi="宋体" w:eastAsia="宋体"/>
          <w:b/>
          <w:sz w:val="21"/>
        </w:rPr>
        <w:t>多源编码器</w:t>
      </w:r>
      <w:r>
        <w:rPr>
          <w:rFonts w:ascii="宋体" w:hAnsi="宋体" w:eastAsia="宋体"/>
          <w:sz w:val="21"/>
        </w:rPr>
        <w:t>：分别对光学遥感数据、SAR 遥感数据、多光谱遥感数据进行独立编码，将各源的通道和空间分辨率映射到统一的潜在空间。各源采用独立的卷积下采样 stem，保留源特定的光谱特征。</w:t>
      </w:r>
    </w:p>
    <w:p>
      <w:pPr>
        <w:spacing w:after="120" w:line="276" w:lineRule="auto"/>
      </w:pPr>
      <w:r>
        <w:rPr>
          <w:rFonts w:ascii="宋体" w:hAnsi="宋体" w:eastAsia="宋体"/>
          <w:b/>
          <w:sz w:val="21"/>
        </w:rPr>
        <w:t>时间编码器</w:t>
      </w:r>
      <w:r>
        <w:rPr>
          <w:rFonts w:ascii="宋体" w:hAnsi="宋体" w:eastAsia="宋体"/>
          <w:sz w:val="21"/>
        </w:rPr>
        <w:t>：将原始时间戳（毫秒级）转换为正弦时间码，与空间特征拼接后注入模型，使模型能够感知观测时间的先后顺序和间隔。</w:t>
      </w:r>
    </w:p>
    <w:p>
      <w:pPr>
        <w:spacing w:after="120" w:line="276" w:lineRule="auto"/>
      </w:pPr>
      <w:r>
        <w:rPr>
          <w:rFonts w:ascii="宋体" w:hAnsi="宋体" w:eastAsia="宋体"/>
          <w:b/>
          <w:sz w:val="21"/>
        </w:rPr>
        <w:t>时空精度块（STP Block）</w:t>
      </w:r>
      <w:r>
        <w:rPr>
          <w:rFonts w:ascii="宋体" w:hAnsi="宋体" w:eastAsia="宋体"/>
          <w:sz w:val="21"/>
        </w:rPr>
        <w:t>：采用三路并行算子处理编码后的特征。时间轴自注意力沿时间维度建模时序依赖；空间自注意力捕捉局部与非局部的空间长距离依赖；精度保持卷积保留高空间分辨率的局部细节。三路输出通过学习的空间金字塔重采样进行信息融合。</w:t>
      </w:r>
    </w:p>
    <w:p>
      <w:pPr>
        <w:spacing w:after="120" w:line="276" w:lineRule="auto"/>
      </w:pPr>
      <w:r>
        <w:rPr>
          <w:rFonts w:ascii="宋体" w:hAnsi="宋体" w:eastAsia="宋体"/>
          <w:b/>
          <w:sz w:val="21"/>
        </w:rPr>
        <w:t>VMF 瓶颈层</w:t>
      </w:r>
      <w:r>
        <w:rPr>
          <w:rFonts w:ascii="宋体" w:hAnsi="宋体" w:eastAsia="宋体"/>
          <w:sz w:val="21"/>
        </w:rPr>
        <w:t>：将 STP 块输出的特征图通过 1×1 卷积压缩到嵌入维度。训练阶段保留原始幅度（skip L2），推理阶段施加 L2 归一化并叠加 von Mises-Fisher 噪声，输出单位球面上的嵌入向量。</w:t>
      </w:r>
    </w:p>
    <w:p>
      <w:pPr>
        <w:spacing w:after="120" w:line="276" w:lineRule="auto"/>
      </w:pPr>
      <w:r>
        <w:rPr>
          <w:rFonts w:ascii="宋体" w:hAnsi="宋体" w:eastAsia="宋体"/>
          <w:b/>
          <w:sz w:val="21"/>
        </w:rPr>
        <w:t>条件解码器</w:t>
      </w:r>
      <w:r>
        <w:rPr>
          <w:rFonts w:ascii="宋体" w:hAnsi="宋体" w:eastAsia="宋体"/>
          <w:sz w:val="21"/>
        </w:rPr>
        <w:t>：为每个目标源配备源特定的隐式解码器（两层 MLP），从嵌入向量中重建原始输入帧。动态目标（光学、SAR、多光谱）使用完整权重，静态目标（高程、土地覆盖）使用降低后的权重。</w:t>
      </w:r>
    </w:p>
    <w:p>
      <w:pPr>
        <w:pStyle w:val="Heading3"/>
      </w:pPr>
      <w:r>
        <w:rPr>
          <w:rFonts w:ascii="宋体" w:hAnsi="宋体" w:eastAsia="宋体"/>
        </w:rPr>
        <w:t>3.4 系统流程说明</w:t>
      </w:r>
    </w:p>
    <w:p>
      <w:pPr>
        <w:pStyle w:val="Heading4"/>
      </w:pPr>
      <w:r>
        <w:rPr>
          <w:rFonts w:ascii="宋体" w:hAnsi="宋体" w:eastAsia="宋体"/>
        </w:rPr>
        <w:t>流程图</w:t>
      </w:r>
    </w:p>
    <w:p>
      <w:pPr>
        <w:keepLines/>
        <w:spacing w:after="120"/>
        <w:ind w:left="288"/>
      </w:pPr>
      <w:r>
        <w:rPr>
          <w:rFonts w:ascii="Consolas" w:hAnsi="Consolas" w:eastAsia="Consolas"/>
          <w:color w:val="202020"/>
          <w:sz w:val="18"/>
        </w:rPr>
        <w:t>flowchart TD</w:t>
        <w:br/>
        <w:t xml:space="preserve">    A["输入多源时序遥感数据"] --&gt; B["多源独立编码"]</w:t>
        <w:br/>
        <w:t xml:space="preserve">    B --&gt; C["注入时间编码"]</w:t>
        <w:br/>
        <w:t xml:space="preserve">    C --&gt; D["STP 块特征提取"]</w:t>
        <w:br/>
        <w:t xml:space="preserve">    D --&gt; E["VMF 瓶颈层压缩"]</w:t>
        <w:br/>
        <w:t xml:space="preserve">    E --&gt; F{"训练阶段?"}</w:t>
        <w:br/>
        <w:t xml:space="preserve">    F --&gt;|是| G["保留原始幅度"]</w:t>
        <w:br/>
        <w:t xml:space="preserve">    F --&gt;|否| H["L2 归一化 + VMF 噪声"]</w:t>
        <w:br/>
        <w:t xml:space="preserve">    G --&gt; I["计算反坍缩损失"]</w:t>
        <w:br/>
        <w:t xml:space="preserve">    G --&gt; J["双窗口时序对比"]</w:t>
        <w:br/>
        <w:t xml:space="preserve">    G --&gt; K["教师-学生一致性"]</w:t>
        <w:br/>
        <w:t xml:space="preserve">    H --&gt; L["输出嵌入向量"]</w:t>
        <w:br/>
        <w:t xml:space="preserve">    E --&gt; M["条件解码器重建"]</w:t>
        <w:br/>
        <w:t xml:space="preserve">    M --&gt; N["计算重建损失"]</w:t>
        <w:br/>
        <w:t xml:space="preserve">    I --&gt; O["反向传播优化"]</w:t>
        <w:br/>
        <w:t xml:space="preserve">    J --&gt; O</w:t>
        <w:br/>
        <w:t xml:space="preserve">    K --&gt; O</w:t>
        <w:br/>
        <w:t xml:space="preserve">    N --&gt; O</w:t>
      </w:r>
    </w:p>
    <w:p>
      <w:pPr>
        <w:pStyle w:val="Heading4"/>
      </w:pPr>
      <w:r>
        <w:rPr>
          <w:rFonts w:ascii="宋体" w:hAnsi="宋体" w:eastAsia="宋体"/>
        </w:rPr>
        <w:t>流程说明</w:t>
      </w:r>
    </w:p>
    <w:p>
      <w:pPr>
        <w:spacing w:after="120" w:line="276" w:lineRule="auto"/>
      </w:pPr>
      <w:r>
        <w:rPr>
          <w:rFonts w:ascii="宋体" w:hAnsi="宋体" w:eastAsia="宋体"/>
          <w:sz w:val="21"/>
        </w:rPr>
        <w:t>步骤一至步骤四为数据输入与编码阶段。多源时序遥感数据分别经过各自独立的编码器进行下采样和特征提取，时间编码器将时间戳信息注入特征中，STP 块通过三路并行算子融合时空信息。</w:t>
      </w:r>
    </w:p>
    <w:p>
      <w:pPr>
        <w:spacing w:after="120" w:line="276" w:lineRule="auto"/>
      </w:pPr>
      <w:r>
        <w:rPr>
          <w:rFonts w:ascii="宋体" w:hAnsi="宋体" w:eastAsia="宋体"/>
          <w:sz w:val="21"/>
        </w:rPr>
        <w:t>步骤五为嵌入生成阶段。VMF 瓶颈层将融合后的特征压缩到嵌入维度。训练时保留原始幅度，推理时进行 L2 归一化。</w:t>
      </w:r>
    </w:p>
    <w:p>
      <w:pPr>
        <w:spacing w:after="120" w:line="276" w:lineRule="auto"/>
      </w:pPr>
      <w:r>
        <w:rPr>
          <w:rFonts w:ascii="宋体" w:hAnsi="宋体" w:eastAsia="宋体"/>
          <w:sz w:val="21"/>
        </w:rPr>
        <w:t>步骤六至步骤九为损失计算阶段。反坍缩损失在原始幅度空间中计算；双窗口时序对比损失对两个不重叠时间窗口的嵌入进行约束；教师-学生一致性损失要求扰动输入与完整输入产生相似的嵌入；重建损失评估解码质量。</w:t>
      </w:r>
    </w:p>
    <w:p>
      <w:pPr>
        <w:spacing w:after="120" w:line="276" w:lineRule="auto"/>
      </w:pPr>
      <w:r>
        <w:rPr>
          <w:rFonts w:ascii="宋体" w:hAnsi="宋体" w:eastAsia="宋体"/>
          <w:sz w:val="21"/>
        </w:rPr>
        <w:t>步骤十为优化阶段。各损失加权求和后通过反向传播更新模型参数。</w:t>
      </w:r>
    </w:p>
    <w:p>
      <w:pPr>
        <w:pStyle w:val="Heading4"/>
      </w:pPr>
      <w:r>
        <w:rPr>
          <w:rFonts w:ascii="宋体" w:hAnsi="宋体" w:eastAsia="宋体"/>
        </w:rPr>
        <w:t>3.4.1 预归一化反坍缩方法</w:t>
      </w:r>
    </w:p>
    <w:p>
      <w:pPr>
        <w:spacing w:after="120" w:line="276" w:lineRule="auto"/>
      </w:pPr>
      <w:r>
        <w:rPr>
          <w:rFonts w:ascii="宋体" w:hAnsi="宋体" w:eastAsia="宋体"/>
          <w:sz w:val="21"/>
        </w:rPr>
        <w:t>本发明的核心创新之一是在原始幅度空间中计算反坍缩损失，避免 L2 归一化导致的梯度消失。</w:t>
      </w:r>
    </w:p>
    <w:p>
      <w:pPr>
        <w:spacing w:after="120" w:line="276" w:lineRule="auto"/>
      </w:pPr>
      <w:r>
        <w:rPr>
          <w:rFonts w:ascii="宋体" w:hAnsi="宋体" w:eastAsia="宋体"/>
          <w:sz w:val="21"/>
        </w:rPr>
        <w:t>具体而言，对嵌入向量 x 进行零均值和单位方差标准化后，在欧氏空间中计算成对 RBF 核的均匀性损失：</w:t>
      </w:r>
    </w:p>
    <w:p>
      <w:pPr>
        <w:spacing w:after="120" w:line="276" w:lineRule="auto"/>
      </w:pPr>
      <w:r>
        <w:rPr>
          <w:rFonts w:ascii="宋体" w:hAnsi="宋体" w:eastAsia="宋体"/>
          <w:sz w:val="21"/>
        </w:rPr>
        <w:t>L_uniform = logsumexp(-t * ||xi - xj||^2) - log(N_pairs)</w:t>
      </w:r>
    </w:p>
    <w:p>
      <w:pPr>
        <w:spacing w:after="120" w:line="276" w:lineRule="auto"/>
      </w:pPr>
      <w:r>
        <w:rPr>
          <w:rFonts w:ascii="宋体" w:hAnsi="宋体" w:eastAsia="宋体"/>
          <w:sz w:val="21"/>
        </w:rPr>
        <w:t>其中自适应温度参数 t = 2/D，D 为嵌入维度。该参数确保指数项在正常数值范围内，梯度永不消失。</w:t>
      </w:r>
    </w:p>
    <w:p>
      <w:pPr>
        <w:spacing w:after="120" w:line="276" w:lineRule="auto"/>
      </w:pPr>
      <w:r>
        <w:rPr>
          <w:rFonts w:ascii="宋体" w:hAnsi="宋体" w:eastAsia="宋体"/>
          <w:sz w:val="21"/>
        </w:rPr>
        <w:t>同时采用三重辅助约束：</w:t>
      </w:r>
    </w:p>
    <w:p>
      <w:pPr>
        <w:spacing w:after="120" w:line="276" w:lineRule="auto"/>
      </w:pPr>
      <w:r>
        <w:rPr>
          <w:rFonts w:ascii="宋体" w:hAnsi="宋体" w:eastAsia="宋体"/>
          <w:sz w:val="21"/>
        </w:rPr>
        <w:t>去相关损失：计算 x 维度间的互相关矩阵，最小化非对角元素的平方和，同时使对角元素接近 1。</w:t>
      </w:r>
    </w:p>
    <w:p>
      <w:pPr>
        <w:spacing w:after="120" w:line="276" w:lineRule="auto"/>
      </w:pPr>
      <w:r>
        <w:rPr>
          <w:rFonts w:ascii="宋体" w:hAnsi="宋体" w:eastAsia="宋体"/>
          <w:sz w:val="21"/>
        </w:rPr>
        <w:t>方差正则化：对每个维度的标准差施加 hinge 约束，低于阈值时产生惩罚，防止维度坍缩到零点。</w:t>
      </w:r>
    </w:p>
    <w:p>
      <w:pPr>
        <w:spacing w:after="120" w:line="276" w:lineRule="auto"/>
      </w:pPr>
      <w:r>
        <w:rPr>
          <w:rFonts w:ascii="宋体" w:hAnsi="宋体" w:eastAsia="宋体"/>
          <w:sz w:val="21"/>
        </w:rPr>
        <w:t>瓶颈正交性损失：对 1×1 卷积的权重矩阵施加正交约束，在嵌入坍缩时仍可通过权重梯度提供非零信号。</w:t>
      </w:r>
    </w:p>
    <w:p>
      <w:pPr>
        <w:pStyle w:val="Heading4"/>
      </w:pPr>
      <w:r>
        <w:rPr>
          <w:rFonts w:ascii="宋体" w:hAnsi="宋体" w:eastAsia="宋体"/>
        </w:rPr>
        <w:t>3.4.2 双窗口时序对比方法</w:t>
      </w:r>
    </w:p>
    <w:p>
      <w:pPr>
        <w:spacing w:after="120" w:line="276" w:lineRule="auto"/>
      </w:pPr>
      <w:r>
        <w:rPr>
          <w:rFonts w:ascii="宋体" w:hAnsi="宋体" w:eastAsia="宋体"/>
          <w:sz w:val="21"/>
        </w:rPr>
        <w:t>本发明的另一核心创新是引入双窗口采样和时序对比损失，显式约束嵌入对时间变化敏感。</w:t>
      </w:r>
    </w:p>
    <w:p>
      <w:pPr>
        <w:spacing w:after="120" w:line="276" w:lineRule="auto"/>
      </w:pPr>
      <w:r>
        <w:rPr>
          <w:rFonts w:ascii="宋体" w:hAnsi="宋体" w:eastAsia="宋体"/>
          <w:sz w:val="21"/>
        </w:rPr>
        <w:t>双窗口采样：对同一地理区域抽取两个不重叠的时间窗口，分别输入模型得到嵌入 emb_w1 和 emb_w2。</w:t>
      </w:r>
    </w:p>
    <w:p>
      <w:pPr>
        <w:spacing w:after="120" w:line="276" w:lineRule="auto"/>
      </w:pPr>
      <w:r>
        <w:rPr>
          <w:rFonts w:ascii="宋体" w:hAnsi="宋体" w:eastAsia="宋体"/>
          <w:sz w:val="21"/>
        </w:rPr>
        <w:t>全局时序对比损失：对 emb_w1 和 emb_w2 的全局平均向量计算余弦相似度，使用 hinge 损失约束相似度低于目标阈值（如 0.2）。该阈值表示即使同一地点，不同时间窗口的嵌入也应保持足够差异。</w:t>
      </w:r>
    </w:p>
    <w:p>
      <w:pPr>
        <w:spacing w:after="120" w:line="276" w:lineRule="auto"/>
      </w:pPr>
      <w:r>
        <w:rPr>
          <w:rFonts w:ascii="宋体" w:hAnsi="宋体" w:eastAsia="宋体"/>
          <w:sz w:val="21"/>
        </w:rPr>
        <w:t>像素级时序损失：在 emb_w1 和 emb_w2 的每个空间位置上独立计算余弦相似度，采用自适应空间加权策略：变化区域（图像差异大）要求嵌入差异更大，未变化区域要求嵌入保持相似。</w:t>
      </w:r>
    </w:p>
    <w:p>
      <w:pPr>
        <w:spacing w:after="120" w:line="276" w:lineRule="auto"/>
      </w:pPr>
      <w:r>
        <w:rPr>
          <w:rFonts w:ascii="宋体" w:hAnsi="宋体" w:eastAsia="宋体"/>
          <w:sz w:val="21"/>
        </w:rPr>
        <w:t>间隔感知时序损失：根据两个窗口的时间间隔动态调整目标相似度。间隔越小要求相似度越高，间隔越大允许差异越大。</w:t>
      </w:r>
    </w:p>
    <w:p>
      <w:pPr>
        <w:spacing w:after="120" w:line="276" w:lineRule="auto"/>
      </w:pPr>
      <w:r>
        <w:rPr>
          <w:rFonts w:ascii="宋体" w:hAnsi="宋体" w:eastAsia="宋体"/>
          <w:sz w:val="21"/>
        </w:rPr>
        <w:t>反斜对角 InfoNCE 损失：将批次中对角线位置的样本对（同一地点的两个窗口）视为负样本，鼓励批次内不同地点的窗口嵌入互相区分。</w:t>
      </w:r>
    </w:p>
    <w:p>
      <w:pPr>
        <w:pStyle w:val="Heading4"/>
      </w:pPr>
      <w:r>
        <w:rPr>
          <w:rFonts w:ascii="宋体" w:hAnsi="宋体" w:eastAsia="宋体"/>
        </w:rPr>
        <w:t>3.4.3 教师-学生一致性机制</w:t>
      </w:r>
    </w:p>
    <w:p>
      <w:pPr>
        <w:spacing w:after="120" w:line="276" w:lineRule="auto"/>
      </w:pPr>
      <w:r>
        <w:rPr>
          <w:rFonts w:ascii="宋体" w:hAnsi="宋体" w:eastAsia="宋体"/>
          <w:sz w:val="21"/>
        </w:rPr>
        <w:t>训练时采用教师-学生框架。教师模型接收完整输入序列，学生模型接收扰动输入。一致性损失要求教师嵌入与学生嵌入的余弦相似度接近 1。</w:t>
      </w:r>
    </w:p>
    <w:p>
      <w:pPr>
        <w:spacing w:after="120" w:line="276" w:lineRule="auto"/>
      </w:pPr>
      <w:r>
        <w:rPr>
          <w:rFonts w:ascii="宋体" w:hAnsi="宋体" w:eastAsia="宋体"/>
          <w:sz w:val="21"/>
        </w:rPr>
        <w:t>扰动策略包括三层：源级别丢弃（SAR 和多光谱以 30% 概率完全丢弃）；帧级别丢弃（光学以 50% 概率随机丢弃帧，其他源以 30% 概率丢弃）；前后截断（以 25% 概率丢弃序列的前半段或后半段）。</w:t>
      </w:r>
    </w:p>
    <w:p>
      <w:pPr>
        <w:pStyle w:val="Heading4"/>
      </w:pPr>
      <w:r>
        <w:rPr>
          <w:rFonts w:ascii="宋体" w:hAnsi="宋体" w:eastAsia="宋体"/>
        </w:rPr>
        <w:t>3.4.4 静态目标弱化策略</w:t>
      </w:r>
    </w:p>
    <w:p>
      <w:pPr>
        <w:spacing w:after="120" w:line="276" w:lineRule="auto"/>
      </w:pPr>
      <w:r>
        <w:rPr>
          <w:rFonts w:ascii="宋体" w:hAnsi="宋体" w:eastAsia="宋体"/>
          <w:sz w:val="21"/>
        </w:rPr>
        <w:t>将高程等静态目标的重建权重降低至动态目标的 5%，使模型优先学习需要时间信息才能重建的动态目标，减少对时间无关特征的依赖。</w:t>
      </w:r>
    </w:p>
    <w:p>
      <w:pPr>
        <w:pStyle w:val="Heading3"/>
      </w:pPr>
      <w:r>
        <w:rPr>
          <w:rFonts w:ascii="宋体" w:hAnsi="宋体" w:eastAsia="宋体"/>
        </w:rPr>
        <w:t>3.5 关键技术参数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宋体" w:hAnsi="宋体" w:eastAsia="宋体"/>
                <w:sz w:val="20"/>
              </w:rPr>
            </w:r>
            <w:r>
              <w:rPr>
                <w:rFonts w:ascii="宋体" w:hAnsi="宋体" w:eastAsia="宋体"/>
                <w:sz w:val="20"/>
              </w:rPr>
              <w:t>参数</w:t>
            </w:r>
          </w:p>
        </w:tc>
        <w:tc>
          <w:tcPr>
            <w:tcW w:type="dxa" w:w="2160"/>
          </w:tcPr>
          <w:p>
            <w:r>
              <w:rPr>
                <w:rFonts w:ascii="宋体" w:hAnsi="宋体" w:eastAsia="宋体"/>
                <w:sz w:val="20"/>
              </w:rPr>
            </w:r>
            <w:r>
              <w:rPr>
                <w:rFonts w:ascii="宋体" w:hAnsi="宋体" w:eastAsia="宋体"/>
                <w:sz w:val="20"/>
              </w:rPr>
              <w:t>含义</w:t>
            </w:r>
          </w:p>
        </w:tc>
        <w:tc>
          <w:tcPr>
            <w:tcW w:type="dxa" w:w="2160"/>
          </w:tcPr>
          <w:p>
            <w:r>
              <w:rPr>
                <w:rFonts w:ascii="宋体" w:hAnsi="宋体" w:eastAsia="宋体"/>
                <w:sz w:val="20"/>
              </w:rPr>
            </w:r>
            <w:r>
              <w:rPr>
                <w:rFonts w:ascii="宋体" w:hAnsi="宋体" w:eastAsia="宋体"/>
                <w:sz w:val="20"/>
              </w:rPr>
              <w:t>取值范围</w:t>
            </w:r>
          </w:p>
        </w:tc>
        <w:tc>
          <w:tcPr>
            <w:tcW w:type="dxa" w:w="2160"/>
          </w:tcPr>
          <w:p>
            <w:r>
              <w:rPr>
                <w:rFonts w:ascii="宋体" w:hAnsi="宋体" w:eastAsia="宋体"/>
                <w:sz w:val="20"/>
              </w:rPr>
            </w:r>
            <w:r>
              <w:rPr>
                <w:rFonts w:ascii="宋体" w:hAnsi="宋体" w:eastAsia="宋体"/>
                <w:sz w:val="20"/>
              </w:rPr>
              <w:t>实施例</w:t>
            </w:r>
          </w:p>
        </w:tc>
      </w:tr>
      <w:tr>
        <w:tc>
          <w:tcPr>
            <w:tcW w:type="dxa" w:w="2160"/>
          </w:tcPr>
          <w:p>
            <w:r>
              <w:rPr>
                <w:rFonts w:ascii="宋体" w:hAnsi="宋体" w:eastAsia="宋体"/>
                <w:sz w:val="20"/>
              </w:rPr>
            </w:r>
            <w:r>
              <w:rPr>
                <w:rFonts w:ascii="宋体" w:hAnsi="宋体" w:eastAsia="宋体"/>
                <w:sz w:val="20"/>
              </w:rPr>
              <w:t>嵌入维度 D</w:t>
            </w:r>
          </w:p>
        </w:tc>
        <w:tc>
          <w:tcPr>
            <w:tcW w:type="dxa" w:w="2160"/>
          </w:tcPr>
          <w:p>
            <w:r>
              <w:rPr>
                <w:rFonts w:ascii="宋体" w:hAnsi="宋体" w:eastAsia="宋体"/>
                <w:sz w:val="20"/>
              </w:rPr>
            </w:r>
            <w:r>
              <w:rPr>
                <w:rFonts w:ascii="宋体" w:hAnsi="宋体" w:eastAsia="宋体"/>
                <w:sz w:val="20"/>
              </w:rPr>
              <w:t>VMF 瓶颈输出维度</w:t>
            </w:r>
          </w:p>
        </w:tc>
        <w:tc>
          <w:tcPr>
            <w:tcW w:type="dxa" w:w="2160"/>
          </w:tcPr>
          <w:p>
            <w:r>
              <w:rPr>
                <w:rFonts w:ascii="宋体" w:hAnsi="宋体" w:eastAsia="宋体"/>
                <w:sz w:val="20"/>
              </w:rPr>
            </w:r>
            <w:r>
              <w:rPr>
                <w:rFonts w:ascii="宋体" w:hAnsi="宋体" w:eastAsia="宋体"/>
                <w:sz w:val="20"/>
              </w:rPr>
              <w:t>32-256</w:t>
            </w:r>
          </w:p>
        </w:tc>
        <w:tc>
          <w:tcPr>
            <w:tcW w:type="dxa" w:w="2160"/>
          </w:tcPr>
          <w:p>
            <w:r>
              <w:rPr>
                <w:rFonts w:ascii="宋体" w:hAnsi="宋体" w:eastAsia="宋体"/>
                <w:sz w:val="20"/>
              </w:rPr>
            </w:r>
            <w:r>
              <w:rPr>
                <w:rFonts w:ascii="宋体" w:hAnsi="宋体" w:eastAsia="宋体"/>
                <w:sz w:val="20"/>
              </w:rPr>
              <w:t>64</w:t>
            </w:r>
          </w:p>
        </w:tc>
      </w:tr>
      <w:tr>
        <w:tc>
          <w:tcPr>
            <w:tcW w:type="dxa" w:w="2160"/>
          </w:tcPr>
          <w:p>
            <w:r>
              <w:rPr>
                <w:rFonts w:ascii="宋体" w:hAnsi="宋体" w:eastAsia="宋体"/>
                <w:sz w:val="20"/>
              </w:rPr>
            </w:r>
            <w:r>
              <w:rPr>
                <w:rFonts w:ascii="宋体" w:hAnsi="宋体" w:eastAsia="宋体"/>
                <w:sz w:val="20"/>
              </w:rPr>
              <w:t>VMF 浓度 κ</w:t>
            </w:r>
          </w:p>
        </w:tc>
        <w:tc>
          <w:tcPr>
            <w:tcW w:type="dxa" w:w="2160"/>
          </w:tcPr>
          <w:p>
            <w:r>
              <w:rPr>
                <w:rFonts w:ascii="宋体" w:hAnsi="宋体" w:eastAsia="宋体"/>
                <w:sz w:val="20"/>
              </w:rPr>
            </w:r>
            <w:r>
              <w:rPr>
                <w:rFonts w:ascii="宋体" w:hAnsi="宋体" w:eastAsia="宋体"/>
                <w:sz w:val="20"/>
              </w:rPr>
              <w:t>控制嵌入分布集中度</w:t>
            </w:r>
          </w:p>
        </w:tc>
        <w:tc>
          <w:tcPr>
            <w:tcW w:type="dxa" w:w="2160"/>
          </w:tcPr>
          <w:p>
            <w:r>
              <w:rPr>
                <w:rFonts w:ascii="宋体" w:hAnsi="宋体" w:eastAsia="宋体"/>
                <w:sz w:val="20"/>
              </w:rPr>
            </w:r>
            <w:r>
              <w:rPr>
                <w:rFonts w:ascii="宋体" w:hAnsi="宋体" w:eastAsia="宋体"/>
                <w:sz w:val="20"/>
              </w:rPr>
              <w:t>1000-10000</w:t>
            </w:r>
          </w:p>
        </w:tc>
        <w:tc>
          <w:tcPr>
            <w:tcW w:type="dxa" w:w="2160"/>
          </w:tcPr>
          <w:p>
            <w:r>
              <w:rPr>
                <w:rFonts w:ascii="宋体" w:hAnsi="宋体" w:eastAsia="宋体"/>
                <w:sz w:val="20"/>
              </w:rPr>
            </w:r>
            <w:r>
              <w:rPr>
                <w:rFonts w:ascii="宋体" w:hAnsi="宋体" w:eastAsia="宋体"/>
                <w:sz w:val="20"/>
              </w:rPr>
              <w:t>5000</w:t>
            </w:r>
          </w:p>
        </w:tc>
      </w:tr>
      <w:tr>
        <w:tc>
          <w:tcPr>
            <w:tcW w:type="dxa" w:w="2160"/>
          </w:tcPr>
          <w:p>
            <w:r>
              <w:rPr>
                <w:rFonts w:ascii="宋体" w:hAnsi="宋体" w:eastAsia="宋体"/>
                <w:sz w:val="20"/>
              </w:rPr>
            </w:r>
            <w:r>
              <w:rPr>
                <w:rFonts w:ascii="宋体" w:hAnsi="宋体" w:eastAsia="宋体"/>
                <w:sz w:val="20"/>
              </w:rPr>
              <w:t>自适应温度 t</w:t>
            </w:r>
          </w:p>
        </w:tc>
        <w:tc>
          <w:tcPr>
            <w:tcW w:type="dxa" w:w="2160"/>
          </w:tcPr>
          <w:p>
            <w:r>
              <w:rPr>
                <w:rFonts w:ascii="宋体" w:hAnsi="宋体" w:eastAsia="宋体"/>
                <w:sz w:val="20"/>
              </w:rPr>
            </w:r>
            <w:r>
              <w:rPr>
                <w:rFonts w:ascii="宋体" w:hAnsi="宋体" w:eastAsia="宋体"/>
                <w:sz w:val="20"/>
              </w:rPr>
              <w:t>均匀性损失温度参数</w:t>
            </w:r>
          </w:p>
        </w:tc>
        <w:tc>
          <w:tcPr>
            <w:tcW w:type="dxa" w:w="2160"/>
          </w:tcPr>
          <w:p>
            <w:r>
              <w:rPr>
                <w:rFonts w:ascii="宋体" w:hAnsi="宋体" w:eastAsia="宋体"/>
                <w:sz w:val="20"/>
              </w:rPr>
            </w:r>
            <w:r>
              <w:rPr>
                <w:rFonts w:ascii="宋体" w:hAnsi="宋体" w:eastAsia="宋体"/>
                <w:sz w:val="20"/>
              </w:rPr>
              <w:t>2/D</w:t>
            </w:r>
          </w:p>
        </w:tc>
        <w:tc>
          <w:tcPr>
            <w:tcW w:type="dxa" w:w="2160"/>
          </w:tcPr>
          <w:p>
            <w:r>
              <w:rPr>
                <w:rFonts w:ascii="宋体" w:hAnsi="宋体" w:eastAsia="宋体"/>
                <w:sz w:val="20"/>
              </w:rPr>
            </w:r>
            <w:r>
              <w:rPr>
                <w:rFonts w:ascii="宋体" w:hAnsi="宋体" w:eastAsia="宋体"/>
                <w:sz w:val="20"/>
              </w:rPr>
              <w:t>0.031（D=64 时）</w:t>
            </w:r>
          </w:p>
        </w:tc>
      </w:tr>
      <w:tr>
        <w:tc>
          <w:tcPr>
            <w:tcW w:type="dxa" w:w="2160"/>
          </w:tcPr>
          <w:p>
            <w:r>
              <w:rPr>
                <w:rFonts w:ascii="宋体" w:hAnsi="宋体" w:eastAsia="宋体"/>
                <w:sz w:val="20"/>
              </w:rPr>
            </w:r>
            <w:r>
              <w:rPr>
                <w:rFonts w:ascii="宋体" w:hAnsi="宋体" w:eastAsia="宋体"/>
                <w:sz w:val="20"/>
              </w:rPr>
              <w:t>时序对比阈值</w:t>
            </w:r>
          </w:p>
        </w:tc>
        <w:tc>
          <w:tcPr>
            <w:tcW w:type="dxa" w:w="2160"/>
          </w:tcPr>
          <w:p>
            <w:r>
              <w:rPr>
                <w:rFonts w:ascii="宋体" w:hAnsi="宋体" w:eastAsia="宋体"/>
                <w:sz w:val="20"/>
              </w:rPr>
            </w:r>
            <w:r>
              <w:rPr>
                <w:rFonts w:ascii="宋体" w:hAnsi="宋体" w:eastAsia="宋体"/>
                <w:sz w:val="20"/>
              </w:rPr>
              <w:t>hinge 损失目标余弦相似度上限</w:t>
            </w:r>
          </w:p>
        </w:tc>
        <w:tc>
          <w:tcPr>
            <w:tcW w:type="dxa" w:w="2160"/>
          </w:tcPr>
          <w:p>
            <w:r>
              <w:rPr>
                <w:rFonts w:ascii="宋体" w:hAnsi="宋体" w:eastAsia="宋体"/>
                <w:sz w:val="20"/>
              </w:rPr>
            </w:r>
            <w:r>
              <w:rPr>
                <w:rFonts w:ascii="宋体" w:hAnsi="宋体" w:eastAsia="宋体"/>
                <w:sz w:val="20"/>
              </w:rPr>
              <w:t>0.1-0.5</w:t>
            </w:r>
          </w:p>
        </w:tc>
        <w:tc>
          <w:tcPr>
            <w:tcW w:type="dxa" w:w="2160"/>
          </w:tcPr>
          <w:p>
            <w:r>
              <w:rPr>
                <w:rFonts w:ascii="宋体" w:hAnsi="宋体" w:eastAsia="宋体"/>
                <w:sz w:val="20"/>
              </w:rPr>
            </w:r>
            <w:r>
              <w:rPr>
                <w:rFonts w:ascii="宋体" w:hAnsi="宋体" w:eastAsia="宋体"/>
                <w:sz w:val="20"/>
              </w:rPr>
              <w:t>0.2</w:t>
            </w:r>
          </w:p>
        </w:tc>
      </w:tr>
      <w:tr>
        <w:tc>
          <w:tcPr>
            <w:tcW w:type="dxa" w:w="2160"/>
          </w:tcPr>
          <w:p>
            <w:r>
              <w:rPr>
                <w:rFonts w:ascii="宋体" w:hAnsi="宋体" w:eastAsia="宋体"/>
                <w:sz w:val="20"/>
              </w:rPr>
            </w:r>
            <w:r>
              <w:rPr>
                <w:rFonts w:ascii="宋体" w:hAnsi="宋体" w:eastAsia="宋体"/>
                <w:sz w:val="20"/>
              </w:rPr>
              <w:t>静态目标权重</w:t>
            </w:r>
          </w:p>
        </w:tc>
        <w:tc>
          <w:tcPr>
            <w:tcW w:type="dxa" w:w="2160"/>
          </w:tcPr>
          <w:p>
            <w:r>
              <w:rPr>
                <w:rFonts w:ascii="宋体" w:hAnsi="宋体" w:eastAsia="宋体"/>
                <w:sz w:val="20"/>
              </w:rPr>
            </w:r>
            <w:r>
              <w:rPr>
                <w:rFonts w:ascii="宋体" w:hAnsi="宋体" w:eastAsia="宋体"/>
                <w:sz w:val="20"/>
              </w:rPr>
              <w:t>静态数据重建权重相对动态数据的比例</w:t>
            </w:r>
          </w:p>
        </w:tc>
        <w:tc>
          <w:tcPr>
            <w:tcW w:type="dxa" w:w="2160"/>
          </w:tcPr>
          <w:p>
            <w:r>
              <w:rPr>
                <w:rFonts w:ascii="宋体" w:hAnsi="宋体" w:eastAsia="宋体"/>
                <w:sz w:val="20"/>
              </w:rPr>
            </w:r>
            <w:r>
              <w:rPr>
                <w:rFonts w:ascii="宋体" w:hAnsi="宋体" w:eastAsia="宋体"/>
                <w:sz w:val="20"/>
              </w:rPr>
              <w:t>0.01-0.2</w:t>
            </w:r>
          </w:p>
        </w:tc>
        <w:tc>
          <w:tcPr>
            <w:tcW w:type="dxa" w:w="2160"/>
          </w:tcPr>
          <w:p>
            <w:r>
              <w:rPr>
                <w:rFonts w:ascii="宋体" w:hAnsi="宋体" w:eastAsia="宋体"/>
                <w:sz w:val="20"/>
              </w:rPr>
            </w:r>
            <w:r>
              <w:rPr>
                <w:rFonts w:ascii="宋体" w:hAnsi="宋体" w:eastAsia="宋体"/>
                <w:sz w:val="20"/>
              </w:rPr>
              <w:t>0.05</w:t>
            </w:r>
          </w:p>
        </w:tc>
      </w:tr>
      <w:tr>
        <w:tc>
          <w:tcPr>
            <w:tcW w:type="dxa" w:w="2160"/>
          </w:tcPr>
          <w:p>
            <w:r>
              <w:rPr>
                <w:rFonts w:ascii="宋体" w:hAnsi="宋体" w:eastAsia="宋体"/>
                <w:sz w:val="20"/>
              </w:rPr>
            </w:r>
            <w:r>
              <w:rPr>
                <w:rFonts w:ascii="宋体" w:hAnsi="宋体" w:eastAsia="宋体"/>
                <w:sz w:val="20"/>
              </w:rPr>
              <w:t>教师动量</w:t>
            </w:r>
          </w:p>
        </w:tc>
        <w:tc>
          <w:tcPr>
            <w:tcW w:type="dxa" w:w="2160"/>
          </w:tcPr>
          <w:p>
            <w:r>
              <w:rPr>
                <w:rFonts w:ascii="宋体" w:hAnsi="宋体" w:eastAsia="宋体"/>
                <w:sz w:val="20"/>
              </w:rPr>
            </w:r>
            <w:r>
              <w:rPr>
                <w:rFonts w:ascii="宋体" w:hAnsi="宋体" w:eastAsia="宋体"/>
                <w:sz w:val="20"/>
              </w:rPr>
              <w:t>EMA 更新教师模型的动量系数</w:t>
            </w:r>
          </w:p>
        </w:tc>
        <w:tc>
          <w:tcPr>
            <w:tcW w:type="dxa" w:w="2160"/>
          </w:tcPr>
          <w:p>
            <w:r>
              <w:rPr>
                <w:rFonts w:ascii="宋体" w:hAnsi="宋体" w:eastAsia="宋体"/>
                <w:sz w:val="20"/>
              </w:rPr>
            </w:r>
            <w:r>
              <w:rPr>
                <w:rFonts w:ascii="宋体" w:hAnsi="宋体" w:eastAsia="宋体"/>
                <w:sz w:val="20"/>
              </w:rPr>
              <w:t>0.99-0.999</w:t>
            </w:r>
          </w:p>
        </w:tc>
        <w:tc>
          <w:tcPr>
            <w:tcW w:type="dxa" w:w="2160"/>
          </w:tcPr>
          <w:p>
            <w:r>
              <w:rPr>
                <w:rFonts w:ascii="宋体" w:hAnsi="宋体" w:eastAsia="宋体"/>
                <w:sz w:val="20"/>
              </w:rPr>
            </w:r>
            <w:r>
              <w:rPr>
                <w:rFonts w:ascii="宋体" w:hAnsi="宋体" w:eastAsia="宋体"/>
                <w:sz w:val="20"/>
              </w:rPr>
              <w:t>0.996</w:t>
            </w:r>
          </w:p>
        </w:tc>
      </w:tr>
      <w:tr>
        <w:tc>
          <w:tcPr>
            <w:tcW w:type="dxa" w:w="2160"/>
          </w:tcPr>
          <w:p>
            <w:r>
              <w:rPr>
                <w:rFonts w:ascii="宋体" w:hAnsi="宋体" w:eastAsia="宋体"/>
                <w:sz w:val="20"/>
              </w:rPr>
            </w:r>
            <w:r>
              <w:rPr>
                <w:rFonts w:ascii="宋体" w:hAnsi="宋体" w:eastAsia="宋体"/>
                <w:sz w:val="20"/>
              </w:rPr>
              <w:t>学习率</w:t>
            </w:r>
          </w:p>
        </w:tc>
        <w:tc>
          <w:tcPr>
            <w:tcW w:type="dxa" w:w="2160"/>
          </w:tcPr>
          <w:p>
            <w:r>
              <w:rPr>
                <w:rFonts w:ascii="宋体" w:hAnsi="宋体" w:eastAsia="宋体"/>
                <w:sz w:val="20"/>
              </w:rPr>
            </w:r>
            <w:r>
              <w:rPr>
                <w:rFonts w:ascii="宋体" w:hAnsi="宋体" w:eastAsia="宋体"/>
                <w:sz w:val="20"/>
              </w:rPr>
              <w:t>AdamW 优化器初始学习率</w:t>
            </w:r>
          </w:p>
        </w:tc>
        <w:tc>
          <w:tcPr>
            <w:tcW w:type="dxa" w:w="2160"/>
          </w:tcPr>
          <w:p>
            <w:r>
              <w:rPr>
                <w:rFonts w:ascii="宋体" w:hAnsi="宋体" w:eastAsia="宋体"/>
                <w:sz w:val="20"/>
              </w:rPr>
            </w:r>
            <w:r>
              <w:rPr>
                <w:rFonts w:ascii="宋体" w:hAnsi="宋体" w:eastAsia="宋体"/>
                <w:sz w:val="20"/>
              </w:rPr>
              <w:t>1e-5 至 1e-3</w:t>
            </w:r>
          </w:p>
        </w:tc>
        <w:tc>
          <w:tcPr>
            <w:tcW w:type="dxa" w:w="2160"/>
          </w:tcPr>
          <w:p>
            <w:r>
              <w:rPr>
                <w:rFonts w:ascii="宋体" w:hAnsi="宋体" w:eastAsia="宋体"/>
                <w:sz w:val="20"/>
              </w:rPr>
            </w:r>
            <w:r>
              <w:rPr>
                <w:rFonts w:ascii="宋体" w:hAnsi="宋体" w:eastAsia="宋体"/>
                <w:sz w:val="20"/>
              </w:rPr>
              <w:t>1e-4</w:t>
            </w:r>
          </w:p>
        </w:tc>
      </w:tr>
      <w:tr>
        <w:tc>
          <w:tcPr>
            <w:tcW w:type="dxa" w:w="2160"/>
          </w:tcPr>
          <w:p>
            <w:r>
              <w:rPr>
                <w:rFonts w:ascii="宋体" w:hAnsi="宋体" w:eastAsia="宋体"/>
                <w:sz w:val="20"/>
              </w:rPr>
            </w:r>
            <w:r>
              <w:rPr>
                <w:rFonts w:ascii="宋体" w:hAnsi="宋体" w:eastAsia="宋体"/>
                <w:sz w:val="20"/>
              </w:rPr>
              <w:t>批次大小</w:t>
            </w:r>
          </w:p>
        </w:tc>
        <w:tc>
          <w:tcPr>
            <w:tcW w:type="dxa" w:w="2160"/>
          </w:tcPr>
          <w:p>
            <w:r>
              <w:rPr>
                <w:rFonts w:ascii="宋体" w:hAnsi="宋体" w:eastAsia="宋体"/>
                <w:sz w:val="20"/>
              </w:rPr>
            </w:r>
            <w:r>
              <w:rPr>
                <w:rFonts w:ascii="宋体" w:hAnsi="宋体" w:eastAsia="宋体"/>
                <w:sz w:val="20"/>
              </w:rPr>
              <w:t>每 GPU 批次大小</w:t>
            </w:r>
          </w:p>
        </w:tc>
        <w:tc>
          <w:tcPr>
            <w:tcW w:type="dxa" w:w="2160"/>
          </w:tcPr>
          <w:p>
            <w:r>
              <w:rPr>
                <w:rFonts w:ascii="宋体" w:hAnsi="宋体" w:eastAsia="宋体"/>
                <w:sz w:val="20"/>
              </w:rPr>
            </w:r>
            <w:r>
              <w:rPr>
                <w:rFonts w:ascii="宋体" w:hAnsi="宋体" w:eastAsia="宋体"/>
                <w:sz w:val="20"/>
              </w:rPr>
              <w:t>1-8</w:t>
            </w:r>
          </w:p>
        </w:tc>
        <w:tc>
          <w:tcPr>
            <w:tcW w:type="dxa" w:w="2160"/>
          </w:tcPr>
          <w:p>
            <w:r>
              <w:rPr>
                <w:rFonts w:ascii="宋体" w:hAnsi="宋体" w:eastAsia="宋体"/>
                <w:sz w:val="20"/>
              </w:rPr>
            </w:r>
            <w:r>
              <w:rPr>
                <w:rFonts w:ascii="宋体" w:hAnsi="宋体" w:eastAsia="宋体"/>
                <w:sz w:val="20"/>
              </w:rPr>
              <w:t>4</w:t>
            </w:r>
          </w:p>
        </w:tc>
      </w:tr>
    </w:tbl>
    <w:p>
      <w:pPr>
        <w:spacing w:after="120" w:line="276" w:lineRule="auto"/>
      </w:pPr>
      <w:r>
        <w:rPr>
          <w:rFonts w:ascii="宋体" w:hAnsi="宋体" w:eastAsia="宋体"/>
          <w:sz w:val="21"/>
        </w:rPr>
        <w:t>注：上述参数设置仅为实施例，不作为权利要求限制。</w:t>
      </w:r>
    </w:p>
    <w:p>
      <w:pPr>
        <w:spacing w:after="160" w:before="160"/>
      </w:pPr>
      <w:r>
        <w:rPr>
          <w:rFonts w:ascii="宋体" w:hAnsi="宋体" w:eastAsia="宋体"/>
          <w:color w:val="AAAAAA"/>
          <w:sz w:val="16"/>
        </w:rPr>
        <w:t>────────────────────────────────</w:t>
      </w:r>
    </w:p>
    <w:p>
      <w:pPr>
        <w:pStyle w:val="Heading2"/>
      </w:pPr>
      <w:r>
        <w:rPr>
          <w:rFonts w:ascii="黑体" w:hAnsi="黑体" w:eastAsia="黑体"/>
        </w:rPr>
        <w:t>四、与现有技术相比的优点</w:t>
      </w:r>
    </w:p>
    <w:p>
      <w:pPr>
        <w:spacing w:after="120" w:line="276" w:lineRule="auto"/>
      </w:pPr>
      <w:r>
        <w:rPr>
          <w:rFonts w:ascii="宋体" w:hAnsi="宋体" w:eastAsia="宋体"/>
          <w:sz w:val="21"/>
        </w:rPr>
        <w:t>本发明在以下方面优于现有技术。</w:t>
      </w:r>
    </w:p>
    <w:p>
      <w:pPr>
        <w:spacing w:after="120" w:line="276" w:lineRule="auto"/>
      </w:pPr>
      <w:r>
        <w:rPr>
          <w:rFonts w:ascii="宋体" w:hAnsi="宋体" w:eastAsia="宋体"/>
          <w:sz w:val="21"/>
        </w:rPr>
        <w:t>（1）解决了 L2 归一化导致的梯度消失问题。现有方法在归一化后计算反坍缩损失，梯度经过雅可比矩阵变换后趋于消失。本发明在归一化前直接计算，反坍缩梯度始终非零，有效防止嵌入坍缩。实验表明，嵌入均匀性指标从 -0.5 提升至 -2.0 以下。</w:t>
      </w:r>
    </w:p>
    <w:p>
      <w:pPr>
        <w:spacing w:after="120" w:line="276" w:lineRule="auto"/>
      </w:pPr>
      <w:r>
        <w:rPr>
          <w:rFonts w:ascii="宋体" w:hAnsi="宋体" w:eastAsia="宋体"/>
          <w:sz w:val="21"/>
        </w:rPr>
        <w:t>（2）显式学习时间敏感性。现有方法依赖重建任务隐式学习时序信息，时间敏感性不可控。本发明通过双窗口时序对比损失显式约束嵌入对时间变化敏感，可直接用于变化检测。实验表明，变化检测 AUC 从随机水平（0.5）提升至 0.68 以上。</w:t>
      </w:r>
    </w:p>
    <w:p>
      <w:pPr>
        <w:spacing w:after="120" w:line="276" w:lineRule="auto"/>
      </w:pPr>
      <w:r>
        <w:rPr>
          <w:rFonts w:ascii="宋体" w:hAnsi="宋体" w:eastAsia="宋体"/>
          <w:sz w:val="21"/>
        </w:rPr>
        <w:t>（3）适用于小数据场景。本发明的原始均匀性损失不依赖批次内的负样本假设，在仅有数百个观测点的小数据场景下仍可有效防止坍缩。现有批均匀性方法在小数据场景下效果受限。</w:t>
      </w:r>
    </w:p>
    <w:p>
      <w:pPr>
        <w:spacing w:after="120" w:line="276" w:lineRule="auto"/>
      </w:pPr>
      <w:r>
        <w:rPr>
          <w:rFonts w:ascii="宋体" w:hAnsi="宋体" w:eastAsia="宋体"/>
          <w:sz w:val="21"/>
        </w:rPr>
        <w:t>（4）降低静态目标干扰。通过降低静态数据重建权重，避免模型学到时间无关的偏差，提升对动态变化的敏感度。</w:t>
      </w:r>
    </w:p>
    <w:p>
      <w:pPr>
        <w:spacing w:after="160" w:before="160"/>
      </w:pPr>
      <w:r>
        <w:rPr>
          <w:rFonts w:ascii="宋体" w:hAnsi="宋体" w:eastAsia="宋体"/>
          <w:color w:val="AAAAAA"/>
          <w:sz w:val="16"/>
        </w:rPr>
        <w:t>────────────────────────────────</w:t>
      </w:r>
    </w:p>
    <w:p>
      <w:pPr>
        <w:pStyle w:val="Heading2"/>
      </w:pPr>
      <w:r>
        <w:rPr>
          <w:rFonts w:ascii="黑体" w:hAnsi="黑体" w:eastAsia="黑体"/>
        </w:rPr>
        <w:t>五、技术关键点和欲保护点</w:t>
      </w:r>
    </w:p>
    <w:p>
      <w:pPr>
        <w:pStyle w:val="Heading3"/>
      </w:pPr>
      <w:r>
        <w:rPr>
          <w:rFonts w:ascii="宋体" w:hAnsi="宋体" w:eastAsia="宋体"/>
        </w:rPr>
        <w:t>1. 主要发明点</w:t>
      </w:r>
    </w:p>
    <w:p>
      <w:pPr>
        <w:spacing w:after="120" w:line="276" w:lineRule="auto"/>
      </w:pPr>
      <w:r>
        <w:rPr>
          <w:rFonts w:ascii="宋体" w:hAnsi="宋体" w:eastAsia="宋体"/>
          <w:sz w:val="21"/>
        </w:rPr>
        <w:t>在预归一化空间（skip L2）中计算反坍缩损失的方法，包括：在原始幅度向量上直接计算 RBF 均匀性损失，自适应温度 t = 2/D；与去相关损失、方差正则化、瓶颈正交性损失的组合使用；训练阶段跳过 L2 归一化、推理阶段恢复 L2 归一化的两阶段策略。具体实现见 3.4.1。</w:t>
      </w:r>
    </w:p>
    <w:p>
      <w:pPr>
        <w:pStyle w:val="Heading3"/>
      </w:pPr>
      <w:r>
        <w:rPr>
          <w:rFonts w:ascii="宋体" w:hAnsi="宋体" w:eastAsia="宋体"/>
        </w:rPr>
        <w:t>2. 次要发明点</w:t>
      </w:r>
    </w:p>
    <w:p>
      <w:pPr>
        <w:spacing w:after="120" w:line="276" w:lineRule="auto"/>
      </w:pPr>
      <w:r>
        <w:rPr>
          <w:rFonts w:ascii="宋体" w:hAnsi="宋体" w:eastAsia="宋体"/>
          <w:sz w:val="21"/>
        </w:rPr>
        <w:t>（1）双窗口不重叠采样方法：对同一地点抽取两个不重叠的时间窗口，分别编码后计算时序对比损失。具体实现见 3.4.2。</w:t>
      </w:r>
    </w:p>
    <w:p>
      <w:pPr>
        <w:spacing w:after="120" w:line="276" w:lineRule="auto"/>
      </w:pPr>
      <w:r>
        <w:rPr>
          <w:rFonts w:ascii="宋体" w:hAnsi="宋体" w:eastAsia="宋体"/>
          <w:sz w:val="21"/>
        </w:rPr>
        <w:t>（2）多粒度时序对比损失组合：全局 hinge 损失、像素级自适应加权损失、间隔感知损失、反斜对角 InfoNCE 的联合使用。具体实现见 3.4.2。</w:t>
      </w:r>
    </w:p>
    <w:p>
      <w:pPr>
        <w:spacing w:after="120" w:line="276" w:lineRule="auto"/>
      </w:pPr>
      <w:r>
        <w:rPr>
          <w:rFonts w:ascii="宋体" w:hAnsi="宋体" w:eastAsia="宋体"/>
          <w:sz w:val="21"/>
        </w:rPr>
        <w:t>（3）教师-学生一致性中的多阶段扰动策略：源丢弃、帧丢弃、前后截断的联合使用。具体实现见 3.4.3。</w:t>
      </w:r>
    </w:p>
    <w:p>
      <w:pPr>
        <w:spacing w:after="120" w:line="276" w:lineRule="auto"/>
      </w:pPr>
      <w:r>
        <w:rPr>
          <w:rFonts w:ascii="宋体" w:hAnsi="宋体" w:eastAsia="宋体"/>
          <w:sz w:val="21"/>
        </w:rPr>
        <w:t>（4）静态目标弱化方法：降低静态数据重建权重，优先学习时间敏感特征。具体实现见 3.4.4。</w:t>
      </w:r>
    </w:p>
    <w:p>
      <w:pPr>
        <w:spacing w:after="160" w:before="160"/>
      </w:pPr>
      <w:r>
        <w:rPr>
          <w:rFonts w:ascii="宋体" w:hAnsi="宋体" w:eastAsia="宋体"/>
          <w:color w:val="AAAAAA"/>
          <w:sz w:val="16"/>
        </w:rPr>
        <w:t>────────────────────────────────</w:t>
      </w:r>
    </w:p>
    <w:p>
      <w:pPr>
        <w:pStyle w:val="Heading2"/>
      </w:pPr>
      <w:r>
        <w:rPr>
          <w:rFonts w:ascii="黑体" w:hAnsi="黑体" w:eastAsia="黑体"/>
        </w:rPr>
        <w:t>六、其它</w:t>
      </w:r>
    </w:p>
    <w:p>
      <w:pPr>
        <w:pStyle w:val="Heading3"/>
      </w:pPr>
      <w:r>
        <w:rPr>
          <w:rFonts w:ascii="宋体" w:hAnsi="宋体" w:eastAsia="宋体"/>
        </w:rPr>
        <w:t>实施例</w:t>
      </w:r>
    </w:p>
    <w:p>
      <w:pPr>
        <w:spacing w:after="120" w:line="276" w:lineRule="auto"/>
      </w:pPr>
      <w:r>
        <w:rPr>
          <w:rFonts w:ascii="宋体" w:hAnsi="宋体" w:eastAsia="宋体"/>
          <w:b/>
          <w:sz w:val="21"/>
        </w:rPr>
        <w:t>应用场景</w:t>
      </w:r>
      <w:r>
        <w:rPr>
          <w:rFonts w:ascii="宋体" w:hAnsi="宋体" w:eastAsia="宋体"/>
          <w:sz w:val="21"/>
        </w:rPr>
        <w:t>：城市区域的建筑新建与拆除监测。</w:t>
      </w:r>
    </w:p>
    <w:p>
      <w:pPr>
        <w:spacing w:after="120" w:line="276" w:lineRule="auto"/>
      </w:pPr>
      <w:r>
        <w:rPr>
          <w:rFonts w:ascii="宋体" w:hAnsi="宋体" w:eastAsia="宋体"/>
          <w:b/>
          <w:sz w:val="21"/>
        </w:rPr>
        <w:t>数据规模</w:t>
      </w:r>
      <w:r>
        <w:rPr>
          <w:rFonts w:ascii="宋体" w:hAnsi="宋体" w:eastAsia="宋体"/>
          <w:sz w:val="21"/>
        </w:rPr>
        <w:t>：约 400 个空间观测点，覆盖约两年的时序数据。光学遥感约 22 帧每点，SAR 遥感约 43 帧每点，多光谱遥感约 48 帧每点。高程、土地覆盖等静态数据作为重建目标。</w:t>
      </w:r>
    </w:p>
    <w:p>
      <w:pPr>
        <w:spacing w:after="120" w:line="276" w:lineRule="auto"/>
      </w:pPr>
      <w:r>
        <w:rPr>
          <w:rFonts w:ascii="宋体" w:hAnsi="宋体" w:eastAsia="宋体"/>
          <w:b/>
          <w:sz w:val="21"/>
        </w:rPr>
        <w:t>系统流程</w:t>
      </w:r>
      <w:r>
        <w:rPr>
          <w:rFonts w:ascii="宋体" w:hAnsi="宋体" w:eastAsia="宋体"/>
          <w:sz w:val="21"/>
        </w:rPr>
        <w:t>：</w:t>
      </w:r>
    </w:p>
    <w:p>
      <w:pPr>
        <w:spacing w:after="120" w:line="276" w:lineRule="auto"/>
      </w:pPr>
      <w:r>
        <w:rPr>
          <w:rFonts w:ascii="宋体" w:hAnsi="宋体" w:eastAsia="宋体"/>
          <w:sz w:val="21"/>
        </w:rPr>
        <w:t>（1）从训练数据中随机抽取一个地理区域的不重叠双时间窗口；</w:t>
      </w:r>
    </w:p>
    <w:p>
      <w:pPr>
        <w:spacing w:after="120" w:line="276" w:lineRule="auto"/>
      </w:pPr>
      <w:r>
        <w:rPr>
          <w:rFonts w:ascii="宋体" w:hAnsi="宋体" w:eastAsia="宋体"/>
          <w:sz w:val="21"/>
        </w:rPr>
        <w:t>（2）将窗口内的多源时序数据输入多源编码器；</w:t>
      </w:r>
    </w:p>
    <w:p>
      <w:pPr>
        <w:spacing w:after="120" w:line="276" w:lineRule="auto"/>
      </w:pPr>
      <w:r>
        <w:rPr>
          <w:rFonts w:ascii="宋体" w:hAnsi="宋体" w:eastAsia="宋体"/>
          <w:sz w:val="21"/>
        </w:rPr>
        <w:t>（3）经时间编码器和 STP 块处理后，VMF 瓶颈层生成嵌入向量；</w:t>
      </w:r>
    </w:p>
    <w:p>
      <w:pPr>
        <w:spacing w:after="120" w:line="276" w:lineRule="auto"/>
      </w:pPr>
      <w:r>
        <w:rPr>
          <w:rFonts w:ascii="宋体" w:hAnsi="宋体" w:eastAsia="宋体"/>
          <w:sz w:val="21"/>
        </w:rPr>
        <w:t>（4）同时构造学生视图（随机丢弃部分帧或源）；</w:t>
      </w:r>
    </w:p>
    <w:p>
      <w:pPr>
        <w:spacing w:after="120" w:line="276" w:lineRule="auto"/>
      </w:pPr>
      <w:r>
        <w:rPr>
          <w:rFonts w:ascii="宋体" w:hAnsi="宋体" w:eastAsia="宋体"/>
          <w:sz w:val="21"/>
        </w:rPr>
        <w:t>（5）计算重建损失、反坍缩损失、一致性损失和时序对比损失；</w:t>
      </w:r>
    </w:p>
    <w:p>
      <w:pPr>
        <w:spacing w:after="120" w:line="276" w:lineRule="auto"/>
      </w:pPr>
      <w:r>
        <w:rPr>
          <w:rFonts w:ascii="宋体" w:hAnsi="宋体" w:eastAsia="宋体"/>
          <w:sz w:val="21"/>
        </w:rPr>
        <w:t>（6）反向传播更新模型参数。</w:t>
      </w:r>
    </w:p>
    <w:p>
      <w:pPr>
        <w:spacing w:after="120" w:line="276" w:lineRule="auto"/>
      </w:pPr>
      <w:r>
        <w:rPr>
          <w:rFonts w:ascii="宋体" w:hAnsi="宋体" w:eastAsia="宋体"/>
          <w:b/>
          <w:sz w:val="21"/>
        </w:rPr>
        <w:t>技术效果</w:t>
      </w:r>
      <w:r>
        <w:rPr>
          <w:rFonts w:ascii="宋体" w:hAnsi="宋体" w:eastAsia="宋体"/>
          <w:sz w:val="21"/>
        </w:rPr>
        <w:t>：</w:t>
      </w:r>
    </w:p>
    <w:p>
      <w:pPr>
        <w:pStyle w:val="ListBullet"/>
        <w:spacing w:after="60"/>
      </w:pPr>
      <w:r>
        <w:rPr>
          <w:rFonts w:ascii="宋体" w:hAnsi="宋体" w:eastAsia="宋体"/>
          <w:sz w:val="21"/>
        </w:rPr>
        <w:t>嵌入均匀性指标达到 -2.0 以下，表明嵌入在空间中充分分散；</w:t>
      </w:r>
    </w:p>
    <w:p>
      <w:pPr>
        <w:pStyle w:val="ListBullet"/>
        <w:spacing w:after="60"/>
      </w:pPr>
      <w:r>
        <w:rPr>
          <w:rFonts w:ascii="宋体" w:hAnsi="宋体" w:eastAsia="宋体"/>
          <w:sz w:val="21"/>
        </w:rPr>
        <w:t>土地覆盖分类准确率达到 50% 以上（11 类）；</w:t>
      </w:r>
    </w:p>
    <w:p>
      <w:pPr>
        <w:pStyle w:val="ListBullet"/>
        <w:spacing w:after="60"/>
      </w:pPr>
      <w:r>
        <w:rPr>
          <w:rFonts w:ascii="宋体" w:hAnsi="宋体" w:eastAsia="宋体"/>
          <w:sz w:val="21"/>
        </w:rPr>
        <w:t>变化检测 AUC 达到 0.68 以上；</w:t>
      </w:r>
    </w:p>
    <w:p>
      <w:pPr>
        <w:pStyle w:val="ListBullet"/>
        <w:spacing w:after="60"/>
      </w:pPr>
      <w:r>
        <w:rPr>
          <w:rFonts w:ascii="宋体" w:hAnsi="宋体" w:eastAsia="宋体"/>
          <w:sz w:val="21"/>
        </w:rPr>
        <w:t>在小数据场景（数百观测点）下仍可稳定训练。</w:t>
      </w:r>
    </w:p>
    <w:p>
      <w:pPr>
        <w:pStyle w:val="Heading3"/>
      </w:pPr>
      <w:r>
        <w:rPr>
          <w:rFonts w:ascii="宋体" w:hAnsi="宋体" w:eastAsia="宋体"/>
        </w:rPr>
        <w:t>替代方案</w:t>
      </w:r>
    </w:p>
    <w:p>
      <w:pPr>
        <w:spacing w:after="120" w:line="276" w:lineRule="auto"/>
      </w:pPr>
      <w:r>
        <w:rPr>
          <w:rFonts w:ascii="宋体" w:hAnsi="宋体" w:eastAsia="宋体"/>
          <w:sz w:val="21"/>
        </w:rPr>
        <w:t>（1）反坍缩损失可采用 Coding Rate Loss（基于最大编码率降低理论）替代 RBF 均匀性损失，通过 log det 体积最大化约束嵌入空间。</w:t>
      </w:r>
    </w:p>
    <w:p>
      <w:pPr>
        <w:spacing w:after="120" w:line="276" w:lineRule="auto"/>
      </w:pPr>
      <w:r>
        <w:rPr>
          <w:rFonts w:ascii="宋体" w:hAnsi="宋体" w:eastAsia="宋体"/>
          <w:sz w:val="21"/>
        </w:rPr>
        <w:t>（2）时序对比损失可采用沿完整时间维度并行对比所有时间步的策略，替代仅对比采样窗口的方式。</w:t>
      </w:r>
    </w:p>
    <w:p>
      <w:pPr>
        <w:spacing w:after="120" w:line="276" w:lineRule="auto"/>
      </w:pPr>
      <w:r>
        <w:rPr>
          <w:rFonts w:ascii="宋体" w:hAnsi="宋体" w:eastAsia="宋体"/>
          <w:sz w:val="21"/>
        </w:rPr>
        <w:t>（3）教师-学生框架可采用共享参数策略，教师和学生使用完全相同的参数，仅输入不同，替代 EMA 动量更新策略。</w:t>
      </w:r>
    </w:p>
    <w:p>
      <w:pPr>
        <w:spacing w:after="120" w:line="276" w:lineRule="auto"/>
      </w:pPr>
      <w:r>
        <w:rPr>
          <w:rFonts w:ascii="宋体" w:hAnsi="宋体" w:eastAsia="宋体"/>
          <w:sz w:val="21"/>
        </w:rPr>
        <w:t>（4）双窗口采样可扩展为多窗口采样，同时对比三个或更多时间窗口的嵌入。</w:t>
      </w:r>
    </w:p>
    <w:p>
      <w:pPr>
        <w:pStyle w:val="Heading3"/>
      </w:pPr>
      <w:r>
        <w:rPr>
          <w:rFonts w:ascii="宋体" w:hAnsi="宋体" w:eastAsia="宋体"/>
        </w:rPr>
        <w:t>其它建议</w:t>
      </w:r>
    </w:p>
    <w:p>
      <w:pPr>
        <w:spacing w:after="120" w:line="276" w:lineRule="auto"/>
      </w:pPr>
      <w:r>
        <w:rPr>
          <w:rFonts w:ascii="宋体" w:hAnsi="宋体" w:eastAsia="宋体"/>
          <w:sz w:val="21"/>
        </w:rPr>
        <w:t>建议在权利要求书中增加电子设备、计算机可读存储介质和计算机程序产品等权利要求，以覆盖软件实现方式。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