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64"/>
        </w:rPr>
        <w:t>玄女科技</w:t>
      </w:r>
    </w:p>
    <w:p>
      <w:pPr>
        <w:jc w:val="center"/>
      </w:pPr>
      <w:r>
        <w:rPr>
          <w:rFonts w:ascii="黑体" w:hAnsi="黑体" w:eastAsia="黑体"/>
          <w:b/>
          <w:sz w:val="52"/>
        </w:rPr>
        <w:t>多模态地球嵌入智能时空底座</w:t>
      </w:r>
    </w:p>
    <w:p>
      <w:pPr>
        <w:jc w:val="center"/>
      </w:pPr>
      <w:r>
        <w:rPr>
          <w:rFonts w:ascii="黑体" w:hAnsi="黑体" w:eastAsia="黑体"/>
          <w:b/>
          <w:sz w:val="44"/>
        </w:rPr>
        <w:t>玄女底座商业计划书</w:t>
      </w:r>
    </w:p>
    <w:p/>
    <w:p>
      <w:pPr>
        <w:jc w:val="center"/>
      </w:pPr>
      <w:r>
        <w:rPr>
          <w:rFonts w:ascii="楷体" w:hAnsi="楷体" w:eastAsia="楷体"/>
          <w:b w:val="0"/>
          <w:color w:val="444444"/>
          <w:sz w:val="28"/>
        </w:rPr>
        <w:t>为地球每一寸土地，生成可计算的数字指纹</w:t>
      </w:r>
    </w:p>
    <w:p/>
    <w:p/>
    <w:p>
      <w:pPr>
        <w:jc w:val="center"/>
      </w:pPr>
      <w:r>
        <w:rPr>
          <w:rFonts w:ascii="宋体" w:hAnsi="宋体" w:eastAsia="宋体"/>
          <w:b w:val="0"/>
          <w:sz w:val="28"/>
        </w:rPr>
        <w:t>参与企业：天仪研究院  ·  中科院空天信息创新研究院</w:t>
      </w:r>
    </w:p>
    <w:p>
      <w:pPr>
        <w:jc w:val="center"/>
      </w:pPr>
      <w:r>
        <w:rPr>
          <w:rFonts w:ascii="宋体" w:hAnsi="宋体" w:eastAsia="宋体"/>
          <w:b w:val="0"/>
          <w:sz w:val="24"/>
        </w:rPr>
        <w:t>2026年4月</w:t>
      </w:r>
    </w:p>
    <w:p>
      <w:r>
        <w:br w:type="page"/>
      </w:r>
    </w:p>
    <w:p>
      <w:pPr>
        <w:pStyle w:val="Heading1"/>
        <w:spacing w:before="240" w:after="160"/>
        <w:jc w:val="center"/>
      </w:pPr>
      <w:r>
        <w:rPr>
          <w:rFonts w:ascii="黑体" w:hAnsi="黑体" w:eastAsia="黑体"/>
          <w:b/>
          <w:sz w:val="36"/>
        </w:rPr>
        <w:t>执行摘要</w:t>
      </w:r>
    </w:p>
    <w:p>
      <w:pPr>
        <w:spacing w:line="360" w:lineRule="auto" w:after="160"/>
        <w:ind w:firstLine="283"/>
        <w:jc w:val="both"/>
      </w:pPr>
      <w:r>
        <w:rPr>
          <w:rFonts w:ascii="宋体" w:hAnsi="宋体" w:eastAsia="宋体"/>
          <w:b w:val="0"/>
          <w:sz w:val="24"/>
        </w:rPr>
        <w:t>全球每天产生数TB的遥感观测数据，但数据异构、时空错乱、处理成本高昂，让90%以上的数据沉睡在硬盘里。更关键的是，水文、地质、结构等不同领域的AI模型，每次都需要重复进行数据清洗、格式转换和特征工程，开发周期长达数月。</w:t>
      </w:r>
    </w:p>
    <w:p>
      <w:pPr>
        <w:spacing w:line="360" w:lineRule="auto" w:after="160"/>
        <w:ind w:firstLine="283"/>
        <w:jc w:val="both"/>
      </w:pPr>
      <w:r>
        <w:rPr>
          <w:rFonts w:ascii="宋体" w:hAnsi="宋体" w:eastAsia="宋体"/>
          <w:b w:val="0"/>
          <w:sz w:val="24"/>
        </w:rPr>
        <w:t>玄女科技自主研发了「玄女底座」——多模态地球嵌入智能时空底座。它将光学卫星、雷达卫星和地面传感器获取的多源异构数据，统一编码为64维嵌入向量，相当于为地球表面每个10米×10米的单元格生成独一无二的「数字指纹」。基于这一底座，专业AI模型可以像调用API一样获取标准化、高质量的时空数据服务，开发周期缩短60%以上，存储成本降低80%。</w:t>
      </w:r>
    </w:p>
    <w:p>
      <w:pPr>
        <w:spacing w:line="360" w:lineRule="auto" w:after="160"/>
        <w:ind w:firstLine="283"/>
        <w:jc w:val="both"/>
      </w:pPr>
      <w:r>
        <w:rPr>
          <w:rFonts w:ascii="宋体" w:hAnsi="宋体" w:eastAsia="宋体"/>
          <w:b w:val="0"/>
          <w:sz w:val="24"/>
        </w:rPr>
        <w:t>在重大工程安全监测领域，玄女底座已完成两项标杆验证：哈尔滨新区城市变化检测（695平方公里，变化识别准确率AUC达0.903）和雅鲁藏布江下游水电站全域安全监测方案（1000平方公里，覆盖施工安全、地质灾害、洪水预警等六大风险场景）。</w:t>
      </w:r>
    </w:p>
    <w:p>
      <w:pPr>
        <w:spacing w:line="360" w:lineRule="auto" w:after="160"/>
        <w:ind w:firstLine="283"/>
        <w:jc w:val="both"/>
      </w:pPr>
      <w:r>
        <w:rPr>
          <w:rFonts w:ascii="宋体" w:hAnsi="宋体" w:eastAsia="宋体"/>
          <w:b w:val="0"/>
          <w:sz w:val="24"/>
        </w:rPr>
        <w:t>本轮融资5000万元，用于产品研发、全国数据网络建设和标杆客户拓展。预计投资回收期4.5年，第8年累计净利润超8000万元，内部收益率（IRR）约20%。</w:t>
      </w:r>
    </w:p>
    <w:p>
      <w:r>
        <w:br w:type="page"/>
      </w:r>
    </w:p>
    <w:p>
      <w:pPr>
        <w:pStyle w:val="Heading1"/>
        <w:spacing w:before="240" w:after="160"/>
        <w:jc w:val="center"/>
      </w:pPr>
      <w:r>
        <w:rPr>
          <w:rFonts w:ascii="黑体" w:hAnsi="黑体" w:eastAsia="黑体"/>
          <w:b/>
          <w:sz w:val="36"/>
        </w:rPr>
        <w:t>目  录</w:t>
      </w:r>
    </w:p>
    <w:p>
      <w:pPr>
        <w:spacing w:line="360" w:lineRule="auto"/>
      </w:pPr>
      <w:r>
        <w:rPr>
          <w:rFonts w:ascii="宋体" w:hAnsi="宋体" w:eastAsia="宋体"/>
          <w:b/>
          <w:sz w:val="24"/>
        </w:rPr>
        <w:t>第一章  市场分析</w:t>
      </w:r>
    </w:p>
    <w:p>
      <w:pPr>
        <w:spacing w:line="360" w:lineRule="auto"/>
      </w:pPr>
      <w:r>
        <w:rPr>
          <w:rFonts w:ascii="宋体" w:hAnsi="宋体" w:eastAsia="宋体"/>
          <w:b w:val="0"/>
          <w:sz w:val="24"/>
        </w:rPr>
        <w:t xml:space="preserve">    1.1 行业痛点与机遇</w:t>
      </w:r>
    </w:p>
    <w:p>
      <w:pPr>
        <w:spacing w:line="360" w:lineRule="auto"/>
      </w:pPr>
      <w:r>
        <w:rPr>
          <w:rFonts w:ascii="宋体" w:hAnsi="宋体" w:eastAsia="宋体"/>
          <w:b w:val="0"/>
          <w:sz w:val="24"/>
        </w:rPr>
        <w:t xml:space="preserve">    1.2 三级市场定位</w:t>
      </w:r>
    </w:p>
    <w:p>
      <w:pPr>
        <w:spacing w:line="360" w:lineRule="auto"/>
      </w:pPr>
      <w:r>
        <w:rPr>
          <w:rFonts w:ascii="宋体" w:hAnsi="宋体" w:eastAsia="宋体"/>
          <w:b w:val="0"/>
          <w:sz w:val="24"/>
        </w:rPr>
        <w:t xml:space="preserve">    1.3 五大应用场景</w:t>
      </w:r>
    </w:p>
    <w:p>
      <w:pPr>
        <w:spacing w:line="360" w:lineRule="auto"/>
      </w:pPr>
      <w:r>
        <w:rPr>
          <w:rFonts w:ascii="宋体" w:hAnsi="宋体" w:eastAsia="宋体"/>
          <w:b w:val="0"/>
          <w:sz w:val="24"/>
        </w:rPr>
        <w:t xml:space="preserve">    1.4 目标客户结构</w:t>
      </w:r>
    </w:p>
    <w:p>
      <w:pPr>
        <w:spacing w:line="360" w:lineRule="auto"/>
      </w:pPr>
      <w:r>
        <w:rPr>
          <w:rFonts w:ascii="宋体" w:hAnsi="宋体" w:eastAsia="宋体"/>
          <w:b w:val="0"/>
          <w:sz w:val="24"/>
        </w:rPr>
        <w:t xml:space="preserve">    1.5 竞争格局</w:t>
      </w:r>
    </w:p>
    <w:p>
      <w:pPr>
        <w:spacing w:line="360" w:lineRule="auto"/>
      </w:pPr>
      <w:r>
        <w:rPr>
          <w:rFonts w:ascii="宋体" w:hAnsi="宋体" w:eastAsia="宋体"/>
          <w:b w:val="0"/>
          <w:sz w:val="24"/>
        </w:rPr>
        <w:t xml:space="preserve">    1.6 痛点与解决方案</w:t>
      </w:r>
    </w:p>
    <w:p>
      <w:pPr>
        <w:spacing w:line="360" w:lineRule="auto"/>
      </w:pPr>
      <w:r>
        <w:rPr>
          <w:rFonts w:ascii="宋体" w:hAnsi="宋体" w:eastAsia="宋体"/>
          <w:b w:val="0"/>
          <w:sz w:val="24"/>
        </w:rPr>
        <w:t xml:space="preserve">    1.7 经济可行性</w:t>
      </w:r>
    </w:p>
    <w:p>
      <w:pPr>
        <w:spacing w:line="360" w:lineRule="auto"/>
      </w:pPr>
      <w:r>
        <w:rPr>
          <w:rFonts w:ascii="宋体" w:hAnsi="宋体" w:eastAsia="宋体"/>
          <w:b w:val="0"/>
          <w:sz w:val="24"/>
        </w:rPr>
        <w:t xml:space="preserve">    1.8 标杆验证</w:t>
      </w:r>
    </w:p>
    <w:p>
      <w:pPr>
        <w:spacing w:line="360" w:lineRule="auto"/>
      </w:pPr>
      <w:r>
        <w:rPr>
          <w:rFonts w:ascii="宋体" w:hAnsi="宋体" w:eastAsia="宋体"/>
          <w:b/>
          <w:sz w:val="24"/>
        </w:rPr>
        <w:t>第二章  项目实施方案</w:t>
      </w:r>
    </w:p>
    <w:p>
      <w:pPr>
        <w:spacing w:line="360" w:lineRule="auto"/>
      </w:pPr>
      <w:r>
        <w:rPr>
          <w:rFonts w:ascii="宋体" w:hAnsi="宋体" w:eastAsia="宋体"/>
          <w:b w:val="0"/>
          <w:sz w:val="24"/>
        </w:rPr>
        <w:t xml:space="preserve">    2.1 愿景与目标</w:t>
      </w:r>
    </w:p>
    <w:p>
      <w:pPr>
        <w:spacing w:line="360" w:lineRule="auto"/>
      </w:pPr>
      <w:r>
        <w:rPr>
          <w:rFonts w:ascii="宋体" w:hAnsi="宋体" w:eastAsia="宋体"/>
          <w:b w:val="0"/>
          <w:sz w:val="24"/>
        </w:rPr>
        <w:t xml:space="preserve">    2.2 技术方案</w:t>
      </w:r>
    </w:p>
    <w:p>
      <w:pPr>
        <w:spacing w:line="360" w:lineRule="auto"/>
      </w:pPr>
      <w:r>
        <w:rPr>
          <w:rFonts w:ascii="宋体" w:hAnsi="宋体" w:eastAsia="宋体"/>
          <w:b w:val="0"/>
          <w:sz w:val="24"/>
        </w:rPr>
        <w:t xml:space="preserve">    2.3 建设内容</w:t>
      </w:r>
    </w:p>
    <w:p>
      <w:pPr>
        <w:spacing w:line="360" w:lineRule="auto"/>
      </w:pPr>
      <w:r>
        <w:rPr>
          <w:rFonts w:ascii="宋体" w:hAnsi="宋体" w:eastAsia="宋体"/>
          <w:b w:val="0"/>
          <w:sz w:val="24"/>
        </w:rPr>
        <w:t xml:space="preserve">    2.4 实施计划与里程碑</w:t>
      </w:r>
    </w:p>
    <w:p>
      <w:pPr>
        <w:spacing w:line="360" w:lineRule="auto"/>
      </w:pPr>
      <w:r>
        <w:rPr>
          <w:rFonts w:ascii="宋体" w:hAnsi="宋体" w:eastAsia="宋体"/>
          <w:b w:val="0"/>
          <w:sz w:val="24"/>
        </w:rPr>
        <w:t xml:space="preserve">    2.5 团队</w:t>
      </w:r>
    </w:p>
    <w:p>
      <w:pPr>
        <w:spacing w:line="360" w:lineRule="auto"/>
      </w:pPr>
      <w:r>
        <w:rPr>
          <w:rFonts w:ascii="宋体" w:hAnsi="宋体" w:eastAsia="宋体"/>
          <w:b/>
          <w:sz w:val="24"/>
        </w:rPr>
        <w:t>第三章  融资方案</w:t>
      </w:r>
    </w:p>
    <w:p>
      <w:pPr>
        <w:spacing w:line="360" w:lineRule="auto"/>
      </w:pPr>
      <w:r>
        <w:rPr>
          <w:rFonts w:ascii="宋体" w:hAnsi="宋体" w:eastAsia="宋体"/>
          <w:b w:val="0"/>
          <w:sz w:val="24"/>
        </w:rPr>
        <w:t xml:space="preserve">    3.1 本轮融资需求</w:t>
      </w:r>
    </w:p>
    <w:p>
      <w:pPr>
        <w:spacing w:line="360" w:lineRule="auto"/>
      </w:pPr>
      <w:r>
        <w:rPr>
          <w:rFonts w:ascii="宋体" w:hAnsi="宋体" w:eastAsia="宋体"/>
          <w:b w:val="0"/>
          <w:sz w:val="24"/>
        </w:rPr>
        <w:t xml:space="preserve">    3.2 投资估算</w:t>
      </w:r>
    </w:p>
    <w:p>
      <w:pPr>
        <w:spacing w:line="360" w:lineRule="auto"/>
      </w:pPr>
      <w:r>
        <w:rPr>
          <w:rFonts w:ascii="宋体" w:hAnsi="宋体" w:eastAsia="宋体"/>
          <w:b w:val="0"/>
          <w:sz w:val="24"/>
        </w:rPr>
        <w:t xml:space="preserve">    3.3 融资结构与退出路径</w:t>
      </w:r>
    </w:p>
    <w:p>
      <w:pPr>
        <w:spacing w:line="360" w:lineRule="auto"/>
      </w:pPr>
      <w:r>
        <w:rPr>
          <w:rFonts w:ascii="宋体" w:hAnsi="宋体" w:eastAsia="宋体"/>
          <w:b/>
          <w:sz w:val="24"/>
        </w:rPr>
        <w:t>第四章  市场营收与盈利分析</w:t>
      </w:r>
    </w:p>
    <w:p>
      <w:pPr>
        <w:spacing w:line="360" w:lineRule="auto"/>
      </w:pPr>
      <w:r>
        <w:rPr>
          <w:rFonts w:ascii="宋体" w:hAnsi="宋体" w:eastAsia="宋体"/>
          <w:b w:val="0"/>
          <w:sz w:val="24"/>
        </w:rPr>
        <w:t xml:space="preserve">    4.1 市场定位与目标市场</w:t>
      </w:r>
    </w:p>
    <w:p>
      <w:pPr>
        <w:spacing w:line="360" w:lineRule="auto"/>
      </w:pPr>
      <w:r>
        <w:rPr>
          <w:rFonts w:ascii="宋体" w:hAnsi="宋体" w:eastAsia="宋体"/>
          <w:b w:val="0"/>
          <w:sz w:val="24"/>
        </w:rPr>
        <w:t xml:space="preserve">    4.2 营收模式设计</w:t>
      </w:r>
    </w:p>
    <w:p>
      <w:pPr>
        <w:spacing w:line="360" w:lineRule="auto"/>
      </w:pPr>
      <w:r>
        <w:rPr>
          <w:rFonts w:ascii="宋体" w:hAnsi="宋体" w:eastAsia="宋体"/>
          <w:b w:val="0"/>
          <w:sz w:val="24"/>
        </w:rPr>
        <w:t xml:space="preserve">    4.3 盈利预测与财务指标</w:t>
      </w:r>
    </w:p>
    <w:p>
      <w:pPr>
        <w:spacing w:line="360" w:lineRule="auto"/>
      </w:pPr>
      <w:r>
        <w:rPr>
          <w:rFonts w:ascii="宋体" w:hAnsi="宋体" w:eastAsia="宋体"/>
          <w:b w:val="0"/>
          <w:sz w:val="24"/>
        </w:rPr>
        <w:t xml:space="preserve">    4.4 核心财务优势</w:t>
      </w:r>
    </w:p>
    <w:p>
      <w:pPr>
        <w:spacing w:line="360" w:lineRule="auto"/>
      </w:pPr>
      <w:r>
        <w:rPr>
          <w:rFonts w:ascii="宋体" w:hAnsi="宋体" w:eastAsia="宋体"/>
          <w:b/>
          <w:sz w:val="24"/>
        </w:rPr>
        <w:t>第五章  风险分析与应对策略</w:t>
      </w:r>
    </w:p>
    <w:p>
      <w:pPr>
        <w:spacing w:line="360" w:lineRule="auto"/>
      </w:pPr>
      <w:r>
        <w:rPr>
          <w:rFonts w:ascii="宋体" w:hAnsi="宋体" w:eastAsia="宋体"/>
          <w:b w:val="0"/>
          <w:sz w:val="24"/>
        </w:rPr>
        <w:t xml:space="preserve">    5.1 政策与监管风险</w:t>
      </w:r>
    </w:p>
    <w:p>
      <w:pPr>
        <w:spacing w:line="360" w:lineRule="auto"/>
      </w:pPr>
      <w:r>
        <w:rPr>
          <w:rFonts w:ascii="宋体" w:hAnsi="宋体" w:eastAsia="宋体"/>
          <w:b w:val="0"/>
          <w:sz w:val="24"/>
        </w:rPr>
        <w:t xml:space="preserve">    5.2 技术风险</w:t>
      </w:r>
    </w:p>
    <w:p>
      <w:pPr>
        <w:spacing w:line="360" w:lineRule="auto"/>
      </w:pPr>
      <w:r>
        <w:rPr>
          <w:rFonts w:ascii="宋体" w:hAnsi="宋体" w:eastAsia="宋体"/>
          <w:b w:val="0"/>
          <w:sz w:val="24"/>
        </w:rPr>
        <w:t xml:space="preserve">    5.3 市场与竞争风险</w:t>
      </w:r>
    </w:p>
    <w:p>
      <w:pPr>
        <w:spacing w:line="360" w:lineRule="auto"/>
      </w:pPr>
      <w:r>
        <w:rPr>
          <w:rFonts w:ascii="宋体" w:hAnsi="宋体" w:eastAsia="宋体"/>
          <w:b w:val="0"/>
          <w:sz w:val="24"/>
        </w:rPr>
        <w:t xml:space="preserve">    5.4 运营与实施风险</w:t>
      </w:r>
    </w:p>
    <w:p>
      <w:pPr>
        <w:spacing w:line="360" w:lineRule="auto"/>
      </w:pPr>
      <w:r>
        <w:rPr>
          <w:rFonts w:ascii="宋体" w:hAnsi="宋体" w:eastAsia="宋体"/>
          <w:b w:val="0"/>
          <w:sz w:val="24"/>
        </w:rPr>
        <w:t xml:space="preserve">    5.5 财务风险</w:t>
      </w:r>
    </w:p>
    <w:p>
      <w:pPr>
        <w:spacing w:line="360" w:lineRule="auto"/>
      </w:pPr>
      <w:r>
        <w:rPr>
          <w:rFonts w:ascii="宋体" w:hAnsi="宋体" w:eastAsia="宋体"/>
          <w:b w:val="0"/>
          <w:sz w:val="24"/>
        </w:rPr>
        <w:t xml:space="preserve">    5.6 风险汇总与等级评估</w:t>
      </w:r>
    </w:p>
    <w:p>
      <w:pPr>
        <w:spacing w:line="360" w:lineRule="auto"/>
      </w:pPr>
      <w:r>
        <w:rPr>
          <w:rFonts w:ascii="宋体" w:hAnsi="宋体" w:eastAsia="宋体"/>
          <w:b/>
          <w:sz w:val="24"/>
        </w:rPr>
        <w:t>第六章  数据来源与参考资料</w:t>
      </w:r>
    </w:p>
    <w:p>
      <w:pPr>
        <w:spacing w:line="360" w:lineRule="auto"/>
      </w:pPr>
      <w:r>
        <w:rPr>
          <w:rFonts w:ascii="宋体" w:hAnsi="宋体" w:eastAsia="宋体"/>
          <w:b/>
          <w:sz w:val="24"/>
        </w:rPr>
        <w:t>附录  标杆案例详解</w:t>
      </w:r>
    </w:p>
    <w:p>
      <w:r>
        <w:br w:type="page"/>
      </w:r>
    </w:p>
    <w:p>
      <w:pPr>
        <w:pStyle w:val="Heading1"/>
        <w:spacing w:before="240" w:after="160"/>
        <w:jc w:val="center"/>
      </w:pPr>
      <w:r>
        <w:rPr>
          <w:rFonts w:ascii="黑体" w:hAnsi="黑体" w:eastAsia="黑体"/>
          <w:b/>
          <w:sz w:val="36"/>
        </w:rPr>
        <w:t>第一章  市场分析</w:t>
      </w:r>
    </w:p>
    <w:p>
      <w:pPr>
        <w:pStyle w:val="Heading2"/>
        <w:spacing w:before="160" w:after="160"/>
        <w:jc w:val="left"/>
      </w:pPr>
      <w:r>
        <w:rPr>
          <w:rFonts w:ascii="黑体" w:hAnsi="黑体" w:eastAsia="黑体"/>
          <w:b/>
          <w:sz w:val="28"/>
        </w:rPr>
        <w:t>1.1 行业痛点与机遇</w:t>
      </w:r>
    </w:p>
    <w:p>
      <w:pPr>
        <w:spacing w:line="360" w:lineRule="auto" w:after="120"/>
        <w:ind w:firstLine="283"/>
        <w:jc w:val="both"/>
      </w:pPr>
      <w:r>
        <w:rPr>
          <w:rFonts w:ascii="宋体" w:hAnsi="宋体" w:eastAsia="宋体"/>
          <w:b w:val="0"/>
          <w:sz w:val="24"/>
        </w:rPr>
        <w:t>过去十年，全球在轨遥感卫星数量从200颗激增至1200颗以上。中国民用卫星在轨工作数量已达206颗，商业航天企业年发射卫星超过100颗。每天，光学影像、雷达数据、激光点云、气象模拟、物联网传感器数据如潮水般涌来。</w:t>
      </w:r>
    </w:p>
    <w:p>
      <w:pPr>
        <w:spacing w:line="360" w:lineRule="auto" w:after="120"/>
        <w:ind w:firstLine="283"/>
        <w:jc w:val="both"/>
      </w:pPr>
      <w:r>
        <w:rPr>
          <w:rFonts w:ascii="宋体" w:hAnsi="宋体" w:eastAsia="宋体"/>
          <w:b w:val="0"/>
          <w:sz w:val="24"/>
        </w:rPr>
        <w:t>然而，数据量的爆炸并未带来知识量的同等增长。多源数据之间存在五大鸿沟：格式不同、分辨率不同、时空基准不同、更新频率不同、语义定义不同。一位水利行业的AI工程师若要开发一套大坝渗流预测模型，往往需要花费80%的时间在数据清洗和格式转换上，真正用于模型创新的时间不足20%。</w:t>
      </w:r>
    </w:p>
    <w:p>
      <w:pPr>
        <w:spacing w:line="360" w:lineRule="auto" w:after="120"/>
        <w:ind w:firstLine="283"/>
        <w:jc w:val="both"/>
      </w:pPr>
      <w:r>
        <w:rPr>
          <w:rFonts w:ascii="宋体" w:hAnsi="宋体" w:eastAsia="宋体"/>
          <w:b w:val="0"/>
          <w:sz w:val="24"/>
        </w:rPr>
        <w:t>更深层的问题是：每个领域的AI团队都在重复造轮子。今天水文团队做一套数据预处理管道，明天地质团队又做一套，后天结构团队再来一套。全国每年因此浪费的研发投入以十亿元计。</w:t>
      </w:r>
    </w:p>
    <w:p>
      <w:pPr>
        <w:spacing w:line="360" w:lineRule="auto" w:after="120"/>
        <w:ind w:firstLine="283"/>
        <w:jc w:val="both"/>
      </w:pPr>
      <w:r>
        <w:rPr>
          <w:rFonts w:ascii="宋体" w:hAnsi="宋体" w:eastAsia="宋体"/>
          <w:b w:val="0"/>
          <w:sz w:val="24"/>
        </w:rPr>
        <w:t>市场迫切需要一种「中间层」——它不提供最终的行业应用，而是为所有行业应用提供统一、标准、可复用的时空数据基座。这正是玄女底座的核心定位。</w:t>
      </w:r>
    </w:p>
    <w:p>
      <w:pPr>
        <w:pStyle w:val="Heading2"/>
        <w:spacing w:before="160" w:after="160"/>
        <w:jc w:val="left"/>
      </w:pPr>
      <w:r>
        <w:rPr>
          <w:rFonts w:ascii="黑体" w:hAnsi="黑体" w:eastAsia="黑体"/>
          <w:b/>
          <w:sz w:val="28"/>
        </w:rPr>
        <w:t>1.2 三级市场定位</w:t>
      </w:r>
    </w:p>
    <w:p>
      <w:pPr>
        <w:spacing w:line="360" w:lineRule="auto" w:after="120"/>
        <w:ind w:firstLine="283"/>
        <w:jc w:val="both"/>
      </w:pPr>
      <w:r>
        <w:rPr>
          <w:rFonts w:ascii="宋体" w:hAnsi="宋体" w:eastAsia="宋体"/>
          <w:b w:val="0"/>
          <w:sz w:val="24"/>
        </w:rPr>
        <w:t>玄女科技的市场空间可以用TAM-SAM-SOM三级模型清晰刻画：</w:t>
      </w:r>
    </w:p>
    <w:p>
      <w:pPr>
        <w:spacing w:line="360" w:lineRule="auto" w:after="80"/>
        <w:ind w:firstLine="283" w:left="454"/>
      </w:pPr>
      <w:r>
        <w:rPr>
          <w:rFonts w:ascii="宋体" w:hAnsi="宋体" w:eastAsia="宋体"/>
          <w:b/>
          <w:sz w:val="24"/>
        </w:rPr>
        <w:t>TAM（总潜在市场）：</w:t>
      </w:r>
      <w:r>
        <w:rPr>
          <w:rFonts w:ascii="宋体" w:hAnsi="宋体" w:eastAsia="宋体"/>
          <w:b w:val="0"/>
          <w:sz w:val="24"/>
        </w:rPr>
        <w:t>全球地球观测与时空智能服务市场。2025年全球遥感卫星服务市场规模约145亿美元，预计到2032年达到321亿美元，年复合增长率9.7%。中国「时空智能×卫星遥感」市场2024年约350亿元，预计2030年达到920亿元。</w:t>
      </w:r>
    </w:p>
    <w:p>
      <w:pPr>
        <w:spacing w:line="360" w:lineRule="auto" w:after="80"/>
        <w:ind w:firstLine="283" w:left="454"/>
      </w:pPr>
      <w:r>
        <w:rPr>
          <w:rFonts w:ascii="宋体" w:hAnsi="宋体" w:eastAsia="宋体"/>
          <w:b/>
          <w:sz w:val="24"/>
        </w:rPr>
        <w:t>SAM（可服务市场）：</w:t>
      </w:r>
      <w:r>
        <w:rPr>
          <w:rFonts w:ascii="宋体" w:hAnsi="宋体" w:eastAsia="宋体"/>
          <w:b w:val="0"/>
          <w:sz w:val="24"/>
        </w:rPr>
        <w:t>中国重大基础设施数字化监测与数字孪生底座市场。2024年中国数字孪生行业市场规模已达337亿元，水利、城市管理、能源电力是增速最快的三大领域。全国在建和规划中的大型水电站、新区开发、交通枢纽超过200个，单个项目全生命周期数字化投入平均在1-2亿元。</w:t>
      </w:r>
    </w:p>
    <w:p>
      <w:pPr>
        <w:spacing w:line="360" w:lineRule="auto" w:after="80"/>
        <w:ind w:firstLine="283" w:left="454"/>
      </w:pPr>
      <w:r>
        <w:rPr>
          <w:rFonts w:ascii="宋体" w:hAnsi="宋体" w:eastAsia="宋体"/>
          <w:b/>
          <w:sz w:val="24"/>
        </w:rPr>
        <w:t>SOM（首年可达市场）：</w:t>
      </w:r>
      <w:r>
        <w:rPr>
          <w:rFonts w:ascii="宋体" w:hAnsi="宋体" w:eastAsia="宋体"/>
          <w:b w:val="0"/>
          <w:sz w:val="24"/>
        </w:rPr>
        <w:t>以水利水电和新区开发为切入点，首年目标签约3-5个标杆项目，实现建设期收入3000万元；第3年起通过SaaS数据服务覆盖10个以上长期运营项目，年经常性收入（ARR）突破2500万元。</w:t>
      </w:r>
    </w:p>
    <w:p>
      <w:pPr>
        <w:pStyle w:val="Heading2"/>
        <w:spacing w:before="160" w:after="160"/>
        <w:jc w:val="left"/>
      </w:pPr>
      <w:r>
        <w:rPr>
          <w:rFonts w:ascii="黑体" w:hAnsi="黑体" w:eastAsia="黑体"/>
          <w:b/>
          <w:sz w:val="28"/>
        </w:rPr>
        <w:t>1.3 五大应用场景</w:t>
      </w:r>
    </w:p>
    <w:p>
      <w:pPr>
        <w:spacing w:line="360" w:lineRule="auto" w:after="120"/>
        <w:ind w:firstLine="283"/>
        <w:jc w:val="both"/>
      </w:pPr>
      <w:r>
        <w:rPr>
          <w:rFonts w:ascii="宋体" w:hAnsi="宋体" w:eastAsia="宋体"/>
          <w:b w:val="0"/>
          <w:sz w:val="24"/>
        </w:rPr>
        <w:t>基于玄女底座的技术特点，项目重点打造多模态地球嵌入智能时空底座，聚焦高价值、高付费、高增长的五大商业场景：</w:t>
      </w:r>
    </w:p>
    <w:p>
      <w:pPr>
        <w:pStyle w:val="Heading3"/>
        <w:spacing w:before="160" w:after="160"/>
        <w:jc w:val="left"/>
      </w:pPr>
      <w:r>
        <w:rPr>
          <w:rFonts w:ascii="黑体" w:hAnsi="黑体" w:eastAsia="黑体"/>
          <w:b/>
          <w:sz w:val="24"/>
        </w:rPr>
        <w:t>1.3.1 精准农业与农险风控</w:t>
      </w:r>
    </w:p>
    <w:p>
      <w:pPr>
        <w:spacing w:line="360" w:lineRule="auto" w:after="120"/>
        <w:ind w:firstLine="283"/>
        <w:jc w:val="both"/>
      </w:pPr>
      <w:r>
        <w:rPr>
          <w:rFonts w:ascii="宋体" w:hAnsi="宋体" w:eastAsia="宋体"/>
          <w:b w:val="0"/>
          <w:sz w:val="24"/>
        </w:rPr>
        <w:t>国内农业遥感服务市场已达百亿级规模。传统监测模式受云层遮挡严重、周期长、精度不足，难以支撑大面积农田管理与保险快速定损。依托玄女底座的多时相、全模态遥感特征，可实现作物长势监测、产量预估、灾损定损、种植结构识别等功能，高效服务于农业企业、保险公司及地方农业主管部门。</w:t>
      </w:r>
    </w:p>
    <w:p>
      <w:pPr>
        <w:pStyle w:val="Heading3"/>
        <w:spacing w:before="160" w:after="160"/>
        <w:jc w:val="left"/>
      </w:pPr>
      <w:r>
        <w:rPr>
          <w:rFonts w:ascii="黑体" w:hAnsi="黑体" w:eastAsia="黑体"/>
          <w:b/>
          <w:sz w:val="24"/>
        </w:rPr>
        <w:t>1.3.2 生态环保与碳汇监测</w:t>
      </w:r>
    </w:p>
    <w:p>
      <w:pPr>
        <w:spacing w:line="360" w:lineRule="auto" w:after="120"/>
        <w:ind w:firstLine="283"/>
        <w:jc w:val="both"/>
      </w:pPr>
      <w:r>
        <w:rPr>
          <w:rFonts w:ascii="宋体" w:hAnsi="宋体" w:eastAsia="宋体"/>
          <w:b w:val="0"/>
          <w:sz w:val="24"/>
        </w:rPr>
        <w:t>传统碳汇核算、生态变化监测存在人工成本高、标准不统一、数据碎片化等问题。玄女底座凭借统一的地表特征表达，能够实现森林、湿地、草地等生态系统变化的精准检测，为林业、环保、碳交易机构及投资企业提供碳汇量化、ESG报告编制、生态修复评估等专业服务。</w:t>
      </w:r>
    </w:p>
    <w:p>
      <w:pPr>
        <w:pStyle w:val="Heading3"/>
        <w:spacing w:before="160" w:after="160"/>
        <w:jc w:val="left"/>
      </w:pPr>
      <w:r>
        <w:rPr>
          <w:rFonts w:ascii="黑体" w:hAnsi="黑体" w:eastAsia="黑体"/>
          <w:b/>
          <w:sz w:val="24"/>
        </w:rPr>
        <w:t>1.3.3 智慧城市与国土空间监测</w:t>
      </w:r>
    </w:p>
    <w:p>
      <w:pPr>
        <w:spacing w:line="360" w:lineRule="auto" w:after="120"/>
        <w:ind w:firstLine="283"/>
        <w:jc w:val="both"/>
      </w:pPr>
      <w:r>
        <w:rPr>
          <w:rFonts w:ascii="宋体" w:hAnsi="宋体" w:eastAsia="宋体"/>
          <w:b w:val="0"/>
          <w:sz w:val="24"/>
        </w:rPr>
        <w:t>违建巡查、土地利用变化、城市扩张监测等工作长期依赖人工，存在效率低、覆盖不全的痛点。借助玄女底座可实现城市地表要素自动提取、变化自动预警，有效支撑自然资源、住建、城管等部门的常态化监管，降低执法与监测成本。</w:t>
      </w:r>
    </w:p>
    <w:p>
      <w:pPr>
        <w:pStyle w:val="Heading3"/>
        <w:spacing w:before="160" w:after="160"/>
        <w:jc w:val="left"/>
      </w:pPr>
      <w:r>
        <w:rPr>
          <w:rFonts w:ascii="黑体" w:hAnsi="黑体" w:eastAsia="黑体"/>
          <w:b/>
          <w:sz w:val="24"/>
        </w:rPr>
        <w:t>1.3.4 灾害应急与风险管理</w:t>
      </w:r>
    </w:p>
    <w:p>
      <w:pPr>
        <w:spacing w:line="360" w:lineRule="auto" w:after="120"/>
        <w:ind w:firstLine="283"/>
        <w:jc w:val="both"/>
      </w:pPr>
      <w:r>
        <w:rPr>
          <w:rFonts w:ascii="宋体" w:hAnsi="宋体" w:eastAsia="宋体"/>
          <w:b w:val="0"/>
          <w:sz w:val="24"/>
        </w:rPr>
        <w:t>针对洪水、滑坡、干旱等灾害前后对比评估滞后的问题，严重影响救援效率与理赔进度。玄女底座能够快速生成受灾范围、损毁评估及恢复监测报告，为应急管理、水利、气象及财产保险机构提供高效支撑。</w:t>
      </w:r>
    </w:p>
    <w:p>
      <w:pPr>
        <w:pStyle w:val="Heading3"/>
        <w:spacing w:before="160" w:after="160"/>
        <w:jc w:val="left"/>
      </w:pPr>
      <w:r>
        <w:rPr>
          <w:rFonts w:ascii="黑体" w:hAnsi="黑体" w:eastAsia="黑体"/>
          <w:b/>
          <w:sz w:val="24"/>
        </w:rPr>
        <w:t>1.3.5 能源与基础设施安全监测</w:t>
      </w:r>
    </w:p>
    <w:p>
      <w:pPr>
        <w:spacing w:line="360" w:lineRule="auto" w:after="120"/>
        <w:ind w:firstLine="283"/>
        <w:jc w:val="both"/>
      </w:pPr>
      <w:r>
        <w:rPr>
          <w:rFonts w:ascii="宋体" w:hAnsi="宋体" w:eastAsia="宋体"/>
          <w:b w:val="0"/>
          <w:sz w:val="24"/>
        </w:rPr>
        <w:t>长输管线、风电光伏、矿山、水电大坝等设施的巡检工作成本高、风险大、难以实现全域覆盖。玄女底座可对管线沿线地质变化、矿区占地、光伏电站、大坝安全状态进行常态化监测，助力电力、油气、矿山、大坝等大型基建企业提升安全管理水平。</w:t>
      </w:r>
    </w:p>
    <w:p>
      <w:pPr>
        <w:pStyle w:val="Heading2"/>
        <w:spacing w:before="160" w:after="160"/>
        <w:jc w:val="left"/>
      </w:pPr>
      <w:r>
        <w:rPr>
          <w:rFonts w:ascii="黑体" w:hAnsi="黑体" w:eastAsia="黑体"/>
          <w:b/>
          <w:sz w:val="28"/>
        </w:rPr>
        <w:t>1.4 目标客户结构</w:t>
      </w:r>
    </w:p>
    <w:p>
      <w:pPr>
        <w:spacing w:line="360" w:lineRule="auto" w:after="120"/>
        <w:ind w:firstLine="283"/>
        <w:jc w:val="both"/>
      </w:pPr>
      <w:r>
        <w:rPr>
          <w:rFonts w:ascii="宋体" w:hAnsi="宋体" w:eastAsia="宋体"/>
          <w:b w:val="0"/>
          <w:sz w:val="24"/>
        </w:rPr>
        <w:t>从目标客户结构来看，政府及事业单位、商业企业客户、科研及国际合作机构构成了三大核心客户群体。</w:t>
      </w:r>
    </w:p>
    <w:p>
      <w:pPr>
        <w:spacing w:line="360" w:lineRule="auto" w:after="80"/>
        <w:ind w:firstLine="283" w:left="454"/>
      </w:pPr>
      <w:r>
        <w:rPr>
          <w:rFonts w:ascii="宋体" w:hAnsi="宋体" w:eastAsia="宋体"/>
          <w:b/>
          <w:sz w:val="24"/>
        </w:rPr>
        <w:t>政府及事业单位（占比约40%）：</w:t>
      </w:r>
      <w:r>
        <w:rPr>
          <w:rFonts w:ascii="宋体" w:hAnsi="宋体" w:eastAsia="宋体"/>
          <w:b w:val="0"/>
          <w:sz w:val="24"/>
        </w:rPr>
        <w:t>主要包括自然资源、生态环境、农业农村、应急管理、水利、林业等部门。这类客户需求稳定、支付能力强，合作模式以项目制、年度服务为主，能够为项目提供稳定的现金流支撑。</w:t>
      </w:r>
    </w:p>
    <w:p>
      <w:pPr>
        <w:spacing w:line="360" w:lineRule="auto" w:after="80"/>
        <w:ind w:firstLine="283" w:left="454"/>
      </w:pPr>
      <w:r>
        <w:rPr>
          <w:rFonts w:ascii="宋体" w:hAnsi="宋体" w:eastAsia="宋体"/>
          <w:b/>
          <w:sz w:val="24"/>
        </w:rPr>
        <w:t>商业企业客户（占比约50%）：</w:t>
      </w:r>
      <w:r>
        <w:rPr>
          <w:rFonts w:ascii="宋体" w:hAnsi="宋体" w:eastAsia="宋体"/>
          <w:b w:val="0"/>
          <w:sz w:val="24"/>
        </w:rPr>
        <w:t>涵盖农业集团、保险公司、能源电力企业、碳资产管理公司、ESG咨询机构、金融投资机构等。这类客户对服务效率、精度及成本更为敏感，适合采用SaaS订阅、API调用、按次计费等灵活的合作模式，是项目商业化增长的核心动力。</w:t>
      </w:r>
    </w:p>
    <w:p>
      <w:pPr>
        <w:spacing w:line="360" w:lineRule="auto" w:after="80"/>
        <w:ind w:firstLine="283" w:left="454"/>
      </w:pPr>
      <w:r>
        <w:rPr>
          <w:rFonts w:ascii="宋体" w:hAnsi="宋体" w:eastAsia="宋体"/>
          <w:b/>
          <w:sz w:val="24"/>
        </w:rPr>
        <w:t>科研及国际合作机构（占比约10%）：</w:t>
      </w:r>
      <w:r>
        <w:rPr>
          <w:rFonts w:ascii="宋体" w:hAnsi="宋体" w:eastAsia="宋体"/>
          <w:b w:val="0"/>
          <w:sz w:val="24"/>
        </w:rPr>
        <w:t>主要包括高校、科研院所及相关国际组织。合作模式以合作研究、示范项目为主，虽然直接付费能力有限，但能够为项目提供技术验证与品牌背书，助力项目在行业内建立影响力。</w:t>
      </w:r>
    </w:p>
    <w:p>
      <w:pPr>
        <w:pStyle w:val="Heading2"/>
        <w:spacing w:before="160" w:after="160"/>
        <w:jc w:val="left"/>
      </w:pPr>
      <w:r>
        <w:rPr>
          <w:rFonts w:ascii="黑体" w:hAnsi="黑体" w:eastAsia="黑体"/>
          <w:b/>
          <w:sz w:val="28"/>
        </w:rPr>
        <w:t>1.5 竞争格局</w:t>
      </w:r>
    </w:p>
    <w:p>
      <w:pPr>
        <w:spacing w:line="360" w:lineRule="auto" w:after="120"/>
        <w:ind w:firstLine="283"/>
        <w:jc w:val="both"/>
      </w:pPr>
      <w:r>
        <w:rPr>
          <w:rFonts w:ascii="宋体" w:hAnsi="宋体" w:eastAsia="宋体"/>
          <w:b w:val="0"/>
          <w:sz w:val="24"/>
        </w:rPr>
        <w:t>当前遥感商业应用市场竞争格局呈现多元化态势，主要存在三类竞争对手，各有优劣且形成差异化竞争。</w:t>
      </w:r>
    </w:p>
    <w:p>
      <w:pPr>
        <w:spacing w:line="360" w:lineRule="auto" w:after="80"/>
        <w:ind w:firstLine="283" w:left="454"/>
      </w:pPr>
      <w:r>
        <w:rPr>
          <w:rFonts w:ascii="宋体" w:hAnsi="宋体" w:eastAsia="宋体"/>
          <w:b/>
          <w:sz w:val="24"/>
        </w:rPr>
        <w:t>传统遥感服务商：</w:t>
      </w:r>
      <w:r>
        <w:rPr>
          <w:rFonts w:ascii="宋体" w:hAnsi="宋体" w:eastAsia="宋体"/>
          <w:b w:val="0"/>
          <w:sz w:val="24"/>
        </w:rPr>
        <w:t>凭借丰富的数据资源与深厚的政府渠道优势，在行业内占据一定市场份额。但这类企业AI技术能力薄弱、数据处理效率低、服务同质化严重，难以满足市场对智能服务的需求。</w:t>
      </w:r>
    </w:p>
    <w:p>
      <w:pPr>
        <w:spacing w:line="360" w:lineRule="auto" w:after="80"/>
        <w:ind w:firstLine="283" w:left="454"/>
      </w:pPr>
      <w:r>
        <w:rPr>
          <w:rFonts w:ascii="宋体" w:hAnsi="宋体" w:eastAsia="宋体"/>
          <w:b/>
          <w:sz w:val="24"/>
        </w:rPr>
        <w:t>国际平台类服务商：</w:t>
      </w:r>
      <w:r>
        <w:rPr>
          <w:rFonts w:ascii="宋体" w:hAnsi="宋体" w:eastAsia="宋体"/>
          <w:b w:val="0"/>
          <w:sz w:val="24"/>
        </w:rPr>
        <w:t>在算力与模型能力方面具有显著领先优势，但其在国内市场存在数据合规风险、服务响应速度慢、本地化服务不足等问题，难以适配国内客户的个性化需求。</w:t>
      </w:r>
    </w:p>
    <w:p>
      <w:pPr>
        <w:spacing w:line="360" w:lineRule="auto" w:after="80"/>
        <w:ind w:firstLine="283" w:left="454"/>
      </w:pPr>
      <w:r>
        <w:rPr>
          <w:rFonts w:ascii="宋体" w:hAnsi="宋体" w:eastAsia="宋体"/>
          <w:b/>
          <w:sz w:val="24"/>
        </w:rPr>
        <w:t>国内AI遥感创业公司：</w:t>
      </w:r>
      <w:r>
        <w:rPr>
          <w:rFonts w:ascii="宋体" w:hAnsi="宋体" w:eastAsia="宋体"/>
          <w:b w:val="0"/>
          <w:sz w:val="24"/>
        </w:rPr>
        <w:t>具备本土化服务灵活的优势，能够快速响应客户需求。但受限于技术实力，在模型通用性、全球数据覆盖、多源数据融合能力等方面存在明显短板，商业化进展较慢。</w:t>
      </w:r>
    </w:p>
    <w:p>
      <w:pPr>
        <w:spacing w:line="360" w:lineRule="auto" w:after="120"/>
        <w:ind w:firstLine="283"/>
        <w:jc w:val="both"/>
      </w:pPr>
      <w:r>
        <w:rPr>
          <w:rFonts w:ascii="宋体" w:hAnsi="宋体" w:eastAsia="宋体"/>
          <w:b w:val="0"/>
          <w:sz w:val="24"/>
        </w:rPr>
        <w:t>玄女科技的差异化壁垒在于三个「深」：</w:t>
      </w:r>
    </w:p>
    <w:p>
      <w:pPr>
        <w:spacing w:line="360" w:lineRule="auto" w:after="80"/>
        <w:ind w:firstLine="283" w:left="454"/>
      </w:pPr>
      <w:r>
        <w:rPr>
          <w:rFonts w:ascii="宋体" w:hAnsi="宋体" w:eastAsia="宋体"/>
          <w:b/>
          <w:sz w:val="24"/>
        </w:rPr>
        <w:t>深技术：</w:t>
      </w:r>
      <w:r>
        <w:rPr>
          <w:rFonts w:ascii="宋体" w:hAnsi="宋体" w:eastAsia="宋体"/>
          <w:b w:val="0"/>
          <w:sz w:val="24"/>
        </w:rPr>
        <w:t>团队深入研究了国际前沿的时空表征学习方法，自主研发了具备时序敏感性的多模态编码框架。在哈尔滨新区的实测中，变化检测准确率（AUC）达到0.903，处于行业领先水平。</w:t>
      </w:r>
    </w:p>
    <w:p>
      <w:pPr>
        <w:spacing w:line="360" w:lineRule="auto" w:after="80"/>
        <w:ind w:firstLine="283" w:left="454"/>
      </w:pPr>
      <w:r>
        <w:rPr>
          <w:rFonts w:ascii="宋体" w:hAnsi="宋体" w:eastAsia="宋体"/>
          <w:b/>
          <w:sz w:val="24"/>
        </w:rPr>
        <w:t>深数据：</w:t>
      </w:r>
      <w:r>
        <w:rPr>
          <w:rFonts w:ascii="宋体" w:hAnsi="宋体" w:eastAsia="宋体"/>
          <w:b w:val="0"/>
          <w:sz w:val="24"/>
        </w:rPr>
        <w:t>依托中科院空天院国家对地观测科学数据中心，可协调300余颗国产卫星资源，统一管理超过8000万条元数据和15PB数据资产；联合天仪研究院的SAR星座，实现光学+雷达的融合观测能力。</w:t>
      </w:r>
    </w:p>
    <w:p>
      <w:pPr>
        <w:spacing w:line="360" w:lineRule="auto" w:after="80"/>
        <w:ind w:firstLine="283" w:left="454"/>
      </w:pPr>
      <w:r>
        <w:rPr>
          <w:rFonts w:ascii="宋体" w:hAnsi="宋体" w:eastAsia="宋体"/>
          <w:b/>
          <w:sz w:val="24"/>
        </w:rPr>
        <w:t>深场景：</w:t>
      </w:r>
      <w:r>
        <w:rPr>
          <w:rFonts w:ascii="宋体" w:hAnsi="宋体" w:eastAsia="宋体"/>
          <w:b w:val="0"/>
          <w:sz w:val="24"/>
        </w:rPr>
        <w:t>不是做一套放之四海而皆准的通用工具，而是针对水电站、新区开发、农业、环保等具体场景，提供从风险识别、预警推送到合规报告的全流程闭环。</w:t>
      </w:r>
    </w:p>
    <w:p>
      <w:pPr>
        <w:pStyle w:val="Heading2"/>
        <w:spacing w:before="160" w:after="160"/>
        <w:jc w:val="left"/>
      </w:pPr>
      <w:r>
        <w:rPr>
          <w:rFonts w:ascii="黑体" w:hAnsi="黑体" w:eastAsia="黑体"/>
          <w:b/>
          <w:sz w:val="28"/>
        </w:rPr>
        <w:t>1.6 痛点与解决方案</w:t>
      </w:r>
    </w:p>
    <w:p>
      <w:pPr>
        <w:spacing w:line="360" w:lineRule="auto" w:after="120"/>
        <w:ind w:firstLine="283"/>
        <w:jc w:val="both"/>
      </w:pPr>
      <w:r>
        <w:rPr>
          <w:rFonts w:ascii="宋体" w:hAnsi="宋体" w:eastAsia="宋体"/>
          <w:b w:val="0"/>
          <w:sz w:val="24"/>
        </w:rPr>
        <w:t>当前遥感行业存在诸多共性痛点，严重制约了行业商业化发展：</w:t>
      </w:r>
    </w:p>
    <w:p>
      <w:pPr>
        <w:spacing w:line="360" w:lineRule="auto" w:after="80"/>
        <w:ind w:firstLine="283" w:left="454"/>
      </w:pPr>
      <w:r>
        <w:rPr>
          <w:rFonts w:ascii="宋体" w:hAnsi="宋体" w:eastAsia="宋体"/>
          <w:b/>
          <w:sz w:val="24"/>
        </w:rPr>
        <w:t>数据质量不足：</w:t>
      </w:r>
      <w:r>
        <w:rPr>
          <w:rFonts w:ascii="宋体" w:hAnsi="宋体" w:eastAsia="宋体"/>
          <w:b w:val="0"/>
          <w:sz w:val="24"/>
        </w:rPr>
        <w:t>受云层遮挡、数据缺失、时序不连续等问题影响，难以提供稳定可靠的分析依据。玄女底座通过多云、多传感器数据融合技术，有效提升数据完整性。</w:t>
      </w:r>
    </w:p>
    <w:p>
      <w:pPr>
        <w:spacing w:line="360" w:lineRule="auto" w:after="80"/>
        <w:ind w:firstLine="283" w:left="454"/>
      </w:pPr>
      <w:r>
        <w:rPr>
          <w:rFonts w:ascii="宋体" w:hAnsi="宋体" w:eastAsia="宋体"/>
          <w:b/>
          <w:sz w:val="24"/>
        </w:rPr>
        <w:t>数据处理效率低下：</w:t>
      </w:r>
      <w:r>
        <w:rPr>
          <w:rFonts w:ascii="宋体" w:hAnsi="宋体" w:eastAsia="宋体"/>
          <w:b w:val="0"/>
          <w:sz w:val="24"/>
        </w:rPr>
        <w:t>传统人工解译模式周期长、成本高，无法实现规模化服务。玄女底座借助自动化地表解译与变化检测功能，大幅降低人力成本，实现规模化服务。</w:t>
      </w:r>
    </w:p>
    <w:p>
      <w:pPr>
        <w:spacing w:line="360" w:lineRule="auto" w:after="80"/>
        <w:ind w:firstLine="283" w:left="454"/>
      </w:pPr>
      <w:r>
        <w:rPr>
          <w:rFonts w:ascii="宋体" w:hAnsi="宋体" w:eastAsia="宋体"/>
          <w:b/>
          <w:sz w:val="24"/>
        </w:rPr>
        <w:t>多源数据割裂：</w:t>
      </w:r>
      <w:r>
        <w:rPr>
          <w:rFonts w:ascii="宋体" w:hAnsi="宋体" w:eastAsia="宋体"/>
          <w:b w:val="0"/>
          <w:sz w:val="24"/>
        </w:rPr>
        <w:t>光学、雷达、高程等不同类型数据难以实现统一分析，数据价值无法充分发挥。玄女底座通过统一的地表嵌入表达，实现多源遥感数据深度融合。</w:t>
      </w:r>
    </w:p>
    <w:p>
      <w:pPr>
        <w:spacing w:line="360" w:lineRule="auto" w:after="80"/>
        <w:ind w:firstLine="283" w:left="454"/>
      </w:pPr>
      <w:r>
        <w:rPr>
          <w:rFonts w:ascii="宋体" w:hAnsi="宋体" w:eastAsia="宋体"/>
          <w:b/>
          <w:sz w:val="24"/>
        </w:rPr>
        <w:t>应用门槛较高：</w:t>
      </w:r>
      <w:r>
        <w:rPr>
          <w:rFonts w:ascii="宋体" w:hAnsi="宋体" w:eastAsia="宋体"/>
          <w:b w:val="0"/>
          <w:sz w:val="24"/>
        </w:rPr>
        <w:t>行业专业人才稀缺，中小机构难以高效利用遥感技术实现自身需求。玄女底座通过标准化接口输出，显著降低行业应用门槛，让中小机构也能便捷使用遥感能力。</w:t>
      </w:r>
    </w:p>
    <w:p>
      <w:pPr>
        <w:pStyle w:val="Heading2"/>
        <w:spacing w:before="160" w:after="160"/>
        <w:jc w:val="left"/>
      </w:pPr>
      <w:r>
        <w:rPr>
          <w:rFonts w:ascii="黑体" w:hAnsi="黑体" w:eastAsia="黑体"/>
          <w:b/>
          <w:sz w:val="28"/>
        </w:rPr>
        <w:t>1.7 经济可行性</w:t>
      </w:r>
    </w:p>
    <w:p>
      <w:pPr>
        <w:spacing w:line="360" w:lineRule="auto" w:after="120"/>
        <w:ind w:firstLine="283"/>
        <w:jc w:val="both"/>
      </w:pPr>
      <w:r>
        <w:rPr>
          <w:rFonts w:ascii="宋体" w:hAnsi="宋体" w:eastAsia="宋体"/>
          <w:b w:val="0"/>
          <w:sz w:val="24"/>
        </w:rPr>
        <w:t>玄女底座的商业模式具备典型的「平台型」经济特征：前期投入固定成本高，但一旦底座建成，服务新客户的边际成本极低。</w:t>
      </w:r>
    </w:p>
    <w:p>
      <w:pPr>
        <w:spacing w:line="360" w:lineRule="auto" w:after="120"/>
        <w:ind w:firstLine="283"/>
        <w:jc w:val="both"/>
      </w:pPr>
      <w:r>
        <w:rPr>
          <w:rFonts w:ascii="宋体" w:hAnsi="宋体" w:eastAsia="宋体"/>
          <w:b w:val="0"/>
          <w:sz w:val="24"/>
        </w:rPr>
        <w:t>以典型1000平方公里监测区域为例，传统模式下年度原始遥感影像数据量超过100TB，存储与处理成本高昂；经玄女底座压缩为64维嵌入向量后，年度增量控制在20TB以内，存储效率提升5倍，直接节约硬件与云存储成本数百万元。更关键的是，同一区域的基底嵌入向量只需计算一次，后续月度更新仅需增量推理，这意味着每新增一个使用底座的AI模型，几乎不增加额外算力成本。</w:t>
      </w:r>
    </w:p>
    <w:p>
      <w:pPr>
        <w:spacing w:line="360" w:lineRule="auto" w:after="120"/>
        <w:ind w:firstLine="283"/>
        <w:jc w:val="both"/>
      </w:pPr>
      <w:r>
        <w:rPr>
          <w:rFonts w:ascii="宋体" w:hAnsi="宋体" w:eastAsia="宋体"/>
          <w:b w:val="0"/>
          <w:sz w:val="24"/>
        </w:rPr>
        <w:t>从客户视角看，采用玄女底座后，下游AI开发周期从平均6个月缩短至2个月以内，人力投入减少60%。</w:t>
      </w:r>
    </w:p>
    <w:p>
      <w:pPr>
        <w:pStyle w:val="Heading3"/>
        <w:spacing w:before="160" w:after="160"/>
        <w:jc w:val="left"/>
      </w:pPr>
      <w:r>
        <w:rPr>
          <w:rFonts w:ascii="黑体" w:hAnsi="黑体" w:eastAsia="黑体"/>
          <w:b/>
          <w:sz w:val="24"/>
        </w:rPr>
        <w:t>1.7.1 投资回报测算推导</w:t>
      </w:r>
    </w:p>
    <w:p>
      <w:pPr>
        <w:spacing w:line="360" w:lineRule="auto" w:after="120"/>
        <w:ind w:firstLine="283"/>
        <w:jc w:val="both"/>
      </w:pPr>
      <w:r>
        <w:rPr>
          <w:rFonts w:ascii="宋体" w:hAnsi="宋体" w:eastAsia="宋体"/>
          <w:b w:val="0"/>
          <w:sz w:val="24"/>
        </w:rPr>
        <w:t>基于保守假设，项目投资回报推导如下：</w:t>
      </w:r>
    </w:p>
    <w:tbl>
      <w:tblPr>
        <w:tblStyle w:val="TableGrid"/>
        <w:tblW w:type="auto" w:w="0"/>
        <w:tblLook w:firstColumn="1" w:firstRow="1" w:lastColumn="0" w:lastRow="0" w:noHBand="0" w:noVBand="1" w:val="04A0"/>
      </w:tblPr>
      <w:tblGrid>
        <w:gridCol w:w="2771"/>
        <w:gridCol w:w="2771"/>
        <w:gridCol w:w="2771"/>
      </w:tblGrid>
      <w:tr>
        <w:tc>
          <w:tcPr>
            <w:tcW w:type="dxa" w:w="2771"/>
            <w:shd w:fill="D9E2F3"/>
          </w:tcPr>
          <w:p>
            <w:pPr>
              <w:jc w:val="center"/>
            </w:pPr>
            <w:r>
              <w:rPr>
                <w:rFonts w:ascii="黑体" w:hAnsi="黑体" w:eastAsia="黑体"/>
                <w:b/>
                <w:sz w:val="21"/>
              </w:rPr>
              <w:t>假设项</w:t>
            </w:r>
          </w:p>
        </w:tc>
        <w:tc>
          <w:tcPr>
            <w:tcW w:type="dxa" w:w="2771"/>
            <w:shd w:fill="D9E2F3"/>
          </w:tcPr>
          <w:p>
            <w:pPr>
              <w:jc w:val="center"/>
            </w:pPr>
            <w:r>
              <w:rPr>
                <w:rFonts w:ascii="黑体" w:hAnsi="黑体" w:eastAsia="黑体"/>
                <w:b/>
                <w:sz w:val="21"/>
              </w:rPr>
              <w:t>取值</w:t>
            </w:r>
          </w:p>
        </w:tc>
        <w:tc>
          <w:tcPr>
            <w:tcW w:type="dxa" w:w="2771"/>
            <w:shd w:fill="D9E2F3"/>
          </w:tcPr>
          <w:p>
            <w:pPr>
              <w:jc w:val="center"/>
            </w:pPr>
            <w:r>
              <w:rPr>
                <w:rFonts w:ascii="黑体" w:hAnsi="黑体" w:eastAsia="黑体"/>
                <w:b/>
                <w:sz w:val="21"/>
              </w:rPr>
              <w:t>说明</w:t>
            </w:r>
          </w:p>
        </w:tc>
      </w:tr>
      <w:tr>
        <w:tc>
          <w:tcPr>
            <w:tcW w:type="dxa" w:w="2771"/>
          </w:tcPr>
          <w:p>
            <w:pPr>
              <w:jc w:val="center"/>
            </w:pPr>
            <w:r>
              <w:rPr>
                <w:rFonts w:ascii="宋体" w:hAnsi="宋体" w:eastAsia="宋体"/>
                <w:b w:val="0"/>
                <w:sz w:val="21"/>
              </w:rPr>
              <w:t>单项目建设费</w:t>
            </w:r>
          </w:p>
        </w:tc>
        <w:tc>
          <w:tcPr>
            <w:tcW w:type="dxa" w:w="2771"/>
          </w:tcPr>
          <w:p>
            <w:pPr>
              <w:jc w:val="center"/>
            </w:pPr>
            <w:r>
              <w:rPr>
                <w:rFonts w:ascii="宋体" w:hAnsi="宋体" w:eastAsia="宋体"/>
                <w:b w:val="0"/>
                <w:sz w:val="21"/>
              </w:rPr>
              <w:t>5,000万元</w:t>
            </w:r>
          </w:p>
        </w:tc>
        <w:tc>
          <w:tcPr>
            <w:tcW w:type="dxa" w:w="2771"/>
          </w:tcPr>
          <w:p>
            <w:pPr>
              <w:jc w:val="center"/>
            </w:pPr>
            <w:r>
              <w:rPr>
                <w:rFonts w:ascii="宋体" w:hAnsi="宋体" w:eastAsia="宋体"/>
                <w:b w:val="0"/>
                <w:sz w:val="21"/>
              </w:rPr>
              <w:t>含硬件、软件定制、首年数据服务</w:t>
            </w:r>
          </w:p>
        </w:tc>
      </w:tr>
      <w:tr>
        <w:tc>
          <w:tcPr>
            <w:tcW w:type="dxa" w:w="2771"/>
          </w:tcPr>
          <w:p>
            <w:pPr>
              <w:jc w:val="center"/>
            </w:pPr>
            <w:r>
              <w:rPr>
                <w:rFonts w:ascii="宋体" w:hAnsi="宋体" w:eastAsia="宋体"/>
                <w:b w:val="0"/>
                <w:sz w:val="21"/>
              </w:rPr>
              <w:t>单项目年度SaaS费</w:t>
            </w:r>
          </w:p>
        </w:tc>
        <w:tc>
          <w:tcPr>
            <w:tcW w:type="dxa" w:w="2771"/>
          </w:tcPr>
          <w:p>
            <w:pPr>
              <w:jc w:val="center"/>
            </w:pPr>
            <w:r>
              <w:rPr>
                <w:rFonts w:ascii="宋体" w:hAnsi="宋体" w:eastAsia="宋体"/>
                <w:b w:val="0"/>
                <w:sz w:val="21"/>
              </w:rPr>
              <w:t>1,000万元</w:t>
            </w:r>
          </w:p>
        </w:tc>
        <w:tc>
          <w:tcPr>
            <w:tcW w:type="dxa" w:w="2771"/>
          </w:tcPr>
          <w:p>
            <w:pPr>
              <w:jc w:val="center"/>
            </w:pPr>
            <w:r>
              <w:rPr>
                <w:rFonts w:ascii="宋体" w:hAnsi="宋体" w:eastAsia="宋体"/>
                <w:b w:val="0"/>
                <w:sz w:val="21"/>
              </w:rPr>
              <w:t>1000km²区域，月度数据更新</w:t>
            </w:r>
          </w:p>
        </w:tc>
      </w:tr>
      <w:tr>
        <w:tc>
          <w:tcPr>
            <w:tcW w:type="dxa" w:w="2771"/>
          </w:tcPr>
          <w:p>
            <w:pPr>
              <w:jc w:val="center"/>
            </w:pPr>
            <w:r>
              <w:rPr>
                <w:rFonts w:ascii="宋体" w:hAnsi="宋体" w:eastAsia="宋体"/>
                <w:b w:val="0"/>
                <w:sz w:val="21"/>
              </w:rPr>
              <w:t>年度运维成本率</w:t>
            </w:r>
          </w:p>
        </w:tc>
        <w:tc>
          <w:tcPr>
            <w:tcW w:type="dxa" w:w="2771"/>
          </w:tcPr>
          <w:p>
            <w:pPr>
              <w:jc w:val="center"/>
            </w:pPr>
            <w:r>
              <w:rPr>
                <w:rFonts w:ascii="宋体" w:hAnsi="宋体" w:eastAsia="宋体"/>
                <w:b w:val="0"/>
                <w:sz w:val="21"/>
              </w:rPr>
              <w:t>40%</w:t>
            </w:r>
          </w:p>
        </w:tc>
        <w:tc>
          <w:tcPr>
            <w:tcW w:type="dxa" w:w="2771"/>
          </w:tcPr>
          <w:p>
            <w:pPr>
              <w:jc w:val="center"/>
            </w:pPr>
            <w:r>
              <w:rPr>
                <w:rFonts w:ascii="宋体" w:hAnsi="宋体" w:eastAsia="宋体"/>
                <w:b w:val="0"/>
                <w:sz w:val="21"/>
              </w:rPr>
              <w:t>人力、数据采购、算力租赁</w:t>
            </w:r>
          </w:p>
        </w:tc>
      </w:tr>
      <w:tr>
        <w:tc>
          <w:tcPr>
            <w:tcW w:type="dxa" w:w="2771"/>
          </w:tcPr>
          <w:p>
            <w:pPr>
              <w:jc w:val="center"/>
            </w:pPr>
            <w:r>
              <w:rPr>
                <w:rFonts w:ascii="宋体" w:hAnsi="宋体" w:eastAsia="宋体"/>
                <w:b w:val="0"/>
                <w:sz w:val="21"/>
              </w:rPr>
              <w:t>客户获取速度</w:t>
            </w:r>
          </w:p>
        </w:tc>
        <w:tc>
          <w:tcPr>
            <w:tcW w:type="dxa" w:w="2771"/>
          </w:tcPr>
          <w:p>
            <w:pPr>
              <w:jc w:val="center"/>
            </w:pPr>
            <w:r>
              <w:rPr>
                <w:rFonts w:ascii="宋体" w:hAnsi="宋体" w:eastAsia="宋体"/>
                <w:b w:val="0"/>
                <w:sz w:val="21"/>
              </w:rPr>
              <w:t>前3年各2个</w:t>
            </w:r>
          </w:p>
        </w:tc>
        <w:tc>
          <w:tcPr>
            <w:tcW w:type="dxa" w:w="2771"/>
          </w:tcPr>
          <w:p>
            <w:pPr>
              <w:jc w:val="center"/>
            </w:pPr>
            <w:r>
              <w:rPr>
                <w:rFonts w:ascii="宋体" w:hAnsi="宋体" w:eastAsia="宋体"/>
                <w:b w:val="0"/>
                <w:sz w:val="21"/>
              </w:rPr>
              <w:t>第4年起每年新增3-4个</w:t>
            </w:r>
          </w:p>
        </w:tc>
      </w:tr>
      <w:tr>
        <w:tc>
          <w:tcPr>
            <w:tcW w:type="dxa" w:w="2771"/>
          </w:tcPr>
          <w:p>
            <w:pPr>
              <w:jc w:val="center"/>
            </w:pPr>
            <w:r>
              <w:rPr>
                <w:rFonts w:ascii="宋体" w:hAnsi="宋体" w:eastAsia="宋体"/>
                <w:b w:val="0"/>
                <w:sz w:val="21"/>
              </w:rPr>
              <w:t>折现率</w:t>
            </w:r>
          </w:p>
        </w:tc>
        <w:tc>
          <w:tcPr>
            <w:tcW w:type="dxa" w:w="2771"/>
          </w:tcPr>
          <w:p>
            <w:pPr>
              <w:jc w:val="center"/>
            </w:pPr>
            <w:r>
              <w:rPr>
                <w:rFonts w:ascii="宋体" w:hAnsi="宋体" w:eastAsia="宋体"/>
                <w:b w:val="0"/>
                <w:sz w:val="21"/>
              </w:rPr>
              <w:t>10%</w:t>
            </w:r>
          </w:p>
        </w:tc>
        <w:tc>
          <w:tcPr>
            <w:tcW w:type="dxa" w:w="2771"/>
          </w:tcPr>
          <w:p>
            <w:pPr>
              <w:jc w:val="center"/>
            </w:pPr>
            <w:r>
              <w:rPr>
                <w:rFonts w:ascii="宋体" w:hAnsi="宋体" w:eastAsia="宋体"/>
                <w:b w:val="0"/>
                <w:sz w:val="21"/>
              </w:rPr>
              <w:t>行业平均资本成本</w:t>
            </w:r>
          </w:p>
        </w:tc>
      </w:tr>
    </w:tbl>
    <w:p/>
    <w:p>
      <w:pPr>
        <w:spacing w:line="360" w:lineRule="auto" w:after="120"/>
        <w:ind w:firstLine="283"/>
        <w:jc w:val="both"/>
      </w:pPr>
      <w:r>
        <w:rPr>
          <w:rFonts w:ascii="宋体" w:hAnsi="宋体" w:eastAsia="宋体"/>
          <w:b w:val="0"/>
          <w:sz w:val="24"/>
        </w:rPr>
        <w:t>收入端：前3年以建设费为主，第1年2个项目×5000万=1亿元（按50%当年确认收入）；第3年起SaaS收入占比超过50%，进入可持续增长阶段。</w:t>
      </w:r>
    </w:p>
    <w:p>
      <w:pPr>
        <w:spacing w:line="360" w:lineRule="auto" w:after="120"/>
        <w:ind w:firstLine="283"/>
        <w:jc w:val="both"/>
      </w:pPr>
      <w:r>
        <w:rPr>
          <w:rFonts w:ascii="宋体" w:hAnsi="宋体" w:eastAsia="宋体"/>
          <w:b w:val="0"/>
          <w:sz w:val="24"/>
        </w:rPr>
        <w:t>成本端：固定成本（核心团队+基础算力）年均约1200万元；可变成本（卫星数据增量、应急任务）随收入增长但占比递减，从第1年的60%降至第5年的35%。</w:t>
      </w:r>
    </w:p>
    <w:p>
      <w:pPr>
        <w:spacing w:line="360" w:lineRule="auto" w:after="120"/>
        <w:ind w:firstLine="283"/>
        <w:jc w:val="both"/>
      </w:pPr>
      <w:r>
        <w:rPr>
          <w:rFonts w:ascii="宋体" w:hAnsi="宋体" w:eastAsia="宋体"/>
          <w:b w:val="0"/>
          <w:sz w:val="24"/>
        </w:rPr>
        <w:t>利润端：综合毛利率从第1年的45%逐步提升至第5年的65%，反映规模效应和边际成本递减。累计现金流回正时点为第4.5年（含1年研发期）。按10%折现率计算，项目净现值（NPV）约4500万元，内部收益率（IRR）约20%。</w:t>
      </w:r>
    </w:p>
    <w:p>
      <w:pPr>
        <w:pStyle w:val="Heading2"/>
        <w:spacing w:before="160" w:after="160"/>
        <w:jc w:val="left"/>
      </w:pPr>
      <w:r>
        <w:rPr>
          <w:rFonts w:ascii="黑体" w:hAnsi="黑体" w:eastAsia="黑体"/>
          <w:b/>
          <w:sz w:val="28"/>
        </w:rPr>
        <w:t>1.8 标杆验证</w:t>
      </w:r>
    </w:p>
    <w:p>
      <w:pPr>
        <w:spacing w:line="360" w:lineRule="auto" w:after="120"/>
        <w:ind w:firstLine="283"/>
        <w:jc w:val="both"/>
      </w:pPr>
      <w:r>
        <w:rPr>
          <w:rFonts w:ascii="宋体" w:hAnsi="宋体" w:eastAsia="宋体"/>
          <w:b w:val="0"/>
          <w:sz w:val="24"/>
        </w:rPr>
        <w:t>玄女底座已在两个截然不同的大型场景中完成验证：</w:t>
      </w:r>
    </w:p>
    <w:p>
      <w:pPr>
        <w:spacing w:line="360" w:lineRule="auto" w:after="80"/>
        <w:ind w:firstLine="283" w:left="454"/>
      </w:pPr>
      <w:r>
        <w:rPr>
          <w:rFonts w:ascii="宋体" w:hAnsi="宋体" w:eastAsia="宋体"/>
          <w:b/>
          <w:sz w:val="24"/>
        </w:rPr>
        <w:t>哈尔滨新区城市变化检测（695平方公里）：</w:t>
      </w:r>
      <w:r>
        <w:rPr>
          <w:rFonts w:ascii="宋体" w:hAnsi="宋体" w:eastAsia="宋体"/>
          <w:b w:val="0"/>
          <w:sz w:val="24"/>
        </w:rPr>
        <w:t>覆盖2025年4月至10月的多期遥感数据，成功识别建筑工地、房屋拆除、土地转换三类变化。在69个独立验证区域的测试中，变化检测AUC达到0.903，意味着模型能够以超过90%的准确率区分「变化」与「未变化」区域。</w:t>
      </w:r>
    </w:p>
    <w:p>
      <w:pPr>
        <w:spacing w:line="360" w:lineRule="auto" w:after="80"/>
        <w:ind w:firstLine="283" w:left="454"/>
      </w:pPr>
      <w:r>
        <w:rPr>
          <w:rFonts w:ascii="宋体" w:hAnsi="宋体" w:eastAsia="宋体"/>
          <w:b/>
          <w:sz w:val="24"/>
        </w:rPr>
        <w:t>雅鲁藏布江下游水电站安全监测（1000平方公里）：</w:t>
      </w:r>
      <w:r>
        <w:rPr>
          <w:rFonts w:ascii="宋体" w:hAnsi="宋体" w:eastAsia="宋体"/>
          <w:b w:val="0"/>
          <w:sz w:val="24"/>
        </w:rPr>
        <w:t>针对全球海拔最高、地质最复杂的水电工程之一，设计了覆盖施工安全、高位地质灾害、冰湖溃决洪水、地震次生灾害等六大风险场景的立体化监测方案。项目总投资1.2亿元，计划2026年启动实施。</w:t>
      </w:r>
    </w:p>
    <w:p>
      <w:r>
        <w:br w:type="page"/>
      </w:r>
    </w:p>
    <w:p>
      <w:pPr>
        <w:pStyle w:val="Heading1"/>
        <w:spacing w:before="240" w:after="160"/>
        <w:jc w:val="center"/>
      </w:pPr>
      <w:r>
        <w:rPr>
          <w:rFonts w:ascii="黑体" w:hAnsi="黑体" w:eastAsia="黑体"/>
          <w:b/>
          <w:sz w:val="36"/>
        </w:rPr>
        <w:t>第二章  项目实施方案</w:t>
      </w:r>
    </w:p>
    <w:p>
      <w:pPr>
        <w:pStyle w:val="Heading2"/>
        <w:spacing w:before="160" w:after="160"/>
        <w:jc w:val="left"/>
      </w:pPr>
      <w:r>
        <w:rPr>
          <w:rFonts w:ascii="黑体" w:hAnsi="黑体" w:eastAsia="黑体"/>
          <w:b/>
          <w:sz w:val="28"/>
        </w:rPr>
        <w:t>2.1 愿景与目标</w:t>
      </w:r>
    </w:p>
    <w:p>
      <w:pPr>
        <w:spacing w:line="360" w:lineRule="auto" w:after="120"/>
        <w:ind w:firstLine="283"/>
        <w:jc w:val="both"/>
      </w:pPr>
      <w:r>
        <w:rPr>
          <w:rFonts w:ascii="宋体" w:hAnsi="宋体" w:eastAsia="宋体"/>
          <w:b w:val="0"/>
          <w:sz w:val="24"/>
        </w:rPr>
        <w:t>玄女科技的愿景是：让中国每一寸重大基础设施所在的土地，都拥有一张可计算、可演化、可服务的「数字底图」。</w:t>
      </w:r>
    </w:p>
    <w:p>
      <w:pPr>
        <w:spacing w:line="360" w:lineRule="auto" w:after="120"/>
        <w:ind w:firstLine="283"/>
        <w:jc w:val="both"/>
      </w:pPr>
      <w:r>
        <w:rPr>
          <w:rFonts w:ascii="宋体" w:hAnsi="宋体" w:eastAsia="宋体"/>
          <w:b w:val="0"/>
          <w:sz w:val="24"/>
        </w:rPr>
        <w:t>围绕这一愿景，玄女底座设定了三层递进目标：</w:t>
      </w:r>
    </w:p>
    <w:p>
      <w:pPr>
        <w:spacing w:line="360" w:lineRule="auto" w:after="80"/>
        <w:ind w:firstLine="283" w:left="454"/>
      </w:pPr>
      <w:r>
        <w:rPr>
          <w:rFonts w:ascii="宋体" w:hAnsi="宋体" w:eastAsia="宋体"/>
          <w:b/>
          <w:sz w:val="24"/>
        </w:rPr>
        <w:t>感知层目标：</w:t>
      </w:r>
      <w:r>
        <w:rPr>
          <w:rFonts w:ascii="宋体" w:hAnsi="宋体" w:eastAsia="宋体"/>
          <w:b w:val="0"/>
          <w:sz w:val="24"/>
        </w:rPr>
        <w:t>构建「天-空-地-隧」四位一体立体感知网络，实现1000平方公里规划区域的天级覆盖（卫星）和核心50平方公里施工区的小时级至周级监测。</w:t>
      </w:r>
    </w:p>
    <w:p>
      <w:pPr>
        <w:spacing w:line="360" w:lineRule="auto" w:after="80"/>
        <w:ind w:firstLine="283" w:left="454"/>
      </w:pPr>
      <w:r>
        <w:rPr>
          <w:rFonts w:ascii="宋体" w:hAnsi="宋体" w:eastAsia="宋体"/>
          <w:b/>
          <w:sz w:val="24"/>
        </w:rPr>
        <w:t>认知层目标：</w:t>
      </w:r>
      <w:r>
        <w:rPr>
          <w:rFonts w:ascii="宋体" w:hAnsi="宋体" w:eastAsia="宋体"/>
          <w:b w:val="0"/>
          <w:sz w:val="24"/>
        </w:rPr>
        <w:t>将多源异构数据统一编码为64维嵌入向量，空间配准误差≤0.5个像素，时间同步偏差&lt;10分钟，保留95%以上原始信息。</w:t>
      </w:r>
    </w:p>
    <w:p>
      <w:pPr>
        <w:spacing w:line="360" w:lineRule="auto" w:after="80"/>
        <w:ind w:firstLine="283" w:left="454"/>
      </w:pPr>
      <w:r>
        <w:rPr>
          <w:rFonts w:ascii="宋体" w:hAnsi="宋体" w:eastAsia="宋体"/>
          <w:b/>
          <w:sz w:val="24"/>
        </w:rPr>
        <w:t>服务层目标：</w:t>
      </w:r>
      <w:r>
        <w:rPr>
          <w:rFonts w:ascii="宋体" w:hAnsi="宋体" w:eastAsia="宋体"/>
          <w:b w:val="0"/>
          <w:sz w:val="24"/>
        </w:rPr>
        <w:t>提供≥10类标准化数据服务API，响应时间&lt;100毫秒，让任何领域的专业AI模型都能「即插即用」。</w:t>
      </w:r>
    </w:p>
    <w:p>
      <w:pPr>
        <w:pStyle w:val="Heading2"/>
        <w:spacing w:before="160" w:after="160"/>
        <w:jc w:val="left"/>
      </w:pPr>
      <w:r>
        <w:rPr>
          <w:rFonts w:ascii="黑体" w:hAnsi="黑体" w:eastAsia="黑体"/>
          <w:b/>
          <w:sz w:val="28"/>
        </w:rPr>
        <w:t>2.2 技术方案：三层架构</w:t>
      </w:r>
    </w:p>
    <w:p>
      <w:pPr>
        <w:spacing w:line="360" w:lineRule="auto" w:after="120"/>
        <w:ind w:firstLine="283"/>
        <w:jc w:val="both"/>
      </w:pPr>
      <w:r>
        <w:rPr>
          <w:rFonts w:ascii="宋体" w:hAnsi="宋体" w:eastAsia="宋体"/>
          <w:b w:val="0"/>
          <w:sz w:val="24"/>
        </w:rPr>
        <w:t>玄女底座的技术架构分为感知层、认知层和服务层，每层都紧扣「让数据可用、让AI好用」的核心诉求。</w:t>
      </w:r>
    </w:p>
    <w:p>
      <w:pPr>
        <w:pStyle w:val="Heading3"/>
        <w:spacing w:before="160" w:after="160"/>
        <w:jc w:val="left"/>
      </w:pPr>
      <w:r>
        <w:rPr>
          <w:rFonts w:ascii="黑体" w:hAnsi="黑体" w:eastAsia="黑体"/>
          <w:b/>
          <w:sz w:val="24"/>
        </w:rPr>
        <w:t>2.2.1 感知层：多源融合，全域覆盖</w:t>
      </w:r>
    </w:p>
    <w:p>
      <w:pPr>
        <w:spacing w:line="360" w:lineRule="auto" w:after="120"/>
        <w:ind w:firstLine="283"/>
        <w:jc w:val="both"/>
      </w:pPr>
      <w:r>
        <w:rPr>
          <w:rFonts w:ascii="宋体" w:hAnsi="宋体" w:eastAsia="宋体"/>
          <w:b w:val="0"/>
          <w:sz w:val="24"/>
        </w:rPr>
        <w:t>感知层解决「看得见、看得清、看得全」的问题。系统接入三类核心数据源：</w:t>
      </w:r>
    </w:p>
    <w:p>
      <w:pPr>
        <w:spacing w:line="360" w:lineRule="auto" w:after="80"/>
        <w:ind w:firstLine="283" w:left="454"/>
      </w:pPr>
      <w:r>
        <w:rPr>
          <w:rFonts w:ascii="宋体" w:hAnsi="宋体" w:eastAsia="宋体"/>
          <w:b/>
          <w:sz w:val="24"/>
        </w:rPr>
        <w:t>卫星遥感：</w:t>
      </w:r>
      <w:r>
        <w:rPr>
          <w:rFonts w:ascii="宋体" w:hAnsi="宋体" w:eastAsia="宋体"/>
          <w:b w:val="0"/>
          <w:sz w:val="24"/>
        </w:rPr>
        <w:t>协调30余颗国产遥感卫星，包括天仪研究院SAR星座（实现毫米级形变监测）和长光卫星高分光学星座（0.5米分辨率）。</w:t>
      </w:r>
    </w:p>
    <w:p>
      <w:pPr>
        <w:spacing w:line="360" w:lineRule="auto" w:after="80"/>
        <w:ind w:firstLine="283" w:left="454"/>
      </w:pPr>
      <w:r>
        <w:rPr>
          <w:rFonts w:ascii="宋体" w:hAnsi="宋体" w:eastAsia="宋体"/>
          <w:b/>
          <w:sz w:val="24"/>
        </w:rPr>
        <w:t>无人机巡检：</w:t>
      </w:r>
      <w:r>
        <w:rPr>
          <w:rFonts w:ascii="宋体" w:hAnsi="宋体" w:eastAsia="宋体"/>
          <w:b w:val="0"/>
          <w:sz w:val="24"/>
        </w:rPr>
        <w:t>40架无人机组成机动巡检机队，搭载激光雷达和热成像设备，应对突发事件和精细区域扫描。</w:t>
      </w:r>
    </w:p>
    <w:p>
      <w:pPr>
        <w:spacing w:line="360" w:lineRule="auto" w:after="80"/>
        <w:ind w:firstLine="283" w:left="454"/>
      </w:pPr>
      <w:r>
        <w:rPr>
          <w:rFonts w:ascii="宋体" w:hAnsi="宋体" w:eastAsia="宋体"/>
          <w:b/>
          <w:sz w:val="24"/>
        </w:rPr>
        <w:t>地面传感器：</w:t>
      </w:r>
      <w:r>
        <w:rPr>
          <w:rFonts w:ascii="宋体" w:hAnsi="宋体" w:eastAsia="宋体"/>
          <w:b w:val="0"/>
          <w:sz w:val="24"/>
        </w:rPr>
        <w:t>超过500个物联网监测点，包括北斗/GNSS位移监测、应力计、渗压计、气象站，提供秒级到分钟级的实时数据。</w:t>
      </w:r>
    </w:p>
    <w:p>
      <w:pPr>
        <w:spacing w:line="360" w:lineRule="auto" w:after="120"/>
        <w:ind w:firstLine="283"/>
        <w:jc w:val="both"/>
      </w:pPr>
      <w:r>
        <w:rPr>
          <w:rFonts w:ascii="宋体" w:hAnsi="宋体" w:eastAsia="宋体"/>
          <w:b w:val="0"/>
          <w:sz w:val="24"/>
        </w:rPr>
        <w:t>三类数据在ISEA4H全球离散格网系统下进行时空对齐。ISEA4H是由中科院空天院自主研发的国产格网体系，具备全球一致性、多尺度无缝衔接（0.5米至10米）和与北斗系统深度融合的优势，彻底解决了传统投影在高海拔地区的变形误差问题。</w:t>
      </w:r>
    </w:p>
    <w:p>
      <w:pPr>
        <w:pStyle w:val="Heading3"/>
        <w:spacing w:before="160" w:after="160"/>
        <w:jc w:val="left"/>
      </w:pPr>
      <w:r>
        <w:rPr>
          <w:rFonts w:ascii="黑体" w:hAnsi="黑体" w:eastAsia="黑体"/>
          <w:b/>
          <w:sz w:val="24"/>
        </w:rPr>
        <w:t>2.2.2 认知层：时空嵌入，智能压缩</w:t>
      </w:r>
    </w:p>
    <w:p>
      <w:pPr>
        <w:spacing w:line="360" w:lineRule="auto" w:after="120"/>
        <w:ind w:firstLine="283"/>
        <w:jc w:val="both"/>
      </w:pPr>
      <w:r>
        <w:rPr>
          <w:rFonts w:ascii="宋体" w:hAnsi="宋体" w:eastAsia="宋体"/>
          <w:b w:val="0"/>
          <w:sz w:val="24"/>
        </w:rPr>
        <w:t>认知层是玄女底座的技术核心，解决「看得懂、记得住、算得快」的问题。</w:t>
      </w:r>
    </w:p>
    <w:p>
      <w:pPr>
        <w:spacing w:line="360" w:lineRule="auto" w:after="120"/>
        <w:ind w:firstLine="283"/>
        <w:jc w:val="both"/>
      </w:pPr>
      <w:r>
        <w:rPr>
          <w:rFonts w:ascii="宋体" w:hAnsi="宋体" w:eastAsia="宋体"/>
          <w:b w:val="0"/>
          <w:sz w:val="24"/>
        </w:rPr>
        <w:t>团队深入研究了国际前沿的时空表征学习方法，自主研发了一套面向多模态遥感数据的深度编码框架。该框架能够同时处理光学影像、雷达数据和时序传感器数据，将数千维的原始输入压缩为64维的紧凑向量，且这个向量保留了地表状态的时空演化信息。</w:t>
      </w:r>
    </w:p>
    <w:p>
      <w:pPr>
        <w:spacing w:line="360" w:lineRule="auto" w:after="120"/>
        <w:ind w:firstLine="283"/>
        <w:jc w:val="both"/>
      </w:pPr>
      <w:r>
        <w:rPr>
          <w:rFonts w:ascii="宋体" w:hAnsi="宋体" w:eastAsia="宋体"/>
          <w:b w:val="0"/>
          <w:sz w:val="24"/>
        </w:rPr>
        <w:t>更关键的是，团队攻克了行业长期面临的「嵌入坍缩」难题——即模型倾向于生成千篇一律的相似向量，失去对时间变化的敏感性。通过自主研发的反坍缩训练机制和双窗口时序对比学习，玄女底座成功让模型学会区分同一地点不同时间的细微变化。在哈尔滨新区的实测中，模型对「变化前」和「变化后」两种状态的区分度提升了近20倍，这是变化检测准确率突破0.90的技术根基。</w:t>
      </w:r>
    </w:p>
    <w:p>
      <w:pPr>
        <w:spacing w:line="360" w:lineRule="auto" w:after="120"/>
        <w:ind w:firstLine="283"/>
        <w:jc w:val="both"/>
      </w:pPr>
      <w:r>
        <w:rPr>
          <w:rFonts w:ascii="宋体" w:hAnsi="宋体" w:eastAsia="宋体"/>
          <w:b w:val="0"/>
          <w:sz w:val="24"/>
        </w:rPr>
        <w:t>压缩带来的经济价值同样显著：原始多源数据年度存储量通常超过100TB，经玄女底座处理后年度增量控制在20TB以内，存储成本降低80%，同时查询速度提升16倍以上。</w:t>
      </w:r>
    </w:p>
    <w:p>
      <w:pPr>
        <w:pStyle w:val="Heading3"/>
        <w:spacing w:before="160" w:after="160"/>
        <w:jc w:val="left"/>
      </w:pPr>
      <w:r>
        <w:rPr>
          <w:rFonts w:ascii="黑体" w:hAnsi="黑体" w:eastAsia="黑体"/>
          <w:b/>
          <w:sz w:val="24"/>
        </w:rPr>
        <w:t>2.2.3 服务层：数据即服务，API驱动</w:t>
      </w:r>
    </w:p>
    <w:p>
      <w:pPr>
        <w:spacing w:line="360" w:lineRule="auto" w:after="120"/>
        <w:ind w:firstLine="283"/>
        <w:jc w:val="both"/>
      </w:pPr>
      <w:r>
        <w:rPr>
          <w:rFonts w:ascii="宋体" w:hAnsi="宋体" w:eastAsia="宋体"/>
          <w:b w:val="0"/>
          <w:sz w:val="24"/>
        </w:rPr>
        <w:t>服务层解决「用得上、用得好」的问题。玄女底座向上层应用提供三类核心服务：</w:t>
      </w:r>
    </w:p>
    <w:p>
      <w:pPr>
        <w:spacing w:line="360" w:lineRule="auto" w:after="80"/>
        <w:ind w:firstLine="283" w:left="454"/>
      </w:pPr>
      <w:r>
        <w:rPr>
          <w:rFonts w:ascii="宋体" w:hAnsi="宋体" w:eastAsia="宋体"/>
          <w:b/>
          <w:sz w:val="24"/>
        </w:rPr>
        <w:t>基础数据服务：</w:t>
      </w:r>
      <w:r>
        <w:rPr>
          <w:rFonts w:ascii="宋体" w:hAnsi="宋体" w:eastAsia="宋体"/>
          <w:b w:val="0"/>
          <w:sz w:val="24"/>
        </w:rPr>
        <w:t>嵌入向量查询、历史时序回溯、多期对比分析。</w:t>
      </w:r>
    </w:p>
    <w:p>
      <w:pPr>
        <w:spacing w:line="360" w:lineRule="auto" w:after="80"/>
        <w:ind w:firstLine="283" w:left="454"/>
      </w:pPr>
      <w:r>
        <w:rPr>
          <w:rFonts w:ascii="宋体" w:hAnsi="宋体" w:eastAsia="宋体"/>
          <w:b/>
          <w:sz w:val="24"/>
        </w:rPr>
        <w:t>智能分析服务：</w:t>
      </w:r>
      <w:r>
        <w:rPr>
          <w:rFonts w:ascii="宋体" w:hAnsi="宋体" w:eastAsia="宋体"/>
          <w:b w:val="0"/>
          <w:sz w:val="24"/>
        </w:rPr>
        <w:t>变化检测、异常识别、风险热力图生成。</w:t>
      </w:r>
    </w:p>
    <w:p>
      <w:pPr>
        <w:spacing w:line="360" w:lineRule="auto" w:after="80"/>
        <w:ind w:firstLine="283" w:left="454"/>
      </w:pPr>
      <w:r>
        <w:rPr>
          <w:rFonts w:ascii="宋体" w:hAnsi="宋体" w:eastAsia="宋体"/>
          <w:b/>
          <w:sz w:val="24"/>
        </w:rPr>
        <w:t>行业适配服务：</w:t>
      </w:r>
      <w:r>
        <w:rPr>
          <w:rFonts w:ascii="宋体" w:hAnsi="宋体" w:eastAsia="宋体"/>
          <w:b w:val="0"/>
          <w:sz w:val="24"/>
        </w:rPr>
        <w:t>面向水电、交通、城市规划等垂直领域的标准化数据接口和预训练模型头。</w:t>
      </w:r>
    </w:p>
    <w:p>
      <w:pPr>
        <w:spacing w:line="360" w:lineRule="auto" w:after="120"/>
        <w:ind w:firstLine="283"/>
        <w:jc w:val="both"/>
      </w:pPr>
      <w:r>
        <w:rPr>
          <w:rFonts w:ascii="宋体" w:hAnsi="宋体" w:eastAsia="宋体"/>
          <w:b w:val="0"/>
          <w:sz w:val="24"/>
        </w:rPr>
        <w:t>前端展示平台基于React和Cesium三维引擎构建，支持WebGL交互。用户可以在浏览器中自由切换0.5米至10米的多级格网，点击任意格网查看其64维特征雷达图，拖拽时间轴回放地表变化过程。</w:t>
      </w:r>
    </w:p>
    <w:p>
      <w:pPr>
        <w:pStyle w:val="Heading2"/>
        <w:spacing w:before="160" w:after="160"/>
        <w:jc w:val="left"/>
      </w:pPr>
      <w:r>
        <w:rPr>
          <w:rFonts w:ascii="黑体" w:hAnsi="黑体" w:eastAsia="黑体"/>
          <w:b/>
          <w:sz w:val="28"/>
        </w:rPr>
        <w:t>2.3 建设内容：一底座、四体系</w:t>
      </w:r>
    </w:p>
    <w:p>
      <w:pPr>
        <w:spacing w:line="360" w:lineRule="auto" w:after="120"/>
        <w:ind w:firstLine="283"/>
        <w:jc w:val="both"/>
      </w:pPr>
      <w:r>
        <w:rPr>
          <w:rFonts w:ascii="宋体" w:hAnsi="宋体" w:eastAsia="宋体"/>
          <w:b w:val="0"/>
          <w:sz w:val="24"/>
        </w:rPr>
        <w:t>项目建设内容可概括为「一底座、四体系」：</w:t>
      </w:r>
    </w:p>
    <w:p>
      <w:pPr>
        <w:spacing w:line="360" w:lineRule="auto" w:after="80"/>
        <w:ind w:firstLine="283" w:left="454"/>
      </w:pPr>
      <w:r>
        <w:rPr>
          <w:rFonts w:ascii="宋体" w:hAnsi="宋体" w:eastAsia="宋体"/>
          <w:b/>
          <w:sz w:val="24"/>
        </w:rPr>
        <w:t>一个统一数字底座：</w:t>
      </w:r>
      <w:r>
        <w:rPr>
          <w:rFonts w:ascii="宋体" w:hAnsi="宋体" w:eastAsia="宋体"/>
          <w:b w:val="0"/>
          <w:sz w:val="24"/>
        </w:rPr>
        <w:t>采用ISEA4H格网系统，将1000平方公里范围内的地质、水文、气象、传感器监测、遥感影像、BIM模型等所有数据，统一剖分到0.5米至10米的多级格网中，编码为64维嵌入向量，形成全域全要素的时空嵌入一张图。</w:t>
      </w:r>
    </w:p>
    <w:p>
      <w:pPr>
        <w:spacing w:line="360" w:lineRule="auto" w:after="80"/>
        <w:ind w:firstLine="283" w:left="454"/>
      </w:pPr>
      <w:r>
        <w:rPr>
          <w:rFonts w:ascii="宋体" w:hAnsi="宋体" w:eastAsia="宋体"/>
          <w:b/>
          <w:sz w:val="24"/>
        </w:rPr>
        <w:t>立体感知体系：</w:t>
      </w:r>
      <w:r>
        <w:rPr>
          <w:rFonts w:ascii="宋体" w:hAnsi="宋体" w:eastAsia="宋体"/>
          <w:b w:val="0"/>
          <w:sz w:val="24"/>
        </w:rPr>
        <w:t>30余颗卫星、40架无人机、500余个地面传感器组成的立体感知网络。</w:t>
      </w:r>
    </w:p>
    <w:p>
      <w:pPr>
        <w:spacing w:line="360" w:lineRule="auto" w:after="80"/>
        <w:ind w:firstLine="283" w:left="454"/>
      </w:pPr>
      <w:r>
        <w:rPr>
          <w:rFonts w:ascii="宋体" w:hAnsi="宋体" w:eastAsia="宋体"/>
          <w:b/>
          <w:sz w:val="24"/>
        </w:rPr>
        <w:t>数据治理体系：</w:t>
      </w:r>
      <w:r>
        <w:rPr>
          <w:rFonts w:ascii="宋体" w:hAnsi="宋体" w:eastAsia="宋体"/>
          <w:b w:val="0"/>
          <w:sz w:val="24"/>
        </w:rPr>
        <w:t>≥5套数据接入标准规范，云边端协同的数据融合、清洗、压缩流程。</w:t>
      </w:r>
    </w:p>
    <w:p>
      <w:pPr>
        <w:spacing w:line="360" w:lineRule="auto" w:after="80"/>
        <w:ind w:firstLine="283" w:left="454"/>
      </w:pPr>
      <w:r>
        <w:rPr>
          <w:rFonts w:ascii="宋体" w:hAnsi="宋体" w:eastAsia="宋体"/>
          <w:b/>
          <w:sz w:val="24"/>
        </w:rPr>
        <w:t>云边端支撑体系：</w:t>
      </w:r>
      <w:r>
        <w:rPr>
          <w:rFonts w:ascii="宋体" w:hAnsi="宋体" w:eastAsia="宋体"/>
          <w:b w:val="0"/>
          <w:sz w:val="24"/>
        </w:rPr>
        <w:t>20个华为Atlas边缘节点、寒武纪MLU GPU集群、20PB云端存储的三级算力架构。</w:t>
      </w:r>
    </w:p>
    <w:p>
      <w:pPr>
        <w:spacing w:line="360" w:lineRule="auto" w:after="80"/>
        <w:ind w:firstLine="283" w:left="454"/>
      </w:pPr>
      <w:r>
        <w:rPr>
          <w:rFonts w:ascii="宋体" w:hAnsi="宋体" w:eastAsia="宋体"/>
          <w:b/>
          <w:sz w:val="24"/>
        </w:rPr>
        <w:t>安全运维体系：</w:t>
      </w:r>
      <w:r>
        <w:rPr>
          <w:rFonts w:ascii="宋体" w:hAnsi="宋体" w:eastAsia="宋体"/>
          <w:b w:val="0"/>
          <w:sz w:val="24"/>
        </w:rPr>
        <w:t>全套软硬件国产化自主可控，系统可用性≥99.9%，灾难恢复时间&lt;30分钟。</w:t>
      </w:r>
    </w:p>
    <w:p>
      <w:pPr>
        <w:pStyle w:val="Heading2"/>
        <w:spacing w:before="160" w:after="160"/>
        <w:jc w:val="left"/>
      </w:pPr>
      <w:r>
        <w:rPr>
          <w:rFonts w:ascii="黑体" w:hAnsi="黑体" w:eastAsia="黑体"/>
          <w:b/>
          <w:sz w:val="28"/>
        </w:rPr>
        <w:t>2.4 实施计划与里程碑</w:t>
      </w:r>
    </w:p>
    <w:tbl>
      <w:tblPr>
        <w:tblStyle w:val="TableGrid"/>
        <w:tblW w:type="auto" w:w="0"/>
        <w:tblLook w:firstColumn="1" w:firstRow="1" w:lastColumn="0" w:lastRow="0" w:noHBand="0" w:noVBand="1" w:val="04A0"/>
      </w:tblPr>
      <w:tblGrid>
        <w:gridCol w:w="2078"/>
        <w:gridCol w:w="2078"/>
        <w:gridCol w:w="2078"/>
        <w:gridCol w:w="2078"/>
      </w:tblGrid>
      <w:tr>
        <w:tc>
          <w:tcPr>
            <w:tcW w:type="dxa" w:w="2078"/>
            <w:shd w:fill="D9E2F3"/>
          </w:tcPr>
          <w:p>
            <w:pPr>
              <w:jc w:val="center"/>
            </w:pPr>
            <w:r>
              <w:rPr>
                <w:rFonts w:ascii="黑体" w:hAnsi="黑体" w:eastAsia="黑体"/>
                <w:b/>
                <w:sz w:val="21"/>
              </w:rPr>
              <w:t>阶段</w:t>
            </w:r>
          </w:p>
        </w:tc>
        <w:tc>
          <w:tcPr>
            <w:tcW w:type="dxa" w:w="2078"/>
            <w:shd w:fill="D9E2F3"/>
          </w:tcPr>
          <w:p>
            <w:pPr>
              <w:jc w:val="center"/>
            </w:pPr>
            <w:r>
              <w:rPr>
                <w:rFonts w:ascii="黑体" w:hAnsi="黑体" w:eastAsia="黑体"/>
                <w:b/>
                <w:sz w:val="21"/>
              </w:rPr>
              <w:t>时间</w:t>
            </w:r>
          </w:p>
        </w:tc>
        <w:tc>
          <w:tcPr>
            <w:tcW w:type="dxa" w:w="2078"/>
            <w:shd w:fill="D9E2F3"/>
          </w:tcPr>
          <w:p>
            <w:pPr>
              <w:jc w:val="center"/>
            </w:pPr>
            <w:r>
              <w:rPr>
                <w:rFonts w:ascii="黑体" w:hAnsi="黑体" w:eastAsia="黑体"/>
                <w:b/>
                <w:sz w:val="21"/>
              </w:rPr>
              <w:t>里程碑与交付物</w:t>
            </w:r>
          </w:p>
        </w:tc>
        <w:tc>
          <w:tcPr>
            <w:tcW w:type="dxa" w:w="2078"/>
            <w:shd w:fill="D9E2F3"/>
          </w:tcPr>
          <w:p>
            <w:pPr>
              <w:jc w:val="center"/>
            </w:pPr>
            <w:r>
              <w:rPr>
                <w:rFonts w:ascii="黑体" w:hAnsi="黑体" w:eastAsia="黑体"/>
                <w:b/>
                <w:sz w:val="21"/>
              </w:rPr>
              <w:t>资金节点</w:t>
            </w:r>
          </w:p>
        </w:tc>
      </w:tr>
      <w:tr>
        <w:tc>
          <w:tcPr>
            <w:tcW w:type="dxa" w:w="2078"/>
          </w:tcPr>
          <w:p>
            <w:pPr>
              <w:jc w:val="center"/>
            </w:pPr>
            <w:r>
              <w:rPr>
                <w:rFonts w:ascii="宋体" w:hAnsi="宋体" w:eastAsia="宋体"/>
                <w:b w:val="0"/>
                <w:sz w:val="21"/>
              </w:rPr>
              <w:t>第一阶段</w:t>
              <w:br/>
              <w:t>系统设计与准备</w:t>
            </w:r>
          </w:p>
        </w:tc>
        <w:tc>
          <w:tcPr>
            <w:tcW w:type="dxa" w:w="2078"/>
          </w:tcPr>
          <w:p>
            <w:pPr>
              <w:jc w:val="center"/>
            </w:pPr>
            <w:r>
              <w:rPr>
                <w:rFonts w:ascii="宋体" w:hAnsi="宋体" w:eastAsia="宋体"/>
                <w:b w:val="0"/>
                <w:sz w:val="21"/>
              </w:rPr>
              <w:t>2026.01-</w:t>
              <w:br/>
              <w:t>2026.04</w:t>
            </w:r>
          </w:p>
        </w:tc>
        <w:tc>
          <w:tcPr>
            <w:tcW w:type="dxa" w:w="2078"/>
          </w:tcPr>
          <w:p>
            <w:pPr>
              <w:jc w:val="center"/>
            </w:pPr>
            <w:r>
              <w:rPr>
                <w:rFonts w:ascii="宋体" w:hAnsi="宋体" w:eastAsia="宋体"/>
                <w:b w:val="0"/>
                <w:sz w:val="21"/>
              </w:rPr>
              <w:t>完成需求评审、格网部署、卫星数据链路打通、团队组建</w:t>
            </w:r>
          </w:p>
        </w:tc>
        <w:tc>
          <w:tcPr>
            <w:tcW w:type="dxa" w:w="2078"/>
          </w:tcPr>
          <w:p>
            <w:pPr>
              <w:jc w:val="center"/>
            </w:pPr>
            <w:r>
              <w:rPr>
                <w:rFonts w:ascii="宋体" w:hAnsi="宋体" w:eastAsia="宋体"/>
                <w:b w:val="0"/>
                <w:sz w:val="21"/>
              </w:rPr>
              <w:t>启动资金30%</w:t>
            </w:r>
          </w:p>
        </w:tc>
      </w:tr>
      <w:tr>
        <w:tc>
          <w:tcPr>
            <w:tcW w:type="dxa" w:w="2078"/>
          </w:tcPr>
          <w:p>
            <w:pPr>
              <w:jc w:val="center"/>
            </w:pPr>
            <w:r>
              <w:rPr>
                <w:rFonts w:ascii="宋体" w:hAnsi="宋体" w:eastAsia="宋体"/>
                <w:b w:val="0"/>
                <w:sz w:val="21"/>
              </w:rPr>
              <w:t>第二阶段</w:t>
              <w:br/>
              <w:t>核心研发</w:t>
            </w:r>
          </w:p>
        </w:tc>
        <w:tc>
          <w:tcPr>
            <w:tcW w:type="dxa" w:w="2078"/>
          </w:tcPr>
          <w:p>
            <w:pPr>
              <w:jc w:val="center"/>
            </w:pPr>
            <w:r>
              <w:rPr>
                <w:rFonts w:ascii="宋体" w:hAnsi="宋体" w:eastAsia="宋体"/>
                <w:b w:val="0"/>
                <w:sz w:val="21"/>
              </w:rPr>
              <w:t>2026.05-</w:t>
              <w:br/>
              <w:t>2026.10</w:t>
            </w:r>
          </w:p>
        </w:tc>
        <w:tc>
          <w:tcPr>
            <w:tcW w:type="dxa" w:w="2078"/>
          </w:tcPr>
          <w:p>
            <w:pPr>
              <w:jc w:val="center"/>
            </w:pPr>
            <w:r>
              <w:rPr>
                <w:rFonts w:ascii="宋体" w:hAnsi="宋体" w:eastAsia="宋体"/>
                <w:b w:val="0"/>
                <w:sz w:val="21"/>
              </w:rPr>
              <w:t>多模态嵌入模型训练完成、时空数据引擎上线、三维可视化平台交付</w:t>
            </w:r>
          </w:p>
        </w:tc>
        <w:tc>
          <w:tcPr>
            <w:tcW w:type="dxa" w:w="2078"/>
          </w:tcPr>
          <w:p>
            <w:pPr>
              <w:jc w:val="center"/>
            </w:pPr>
            <w:r>
              <w:rPr>
                <w:rFonts w:ascii="宋体" w:hAnsi="宋体" w:eastAsia="宋体"/>
                <w:b w:val="0"/>
                <w:sz w:val="21"/>
              </w:rPr>
              <w:t>里程碑资金40%</w:t>
            </w:r>
          </w:p>
        </w:tc>
      </w:tr>
      <w:tr>
        <w:tc>
          <w:tcPr>
            <w:tcW w:type="dxa" w:w="2078"/>
          </w:tcPr>
          <w:p>
            <w:pPr>
              <w:jc w:val="center"/>
            </w:pPr>
            <w:r>
              <w:rPr>
                <w:rFonts w:ascii="宋体" w:hAnsi="宋体" w:eastAsia="宋体"/>
                <w:b w:val="0"/>
                <w:sz w:val="21"/>
              </w:rPr>
              <w:t>第三阶段</w:t>
              <w:br/>
              <w:t>集成与试运行</w:t>
            </w:r>
          </w:p>
        </w:tc>
        <w:tc>
          <w:tcPr>
            <w:tcW w:type="dxa" w:w="2078"/>
          </w:tcPr>
          <w:p>
            <w:pPr>
              <w:jc w:val="center"/>
            </w:pPr>
            <w:r>
              <w:rPr>
                <w:rFonts w:ascii="宋体" w:hAnsi="宋体" w:eastAsia="宋体"/>
                <w:b w:val="0"/>
                <w:sz w:val="21"/>
              </w:rPr>
              <w:t>2026.11-</w:t>
              <w:br/>
              <w:t>2026.12</w:t>
            </w:r>
          </w:p>
        </w:tc>
        <w:tc>
          <w:tcPr>
            <w:tcW w:type="dxa" w:w="2078"/>
          </w:tcPr>
          <w:p>
            <w:pPr>
              <w:jc w:val="center"/>
            </w:pPr>
            <w:r>
              <w:rPr>
                <w:rFonts w:ascii="宋体" w:hAnsi="宋体" w:eastAsia="宋体"/>
                <w:b w:val="0"/>
                <w:sz w:val="21"/>
              </w:rPr>
              <w:t>系统联调通过、安全等保测评、用户验收、标杆项目试运行</w:t>
            </w:r>
          </w:p>
        </w:tc>
        <w:tc>
          <w:tcPr>
            <w:tcW w:type="dxa" w:w="2078"/>
          </w:tcPr>
          <w:p>
            <w:pPr>
              <w:jc w:val="center"/>
            </w:pPr>
            <w:r>
              <w:rPr>
                <w:rFonts w:ascii="宋体" w:hAnsi="宋体" w:eastAsia="宋体"/>
                <w:b w:val="0"/>
                <w:sz w:val="21"/>
              </w:rPr>
              <w:t>验收资金30%</w:t>
            </w:r>
          </w:p>
        </w:tc>
      </w:tr>
      <w:tr>
        <w:tc>
          <w:tcPr>
            <w:tcW w:type="dxa" w:w="2078"/>
          </w:tcPr>
          <w:p>
            <w:pPr>
              <w:jc w:val="center"/>
            </w:pPr>
            <w:r>
              <w:rPr>
                <w:rFonts w:ascii="宋体" w:hAnsi="宋体" w:eastAsia="宋体"/>
                <w:b w:val="0"/>
                <w:sz w:val="21"/>
              </w:rPr>
              <w:t>第四阶段</w:t>
              <w:br/>
              <w:t>规模运营</w:t>
            </w:r>
          </w:p>
        </w:tc>
        <w:tc>
          <w:tcPr>
            <w:tcW w:type="dxa" w:w="2078"/>
          </w:tcPr>
          <w:p>
            <w:pPr>
              <w:jc w:val="center"/>
            </w:pPr>
            <w:r>
              <w:rPr>
                <w:rFonts w:ascii="宋体" w:hAnsi="宋体" w:eastAsia="宋体"/>
                <w:b w:val="0"/>
                <w:sz w:val="21"/>
              </w:rPr>
              <w:t>2027.01-</w:t>
              <w:br/>
              <w:t>2031.12</w:t>
            </w:r>
          </w:p>
        </w:tc>
        <w:tc>
          <w:tcPr>
            <w:tcW w:type="dxa" w:w="2078"/>
          </w:tcPr>
          <w:p>
            <w:pPr>
              <w:jc w:val="center"/>
            </w:pPr>
            <w:r>
              <w:rPr>
                <w:rFonts w:ascii="宋体" w:hAnsi="宋体" w:eastAsia="宋体"/>
                <w:b w:val="0"/>
                <w:sz w:val="21"/>
              </w:rPr>
              <w:t>5年持续运营，数据更新，模型迭代，客户拓展至5个以上大型工程</w:t>
            </w:r>
          </w:p>
        </w:tc>
        <w:tc>
          <w:tcPr>
            <w:tcW w:type="dxa" w:w="2078"/>
          </w:tcPr>
          <w:p>
            <w:pPr>
              <w:jc w:val="center"/>
            </w:pPr>
            <w:r>
              <w:rPr>
                <w:rFonts w:ascii="宋体" w:hAnsi="宋体" w:eastAsia="宋体"/>
                <w:b w:val="0"/>
                <w:sz w:val="21"/>
              </w:rPr>
              <w:t>年度运维费</w:t>
            </w:r>
          </w:p>
        </w:tc>
      </w:tr>
    </w:tbl>
    <w:p/>
    <w:p>
      <w:pPr>
        <w:pStyle w:val="Heading2"/>
        <w:spacing w:before="160" w:after="160"/>
        <w:jc w:val="left"/>
      </w:pPr>
      <w:r>
        <w:rPr>
          <w:rFonts w:ascii="黑体" w:hAnsi="黑体" w:eastAsia="黑体"/>
          <w:b/>
          <w:sz w:val="28"/>
        </w:rPr>
        <w:t>2.5 团队：国家队+商业航天+顶尖高校的铁三角</w:t>
      </w:r>
    </w:p>
    <w:p>
      <w:pPr>
        <w:spacing w:line="360" w:lineRule="auto" w:after="120"/>
        <w:ind w:firstLine="283"/>
        <w:jc w:val="both"/>
      </w:pPr>
      <w:r>
        <w:rPr>
          <w:rFonts w:ascii="宋体" w:hAnsi="宋体" w:eastAsia="宋体"/>
          <w:b w:val="0"/>
          <w:sz w:val="24"/>
        </w:rPr>
        <w:t>玄女科技的核心竞争力，一半在技术，一半在团队。项目由三家单位联合推进：</w:t>
      </w:r>
    </w:p>
    <w:p>
      <w:pPr>
        <w:spacing w:line="360" w:lineRule="auto" w:after="80"/>
        <w:ind w:firstLine="283" w:left="454"/>
      </w:pPr>
      <w:r>
        <w:rPr>
          <w:rFonts w:ascii="宋体" w:hAnsi="宋体" w:eastAsia="宋体"/>
          <w:b/>
          <w:sz w:val="24"/>
        </w:rPr>
        <w:t>中科院空天信息创新研究院（牵头）：</w:t>
      </w:r>
      <w:r>
        <w:rPr>
          <w:rFonts w:ascii="宋体" w:hAnsi="宋体" w:eastAsia="宋体"/>
          <w:b w:val="0"/>
          <w:sz w:val="24"/>
        </w:rPr>
        <w:t>21个国家级/院级重点实验室，国家对地观测科学数据中心拥有15PB数据资源和23家分中心。「十二五」以来以第一完成单位获国家奖14项。</w:t>
      </w:r>
    </w:p>
    <w:p>
      <w:pPr>
        <w:spacing w:line="360" w:lineRule="auto" w:after="80"/>
        <w:ind w:firstLine="283" w:left="454"/>
      </w:pPr>
      <w:r>
        <w:rPr>
          <w:rFonts w:ascii="宋体" w:hAnsi="宋体" w:eastAsia="宋体"/>
          <w:b/>
          <w:sz w:val="24"/>
        </w:rPr>
        <w:t>天仪研究院（卫星数据与商业运营）：</w:t>
      </w:r>
      <w:r>
        <w:rPr>
          <w:rFonts w:ascii="宋体" w:hAnsi="宋体" w:eastAsia="宋体"/>
          <w:b w:val="0"/>
          <w:sz w:val="24"/>
        </w:rPr>
        <w:t>中国领先的商业SAR卫星运营商，已成功发射38颗卫星，申请发明专利176项，具备2小时快速交付与24小时常态化服务能力。</w:t>
      </w:r>
    </w:p>
    <w:p>
      <w:pPr>
        <w:spacing w:line="360" w:lineRule="auto" w:after="80"/>
        <w:ind w:firstLine="283" w:left="454"/>
      </w:pPr>
      <w:r>
        <w:rPr>
          <w:rFonts w:ascii="宋体" w:hAnsi="宋体" w:eastAsia="宋体"/>
          <w:b/>
          <w:sz w:val="24"/>
        </w:rPr>
        <w:t>北京科技大学（工程安全与防灾）：</w:t>
      </w:r>
      <w:r>
        <w:rPr>
          <w:rFonts w:ascii="宋体" w:hAnsi="宋体" w:eastAsia="宋体"/>
          <w:b w:val="0"/>
          <w:sz w:val="24"/>
        </w:rPr>
        <w:t>中国工程院院士岳清瑞领衔，团队在三峡、白鹤滩、乌东德等重大水利工程中积累了深厚的安全监测与风险评估经验，承担国家级项目100余项。</w:t>
      </w:r>
    </w:p>
    <w:p>
      <w:pPr>
        <w:spacing w:line="360" w:lineRule="auto" w:after="120"/>
        <w:ind w:firstLine="283"/>
        <w:jc w:val="both"/>
      </w:pPr>
      <w:r>
        <w:rPr>
          <w:rFonts w:ascii="宋体" w:hAnsi="宋体" w:eastAsia="宋体"/>
          <w:b w:val="0"/>
          <w:sz w:val="24"/>
        </w:rPr>
        <w:t>三方分别掌握「数据资源」「卫星能力」「工程Know-How」，形成难以复制的铁三角组合。</w:t>
      </w:r>
    </w:p>
    <w:p>
      <w:r>
        <w:br w:type="page"/>
      </w:r>
    </w:p>
    <w:p>
      <w:pPr>
        <w:pStyle w:val="Heading1"/>
        <w:spacing w:before="240" w:after="160"/>
        <w:jc w:val="center"/>
      </w:pPr>
      <w:r>
        <w:rPr>
          <w:rFonts w:ascii="黑体" w:hAnsi="黑体" w:eastAsia="黑体"/>
          <w:b/>
          <w:sz w:val="36"/>
        </w:rPr>
        <w:t>第三章  项目融资方案</w:t>
      </w:r>
    </w:p>
    <w:p>
      <w:pPr>
        <w:pStyle w:val="Heading2"/>
        <w:spacing w:before="160" w:after="160"/>
        <w:jc w:val="left"/>
      </w:pPr>
      <w:r>
        <w:rPr>
          <w:rFonts w:ascii="黑体" w:hAnsi="黑体" w:eastAsia="黑体"/>
          <w:b/>
          <w:sz w:val="28"/>
        </w:rPr>
        <w:t>3.1 本轮融资需求</w:t>
      </w:r>
    </w:p>
    <w:p>
      <w:pPr>
        <w:spacing w:line="360" w:lineRule="auto" w:after="120"/>
        <w:ind w:firstLine="283"/>
        <w:jc w:val="both"/>
      </w:pPr>
      <w:r>
        <w:rPr>
          <w:rFonts w:ascii="宋体" w:hAnsi="宋体" w:eastAsia="宋体"/>
          <w:b w:val="0"/>
          <w:sz w:val="24"/>
        </w:rPr>
        <w:t>玄女科技本轮寻求融资5000万元人民币，出让约15%-20%股权，投后估值约2.5亿-3亿元。资金将严格对应里程碑节点使用：</w:t>
      </w:r>
    </w:p>
    <w:tbl>
      <w:tblPr>
        <w:tblStyle w:val="TableGrid"/>
        <w:tblW w:type="auto" w:w="0"/>
        <w:tblLook w:firstColumn="1" w:firstRow="1" w:lastColumn="0" w:lastRow="0" w:noHBand="0" w:noVBand="1" w:val="04A0"/>
      </w:tblPr>
      <w:tblGrid>
        <w:gridCol w:w="2078"/>
        <w:gridCol w:w="2078"/>
        <w:gridCol w:w="2078"/>
        <w:gridCol w:w="2078"/>
      </w:tblGrid>
      <w:tr>
        <w:tc>
          <w:tcPr>
            <w:tcW w:type="dxa" w:w="2078"/>
            <w:shd w:fill="D9E2F3"/>
          </w:tcPr>
          <w:p>
            <w:pPr>
              <w:jc w:val="center"/>
            </w:pPr>
            <w:r>
              <w:rPr>
                <w:rFonts w:ascii="黑体" w:hAnsi="黑体" w:eastAsia="黑体"/>
                <w:b/>
                <w:sz w:val="21"/>
              </w:rPr>
              <w:t>用途</w:t>
            </w:r>
          </w:p>
        </w:tc>
        <w:tc>
          <w:tcPr>
            <w:tcW w:type="dxa" w:w="2078"/>
            <w:shd w:fill="D9E2F3"/>
          </w:tcPr>
          <w:p>
            <w:pPr>
              <w:jc w:val="center"/>
            </w:pPr>
            <w:r>
              <w:rPr>
                <w:rFonts w:ascii="黑体" w:hAnsi="黑体" w:eastAsia="黑体"/>
                <w:b/>
                <w:sz w:val="21"/>
              </w:rPr>
              <w:t>金额（万元）</w:t>
            </w:r>
          </w:p>
        </w:tc>
        <w:tc>
          <w:tcPr>
            <w:tcW w:type="dxa" w:w="2078"/>
            <w:shd w:fill="D9E2F3"/>
          </w:tcPr>
          <w:p>
            <w:pPr>
              <w:jc w:val="center"/>
            </w:pPr>
            <w:r>
              <w:rPr>
                <w:rFonts w:ascii="黑体" w:hAnsi="黑体" w:eastAsia="黑体"/>
                <w:b/>
                <w:sz w:val="21"/>
              </w:rPr>
              <w:t>占比</w:t>
            </w:r>
          </w:p>
        </w:tc>
        <w:tc>
          <w:tcPr>
            <w:tcW w:type="dxa" w:w="2078"/>
            <w:shd w:fill="D9E2F3"/>
          </w:tcPr>
          <w:p>
            <w:pPr>
              <w:jc w:val="center"/>
            </w:pPr>
            <w:r>
              <w:rPr>
                <w:rFonts w:ascii="黑体" w:hAnsi="黑体" w:eastAsia="黑体"/>
                <w:b/>
                <w:sz w:val="21"/>
              </w:rPr>
              <w:t>对应里程碑</w:t>
            </w:r>
          </w:p>
        </w:tc>
      </w:tr>
      <w:tr>
        <w:tc>
          <w:tcPr>
            <w:tcW w:type="dxa" w:w="2078"/>
          </w:tcPr>
          <w:p>
            <w:pPr>
              <w:jc w:val="center"/>
            </w:pPr>
            <w:r>
              <w:rPr>
                <w:rFonts w:ascii="宋体" w:hAnsi="宋体" w:eastAsia="宋体"/>
                <w:b w:val="0"/>
                <w:sz w:val="21"/>
              </w:rPr>
              <w:t>产品研发</w:t>
            </w:r>
          </w:p>
        </w:tc>
        <w:tc>
          <w:tcPr>
            <w:tcW w:type="dxa" w:w="2078"/>
          </w:tcPr>
          <w:p>
            <w:pPr>
              <w:jc w:val="center"/>
            </w:pPr>
            <w:r>
              <w:rPr>
                <w:rFonts w:ascii="宋体" w:hAnsi="宋体" w:eastAsia="宋体"/>
                <w:b w:val="0"/>
                <w:sz w:val="21"/>
              </w:rPr>
              <w:t>2,000</w:t>
            </w:r>
          </w:p>
        </w:tc>
        <w:tc>
          <w:tcPr>
            <w:tcW w:type="dxa" w:w="2078"/>
          </w:tcPr>
          <w:p>
            <w:pPr>
              <w:jc w:val="center"/>
            </w:pPr>
            <w:r>
              <w:rPr>
                <w:rFonts w:ascii="宋体" w:hAnsi="宋体" w:eastAsia="宋体"/>
                <w:b w:val="0"/>
                <w:sz w:val="21"/>
              </w:rPr>
              <w:t>40%</w:t>
            </w:r>
          </w:p>
        </w:tc>
        <w:tc>
          <w:tcPr>
            <w:tcW w:type="dxa" w:w="2078"/>
          </w:tcPr>
          <w:p>
            <w:pPr>
              <w:jc w:val="center"/>
            </w:pPr>
            <w:r>
              <w:rPr>
                <w:rFonts w:ascii="宋体" w:hAnsi="宋体" w:eastAsia="宋体"/>
                <w:b w:val="0"/>
                <w:sz w:val="21"/>
              </w:rPr>
              <w:t>完成核心模型训练、引擎开发、可视化平台</w:t>
            </w:r>
          </w:p>
        </w:tc>
      </w:tr>
      <w:tr>
        <w:tc>
          <w:tcPr>
            <w:tcW w:type="dxa" w:w="2078"/>
          </w:tcPr>
          <w:p>
            <w:pPr>
              <w:jc w:val="center"/>
            </w:pPr>
            <w:r>
              <w:rPr>
                <w:rFonts w:ascii="宋体" w:hAnsi="宋体" w:eastAsia="宋体"/>
                <w:b w:val="0"/>
                <w:sz w:val="21"/>
              </w:rPr>
              <w:t>全国数据网络建设</w:t>
            </w:r>
          </w:p>
        </w:tc>
        <w:tc>
          <w:tcPr>
            <w:tcW w:type="dxa" w:w="2078"/>
          </w:tcPr>
          <w:p>
            <w:pPr>
              <w:jc w:val="center"/>
            </w:pPr>
            <w:r>
              <w:rPr>
                <w:rFonts w:ascii="宋体" w:hAnsi="宋体" w:eastAsia="宋体"/>
                <w:b w:val="0"/>
                <w:sz w:val="21"/>
              </w:rPr>
              <w:t>1,200</w:t>
            </w:r>
          </w:p>
        </w:tc>
        <w:tc>
          <w:tcPr>
            <w:tcW w:type="dxa" w:w="2078"/>
          </w:tcPr>
          <w:p>
            <w:pPr>
              <w:jc w:val="center"/>
            </w:pPr>
            <w:r>
              <w:rPr>
                <w:rFonts w:ascii="宋体" w:hAnsi="宋体" w:eastAsia="宋体"/>
                <w:b w:val="0"/>
                <w:sz w:val="21"/>
              </w:rPr>
              <w:t>24%</w:t>
            </w:r>
          </w:p>
        </w:tc>
        <w:tc>
          <w:tcPr>
            <w:tcW w:type="dxa" w:w="2078"/>
          </w:tcPr>
          <w:p>
            <w:pPr>
              <w:jc w:val="center"/>
            </w:pPr>
            <w:r>
              <w:rPr>
                <w:rFonts w:ascii="宋体" w:hAnsi="宋体" w:eastAsia="宋体"/>
                <w:b w:val="0"/>
                <w:sz w:val="21"/>
              </w:rPr>
              <w:t>接入3个以上区域数据源，建成初步数据资产</w:t>
            </w:r>
          </w:p>
        </w:tc>
      </w:tr>
      <w:tr>
        <w:tc>
          <w:tcPr>
            <w:tcW w:type="dxa" w:w="2078"/>
          </w:tcPr>
          <w:p>
            <w:pPr>
              <w:jc w:val="center"/>
            </w:pPr>
            <w:r>
              <w:rPr>
                <w:rFonts w:ascii="宋体" w:hAnsi="宋体" w:eastAsia="宋体"/>
                <w:b w:val="0"/>
                <w:sz w:val="21"/>
              </w:rPr>
              <w:t>标杆客户拓展</w:t>
            </w:r>
          </w:p>
        </w:tc>
        <w:tc>
          <w:tcPr>
            <w:tcW w:type="dxa" w:w="2078"/>
          </w:tcPr>
          <w:p>
            <w:pPr>
              <w:jc w:val="center"/>
            </w:pPr>
            <w:r>
              <w:rPr>
                <w:rFonts w:ascii="宋体" w:hAnsi="宋体" w:eastAsia="宋体"/>
                <w:b w:val="0"/>
                <w:sz w:val="21"/>
              </w:rPr>
              <w:t>1,000</w:t>
            </w:r>
          </w:p>
        </w:tc>
        <w:tc>
          <w:tcPr>
            <w:tcW w:type="dxa" w:w="2078"/>
          </w:tcPr>
          <w:p>
            <w:pPr>
              <w:jc w:val="center"/>
            </w:pPr>
            <w:r>
              <w:rPr>
                <w:rFonts w:ascii="宋体" w:hAnsi="宋体" w:eastAsia="宋体"/>
                <w:b w:val="0"/>
                <w:sz w:val="21"/>
              </w:rPr>
              <w:t>20%</w:t>
            </w:r>
          </w:p>
        </w:tc>
        <w:tc>
          <w:tcPr>
            <w:tcW w:type="dxa" w:w="2078"/>
          </w:tcPr>
          <w:p>
            <w:pPr>
              <w:jc w:val="center"/>
            </w:pPr>
            <w:r>
              <w:rPr>
                <w:rFonts w:ascii="宋体" w:hAnsi="宋体" w:eastAsia="宋体"/>
                <w:b w:val="0"/>
                <w:sz w:val="21"/>
              </w:rPr>
              <w:t>签约3-5个大型工程项目</w:t>
            </w:r>
          </w:p>
        </w:tc>
      </w:tr>
      <w:tr>
        <w:tc>
          <w:tcPr>
            <w:tcW w:type="dxa" w:w="2078"/>
          </w:tcPr>
          <w:p>
            <w:pPr>
              <w:jc w:val="center"/>
            </w:pPr>
            <w:r>
              <w:rPr>
                <w:rFonts w:ascii="宋体" w:hAnsi="宋体" w:eastAsia="宋体"/>
                <w:b w:val="0"/>
                <w:sz w:val="21"/>
              </w:rPr>
              <w:t>团队扩充</w:t>
            </w:r>
          </w:p>
        </w:tc>
        <w:tc>
          <w:tcPr>
            <w:tcW w:type="dxa" w:w="2078"/>
          </w:tcPr>
          <w:p>
            <w:pPr>
              <w:jc w:val="center"/>
            </w:pPr>
            <w:r>
              <w:rPr>
                <w:rFonts w:ascii="宋体" w:hAnsi="宋体" w:eastAsia="宋体"/>
                <w:b w:val="0"/>
                <w:sz w:val="21"/>
              </w:rPr>
              <w:t>600</w:t>
            </w:r>
          </w:p>
        </w:tc>
        <w:tc>
          <w:tcPr>
            <w:tcW w:type="dxa" w:w="2078"/>
          </w:tcPr>
          <w:p>
            <w:pPr>
              <w:jc w:val="center"/>
            </w:pPr>
            <w:r>
              <w:rPr>
                <w:rFonts w:ascii="宋体" w:hAnsi="宋体" w:eastAsia="宋体"/>
                <w:b w:val="0"/>
                <w:sz w:val="21"/>
              </w:rPr>
              <w:t>12%</w:t>
            </w:r>
          </w:p>
        </w:tc>
        <w:tc>
          <w:tcPr>
            <w:tcW w:type="dxa" w:w="2078"/>
          </w:tcPr>
          <w:p>
            <w:pPr>
              <w:jc w:val="center"/>
            </w:pPr>
            <w:r>
              <w:rPr>
                <w:rFonts w:ascii="宋体" w:hAnsi="宋体" w:eastAsia="宋体"/>
                <w:b w:val="0"/>
                <w:sz w:val="21"/>
              </w:rPr>
              <w:t>核心技术团队扩充至45人</w:t>
            </w:r>
          </w:p>
        </w:tc>
      </w:tr>
      <w:tr>
        <w:tc>
          <w:tcPr>
            <w:tcW w:type="dxa" w:w="2078"/>
          </w:tcPr>
          <w:p>
            <w:pPr>
              <w:jc w:val="center"/>
            </w:pPr>
            <w:r>
              <w:rPr>
                <w:rFonts w:ascii="宋体" w:hAnsi="宋体" w:eastAsia="宋体"/>
                <w:b w:val="0"/>
                <w:sz w:val="21"/>
              </w:rPr>
              <w:t>运营储备</w:t>
            </w:r>
          </w:p>
        </w:tc>
        <w:tc>
          <w:tcPr>
            <w:tcW w:type="dxa" w:w="2078"/>
          </w:tcPr>
          <w:p>
            <w:pPr>
              <w:jc w:val="center"/>
            </w:pPr>
            <w:r>
              <w:rPr>
                <w:rFonts w:ascii="宋体" w:hAnsi="宋体" w:eastAsia="宋体"/>
                <w:b w:val="0"/>
                <w:sz w:val="21"/>
              </w:rPr>
              <w:t>200</w:t>
            </w:r>
          </w:p>
        </w:tc>
        <w:tc>
          <w:tcPr>
            <w:tcW w:type="dxa" w:w="2078"/>
          </w:tcPr>
          <w:p>
            <w:pPr>
              <w:jc w:val="center"/>
            </w:pPr>
            <w:r>
              <w:rPr>
                <w:rFonts w:ascii="宋体" w:hAnsi="宋体" w:eastAsia="宋体"/>
                <w:b w:val="0"/>
                <w:sz w:val="21"/>
              </w:rPr>
              <w:t>4%</w:t>
            </w:r>
          </w:p>
        </w:tc>
        <w:tc>
          <w:tcPr>
            <w:tcW w:type="dxa" w:w="2078"/>
          </w:tcPr>
          <w:p>
            <w:pPr>
              <w:jc w:val="center"/>
            </w:pPr>
            <w:r>
              <w:rPr>
                <w:rFonts w:ascii="宋体" w:hAnsi="宋体" w:eastAsia="宋体"/>
                <w:b w:val="0"/>
                <w:sz w:val="21"/>
              </w:rPr>
              <w:t>应急资金与日常周转</w:t>
            </w:r>
          </w:p>
        </w:tc>
      </w:tr>
    </w:tbl>
    <w:p/>
    <w:p>
      <w:pPr>
        <w:pStyle w:val="Heading2"/>
        <w:spacing w:before="160" w:after="160"/>
        <w:jc w:val="left"/>
      </w:pPr>
      <w:r>
        <w:rPr>
          <w:rFonts w:ascii="黑体" w:hAnsi="黑体" w:eastAsia="黑体"/>
          <w:b/>
          <w:sz w:val="28"/>
        </w:rPr>
        <w:t>3.2 投资估算</w:t>
      </w:r>
    </w:p>
    <w:p>
      <w:pPr>
        <w:spacing w:line="360" w:lineRule="auto" w:after="120"/>
        <w:ind w:firstLine="283"/>
        <w:jc w:val="both"/>
      </w:pPr>
      <w:r>
        <w:rPr>
          <w:rFonts w:ascii="宋体" w:hAnsi="宋体" w:eastAsia="宋体"/>
          <w:b w:val="0"/>
          <w:sz w:val="24"/>
        </w:rPr>
        <w:t>参照同类重大工程数字化底座项目造价结构，单个1000平方公里级项目的总投资约1.2亿元，其中：</w:t>
      </w:r>
    </w:p>
    <w:tbl>
      <w:tblPr>
        <w:tblStyle w:val="TableGrid"/>
        <w:tblW w:type="auto" w:w="0"/>
        <w:tblLook w:firstColumn="1" w:firstRow="1" w:lastColumn="0" w:lastRow="0" w:noHBand="0" w:noVBand="1" w:val="04A0"/>
      </w:tblPr>
      <w:tblGrid>
        <w:gridCol w:w="2771"/>
        <w:gridCol w:w="2771"/>
        <w:gridCol w:w="2771"/>
      </w:tblGrid>
      <w:tr>
        <w:tc>
          <w:tcPr>
            <w:tcW w:type="dxa" w:w="2771"/>
            <w:shd w:fill="D9E2F3"/>
          </w:tcPr>
          <w:p>
            <w:pPr>
              <w:jc w:val="center"/>
            </w:pPr>
            <w:r>
              <w:rPr>
                <w:rFonts w:ascii="黑体" w:hAnsi="黑体" w:eastAsia="黑体"/>
                <w:b/>
                <w:sz w:val="21"/>
              </w:rPr>
              <w:t>投资类别</w:t>
            </w:r>
          </w:p>
        </w:tc>
        <w:tc>
          <w:tcPr>
            <w:tcW w:type="dxa" w:w="2771"/>
            <w:shd w:fill="D9E2F3"/>
          </w:tcPr>
          <w:p>
            <w:pPr>
              <w:jc w:val="center"/>
            </w:pPr>
            <w:r>
              <w:rPr>
                <w:rFonts w:ascii="黑体" w:hAnsi="黑体" w:eastAsia="黑体"/>
                <w:b/>
                <w:sz w:val="21"/>
              </w:rPr>
              <w:t>金额（万元）</w:t>
            </w:r>
          </w:p>
        </w:tc>
        <w:tc>
          <w:tcPr>
            <w:tcW w:type="dxa" w:w="2771"/>
            <w:shd w:fill="D9E2F3"/>
          </w:tcPr>
          <w:p>
            <w:pPr>
              <w:jc w:val="center"/>
            </w:pPr>
            <w:r>
              <w:rPr>
                <w:rFonts w:ascii="黑体" w:hAnsi="黑体" w:eastAsia="黑体"/>
                <w:b/>
                <w:sz w:val="21"/>
              </w:rPr>
              <w:t>说明</w:t>
            </w:r>
          </w:p>
        </w:tc>
      </w:tr>
      <w:tr>
        <w:tc>
          <w:tcPr>
            <w:tcW w:type="dxa" w:w="2771"/>
          </w:tcPr>
          <w:p>
            <w:pPr>
              <w:jc w:val="center"/>
            </w:pPr>
            <w:r>
              <w:rPr>
                <w:rFonts w:ascii="宋体" w:hAnsi="宋体" w:eastAsia="宋体"/>
                <w:b w:val="0"/>
                <w:sz w:val="21"/>
              </w:rPr>
              <w:t>硬件投资</w:t>
            </w:r>
          </w:p>
        </w:tc>
        <w:tc>
          <w:tcPr>
            <w:tcW w:type="dxa" w:w="2771"/>
          </w:tcPr>
          <w:p>
            <w:pPr>
              <w:jc w:val="center"/>
            </w:pPr>
            <w:r>
              <w:rPr>
                <w:rFonts w:ascii="宋体" w:hAnsi="宋体" w:eastAsia="宋体"/>
                <w:b w:val="0"/>
                <w:sz w:val="21"/>
              </w:rPr>
              <w:t>1,300</w:t>
            </w:r>
          </w:p>
        </w:tc>
        <w:tc>
          <w:tcPr>
            <w:tcW w:type="dxa" w:w="2771"/>
          </w:tcPr>
          <w:p>
            <w:pPr>
              <w:jc w:val="center"/>
            </w:pPr>
            <w:r>
              <w:rPr>
                <w:rFonts w:ascii="宋体" w:hAnsi="宋体" w:eastAsia="宋体"/>
                <w:b w:val="0"/>
                <w:sz w:val="21"/>
              </w:rPr>
              <w:t>边缘节点、GPU服务器、20PB存储、无人机及传感器</w:t>
            </w:r>
          </w:p>
        </w:tc>
      </w:tr>
      <w:tr>
        <w:tc>
          <w:tcPr>
            <w:tcW w:type="dxa" w:w="2771"/>
          </w:tcPr>
          <w:p>
            <w:pPr>
              <w:jc w:val="center"/>
            </w:pPr>
            <w:r>
              <w:rPr>
                <w:rFonts w:ascii="宋体" w:hAnsi="宋体" w:eastAsia="宋体"/>
                <w:b w:val="0"/>
                <w:sz w:val="21"/>
              </w:rPr>
              <w:t>软件投资</w:t>
            </w:r>
          </w:p>
        </w:tc>
        <w:tc>
          <w:tcPr>
            <w:tcW w:type="dxa" w:w="2771"/>
          </w:tcPr>
          <w:p>
            <w:pPr>
              <w:jc w:val="center"/>
            </w:pPr>
            <w:r>
              <w:rPr>
                <w:rFonts w:ascii="宋体" w:hAnsi="宋体" w:eastAsia="宋体"/>
                <w:b w:val="0"/>
                <w:sz w:val="21"/>
              </w:rPr>
              <w:t>3,700</w:t>
            </w:r>
          </w:p>
        </w:tc>
        <w:tc>
          <w:tcPr>
            <w:tcW w:type="dxa" w:w="2771"/>
          </w:tcPr>
          <w:p>
            <w:pPr>
              <w:jc w:val="center"/>
            </w:pPr>
            <w:r>
              <w:rPr>
                <w:rFonts w:ascii="宋体" w:hAnsi="宋体" w:eastAsia="宋体"/>
                <w:b w:val="0"/>
                <w:sz w:val="21"/>
              </w:rPr>
              <w:t>底座平台、AI模型、可视化系统、测试认证</w:t>
            </w:r>
          </w:p>
        </w:tc>
      </w:tr>
      <w:tr>
        <w:tc>
          <w:tcPr>
            <w:tcW w:type="dxa" w:w="2771"/>
          </w:tcPr>
          <w:p>
            <w:pPr>
              <w:jc w:val="center"/>
            </w:pPr>
            <w:r>
              <w:rPr>
                <w:rFonts w:ascii="宋体" w:hAnsi="宋体" w:eastAsia="宋体"/>
                <w:b w:val="0"/>
                <w:sz w:val="21"/>
              </w:rPr>
              <w:t>5年运行费用</w:t>
            </w:r>
          </w:p>
        </w:tc>
        <w:tc>
          <w:tcPr>
            <w:tcW w:type="dxa" w:w="2771"/>
          </w:tcPr>
          <w:p>
            <w:pPr>
              <w:jc w:val="center"/>
            </w:pPr>
            <w:r>
              <w:rPr>
                <w:rFonts w:ascii="宋体" w:hAnsi="宋体" w:eastAsia="宋体"/>
                <w:b w:val="0"/>
                <w:sz w:val="21"/>
              </w:rPr>
              <w:t>7,000</w:t>
            </w:r>
          </w:p>
        </w:tc>
        <w:tc>
          <w:tcPr>
            <w:tcW w:type="dxa" w:w="2771"/>
          </w:tcPr>
          <w:p>
            <w:pPr>
              <w:jc w:val="center"/>
            </w:pPr>
            <w:r>
              <w:rPr>
                <w:rFonts w:ascii="宋体" w:hAnsi="宋体" w:eastAsia="宋体"/>
                <w:b w:val="0"/>
                <w:sz w:val="21"/>
              </w:rPr>
              <w:t>卫星数据采购、算力租赁、45人团队、设备更新</w:t>
            </w:r>
          </w:p>
        </w:tc>
      </w:tr>
      <w:tr>
        <w:tc>
          <w:tcPr>
            <w:tcW w:type="dxa" w:w="2771"/>
          </w:tcPr>
          <w:p>
            <w:pPr>
              <w:jc w:val="center"/>
            </w:pPr>
            <w:r>
              <w:rPr>
                <w:rFonts w:ascii="宋体" w:hAnsi="宋体" w:eastAsia="宋体"/>
                <w:b w:val="0"/>
                <w:sz w:val="21"/>
              </w:rPr>
              <w:t>合计</w:t>
            </w:r>
          </w:p>
        </w:tc>
        <w:tc>
          <w:tcPr>
            <w:tcW w:type="dxa" w:w="2771"/>
          </w:tcPr>
          <w:p>
            <w:pPr>
              <w:jc w:val="center"/>
            </w:pPr>
            <w:r>
              <w:rPr>
                <w:rFonts w:ascii="宋体" w:hAnsi="宋体" w:eastAsia="宋体"/>
                <w:b w:val="0"/>
                <w:sz w:val="21"/>
              </w:rPr>
              <w:t>12,000</w:t>
            </w:r>
          </w:p>
        </w:tc>
        <w:tc>
          <w:tcPr>
            <w:tcW w:type="dxa" w:w="2771"/>
          </w:tcPr>
          <w:p>
            <w:pPr>
              <w:jc w:val="center"/>
            </w:pPr>
            <w:r>
              <w:rPr>
                <w:rFonts w:ascii="宋体" w:hAnsi="宋体" w:eastAsia="宋体"/>
                <w:b w:val="0"/>
                <w:sz w:val="21"/>
              </w:rPr>
              <w:t>研发期5,000万 + 运行期7,000万</w:t>
            </w:r>
          </w:p>
        </w:tc>
      </w:tr>
    </w:tbl>
    <w:p/>
    <w:p>
      <w:pPr>
        <w:spacing w:line="360" w:lineRule="auto" w:after="120"/>
        <w:ind w:firstLine="283"/>
        <w:jc w:val="both"/>
      </w:pPr>
      <w:r>
        <w:rPr>
          <w:rFonts w:ascii="宋体" w:hAnsi="宋体" w:eastAsia="宋体"/>
          <w:b w:val="0"/>
          <w:sz w:val="24"/>
        </w:rPr>
        <w:t>成本控制方面，通过边缘计算本地化处理80%原始数据，降低云端存储成本；采用国产卫星替代进口数据，年均节省采购费用约400万元。</w:t>
      </w:r>
    </w:p>
    <w:p>
      <w:pPr>
        <w:pStyle w:val="Heading2"/>
        <w:spacing w:before="160" w:after="160"/>
        <w:jc w:val="left"/>
      </w:pPr>
      <w:r>
        <w:rPr>
          <w:rFonts w:ascii="黑体" w:hAnsi="黑体" w:eastAsia="黑体"/>
          <w:b/>
          <w:sz w:val="28"/>
        </w:rPr>
        <w:t>3.3 融资结构与退出路径</w:t>
      </w:r>
    </w:p>
    <w:p>
      <w:pPr>
        <w:spacing w:line="360" w:lineRule="auto" w:after="120"/>
        <w:ind w:firstLine="283"/>
        <w:jc w:val="both"/>
      </w:pPr>
      <w:r>
        <w:rPr>
          <w:rFonts w:ascii="宋体" w:hAnsi="宋体" w:eastAsia="宋体"/>
          <w:b w:val="0"/>
          <w:sz w:val="24"/>
        </w:rPr>
        <w:t>项目资金采用多元组合：国家重大科技专项（40%）+ 地方配套与业主出资（30%）+ 企业自筹与战略投资（20%）+ 商业运营现金流（10%）。天仪研究院已完成多轮融资累计13亿元，投资方涵盖国家队、地方国资及市场化机构，后续可借助其资本平台为玄女底座项目提供资金支持。</w:t>
      </w:r>
    </w:p>
    <w:p>
      <w:pPr>
        <w:spacing w:line="360" w:lineRule="auto" w:after="120"/>
        <w:ind w:firstLine="283"/>
        <w:jc w:val="both"/>
      </w:pPr>
      <w:r>
        <w:rPr>
          <w:rFonts w:ascii="宋体" w:hAnsi="宋体" w:eastAsia="宋体"/>
          <w:b w:val="0"/>
          <w:sz w:val="24"/>
        </w:rPr>
        <w:t>投资退出路径清晰：</w:t>
      </w:r>
    </w:p>
    <w:p>
      <w:pPr>
        <w:spacing w:line="360" w:lineRule="auto" w:after="80"/>
        <w:ind w:firstLine="283" w:left="454"/>
      </w:pPr>
      <w:r>
        <w:rPr>
          <w:rFonts w:ascii="宋体" w:hAnsi="宋体" w:eastAsia="宋体"/>
          <w:b/>
          <w:sz w:val="24"/>
        </w:rPr>
        <w:t>战略并购（3-5年）：</w:t>
      </w:r>
      <w:r>
        <w:rPr>
          <w:rFonts w:ascii="宋体" w:hAnsi="宋体" w:eastAsia="宋体"/>
          <w:b w:val="0"/>
          <w:sz w:val="24"/>
        </w:rPr>
        <w:t>水利水电央企、大型ICT企业或商业航天公司出于产业布局考虑，对玄女科技进行战略收购。</w:t>
      </w:r>
    </w:p>
    <w:p>
      <w:pPr>
        <w:spacing w:line="360" w:lineRule="auto" w:after="80"/>
        <w:ind w:firstLine="283" w:left="454"/>
      </w:pPr>
      <w:r>
        <w:rPr>
          <w:rFonts w:ascii="宋体" w:hAnsi="宋体" w:eastAsia="宋体"/>
          <w:b/>
          <w:sz w:val="24"/>
        </w:rPr>
        <w:t>科创板/北交所IPO（5-7年）：</w:t>
      </w:r>
      <w:r>
        <w:rPr>
          <w:rFonts w:ascii="宋体" w:hAnsi="宋体" w:eastAsia="宋体"/>
          <w:b w:val="0"/>
          <w:sz w:val="24"/>
        </w:rPr>
        <w:t>具备自主知识产权、高技术壁垒和清晰商业模式，符合科创板「硬科技」定位。</w:t>
      </w:r>
    </w:p>
    <w:p>
      <w:pPr>
        <w:spacing w:line="360" w:lineRule="auto" w:after="80"/>
        <w:ind w:firstLine="283" w:left="454"/>
      </w:pPr>
      <w:r>
        <w:rPr>
          <w:rFonts w:ascii="宋体" w:hAnsi="宋体" w:eastAsia="宋体"/>
          <w:b/>
          <w:sz w:val="24"/>
        </w:rPr>
        <w:t>股权回购（持续）：</w:t>
      </w:r>
      <w:r>
        <w:rPr>
          <w:rFonts w:ascii="宋体" w:hAnsi="宋体" w:eastAsia="宋体"/>
          <w:b w:val="0"/>
          <w:sz w:val="24"/>
        </w:rPr>
        <w:t>公司成立专项回购基金，在现金流充裕时分阶段回购早期投资者股权。</w:t>
      </w:r>
    </w:p>
    <w:p>
      <w:r>
        <w:br w:type="page"/>
      </w:r>
    </w:p>
    <w:p>
      <w:pPr>
        <w:pStyle w:val="Heading1"/>
        <w:spacing w:before="240" w:after="160"/>
        <w:jc w:val="center"/>
      </w:pPr>
      <w:r>
        <w:rPr>
          <w:rFonts w:ascii="黑体" w:hAnsi="黑体" w:eastAsia="黑体"/>
          <w:b/>
          <w:sz w:val="36"/>
        </w:rPr>
        <w:t>第四章  市场营收与盈利分析</w:t>
      </w:r>
    </w:p>
    <w:p>
      <w:pPr>
        <w:pStyle w:val="Heading2"/>
        <w:spacing w:before="160" w:after="160"/>
        <w:jc w:val="left"/>
      </w:pPr>
      <w:r>
        <w:rPr>
          <w:rFonts w:ascii="黑体" w:hAnsi="黑体" w:eastAsia="黑体"/>
          <w:b/>
          <w:sz w:val="28"/>
        </w:rPr>
        <w:t>4.1 市场定位与目标市场</w:t>
      </w:r>
    </w:p>
    <w:p>
      <w:pPr>
        <w:spacing w:line="360" w:lineRule="auto" w:after="120"/>
        <w:ind w:firstLine="283"/>
        <w:jc w:val="both"/>
      </w:pPr>
      <w:r>
        <w:rPr>
          <w:rFonts w:ascii="宋体" w:hAnsi="宋体" w:eastAsia="宋体"/>
          <w:b w:val="0"/>
          <w:sz w:val="24"/>
        </w:rPr>
        <w:t>玄女底座以时空嵌入技术理念 + ISEA4H全球离散格网 + 64维多模态嵌入向量为核心技术，打造天-空-地-隧一体化工程安全监测数字底座，面向国家重大基础设施全生命周期安全管控，提供国产化、AI原生、时空统一、多模态融合的数字底座产品与全周期服务。</w:t>
      </w:r>
    </w:p>
    <w:p>
      <w:pPr>
        <w:spacing w:line="360" w:lineRule="auto" w:after="120"/>
        <w:ind w:firstLine="283"/>
        <w:jc w:val="both"/>
      </w:pPr>
      <w:r>
        <w:rPr>
          <w:rFonts w:ascii="宋体" w:hAnsi="宋体" w:eastAsia="宋体"/>
          <w:b w:val="0"/>
          <w:sz w:val="24"/>
        </w:rPr>
        <w:t>目标市场细分为五大领域：</w:t>
      </w:r>
    </w:p>
    <w:p>
      <w:pPr>
        <w:spacing w:line="360" w:lineRule="auto" w:after="80"/>
        <w:ind w:firstLine="283" w:left="454"/>
      </w:pPr>
      <w:r>
        <w:rPr>
          <w:rFonts w:ascii="宋体" w:hAnsi="宋体" w:eastAsia="宋体"/>
          <w:b/>
          <w:sz w:val="24"/>
        </w:rPr>
        <w:t>水利水电工程：</w:t>
      </w:r>
      <w:r>
        <w:rPr>
          <w:rFonts w:ascii="宋体" w:hAnsi="宋体" w:eastAsia="宋体"/>
          <w:b w:val="0"/>
          <w:sz w:val="24"/>
        </w:rPr>
        <w:t>雅鲁藏布江下游、白鹤滩、乌东德、三峡等超大型水电站；流域梯级电站群、大型水库枢纽。</w:t>
      </w:r>
    </w:p>
    <w:p>
      <w:pPr>
        <w:spacing w:line="360" w:lineRule="auto" w:after="80"/>
        <w:ind w:firstLine="283" w:left="454"/>
      </w:pPr>
      <w:r>
        <w:rPr>
          <w:rFonts w:ascii="宋体" w:hAnsi="宋体" w:eastAsia="宋体"/>
          <w:b/>
          <w:sz w:val="24"/>
        </w:rPr>
        <w:t>交通基建工程：</w:t>
      </w:r>
      <w:r>
        <w:rPr>
          <w:rFonts w:ascii="宋体" w:hAnsi="宋体" w:eastAsia="宋体"/>
          <w:b w:val="0"/>
          <w:sz w:val="24"/>
        </w:rPr>
        <w:t>川藏铁路、跨海大桥、深埋隧道、高边坡公路等复杂地形交通项目。</w:t>
      </w:r>
    </w:p>
    <w:p>
      <w:pPr>
        <w:spacing w:line="360" w:lineRule="auto" w:after="80"/>
        <w:ind w:firstLine="283" w:left="454"/>
      </w:pPr>
      <w:r>
        <w:rPr>
          <w:rFonts w:ascii="宋体" w:hAnsi="宋体" w:eastAsia="宋体"/>
          <w:b/>
          <w:sz w:val="24"/>
        </w:rPr>
        <w:t>能源基建工程：</w:t>
      </w:r>
      <w:r>
        <w:rPr>
          <w:rFonts w:ascii="宋体" w:hAnsi="宋体" w:eastAsia="宋体"/>
          <w:b w:val="0"/>
          <w:sz w:val="24"/>
        </w:rPr>
        <w:t>风电基地、光伏电站、油气长输管道、电网输电走廊。</w:t>
      </w:r>
    </w:p>
    <w:p>
      <w:pPr>
        <w:spacing w:line="360" w:lineRule="auto" w:after="80"/>
        <w:ind w:firstLine="283" w:left="454"/>
      </w:pPr>
      <w:r>
        <w:rPr>
          <w:rFonts w:ascii="宋体" w:hAnsi="宋体" w:eastAsia="宋体"/>
          <w:b/>
          <w:sz w:val="24"/>
        </w:rPr>
        <w:t>城市基建与应急减灾：</w:t>
      </w:r>
      <w:r>
        <w:rPr>
          <w:rFonts w:ascii="宋体" w:hAnsi="宋体" w:eastAsia="宋体"/>
          <w:b w:val="0"/>
          <w:sz w:val="24"/>
        </w:rPr>
        <w:t>城市地下管廊、高陡边坡、地质灾害易发区、应急监测与风险防控。</w:t>
      </w:r>
    </w:p>
    <w:p>
      <w:pPr>
        <w:spacing w:line="360" w:lineRule="auto" w:after="80"/>
        <w:ind w:firstLine="283" w:left="454"/>
      </w:pPr>
      <w:r>
        <w:rPr>
          <w:rFonts w:ascii="宋体" w:hAnsi="宋体" w:eastAsia="宋体"/>
          <w:b/>
          <w:sz w:val="24"/>
        </w:rPr>
        <w:t>航天遥感与数据服务：</w:t>
      </w:r>
      <w:r>
        <w:rPr>
          <w:rFonts w:ascii="宋体" w:hAnsi="宋体" w:eastAsia="宋体"/>
          <w:b w:val="0"/>
          <w:sz w:val="24"/>
        </w:rPr>
        <w:t>商业卫星数据运营、多源遥感数据治理、行业AI模型数据支撑服务。</w:t>
      </w:r>
    </w:p>
    <w:p>
      <w:pPr>
        <w:spacing w:line="360" w:lineRule="auto" w:after="120"/>
        <w:ind w:firstLine="283"/>
        <w:jc w:val="both"/>
      </w:pPr>
      <w:r>
        <w:rPr>
          <w:rFonts w:ascii="宋体" w:hAnsi="宋体" w:eastAsia="宋体"/>
          <w:b w:val="0"/>
          <w:sz w:val="24"/>
        </w:rPr>
        <w:t>市场规模方面，国家水网、交通强国、新能源基地建设带动万亿级基础设施数字化投入，其中工程安全监测数字底座市场规模超500亿元，年复合增长率≥30%。高海拔、高烈度、高风险区域工程无成熟监测方案，传统模式失效，政策驱动下市场需求刚性。</w:t>
      </w:r>
    </w:p>
    <w:p>
      <w:pPr>
        <w:pStyle w:val="Heading2"/>
        <w:spacing w:before="160" w:after="160"/>
        <w:jc w:val="left"/>
      </w:pPr>
      <w:r>
        <w:rPr>
          <w:rFonts w:ascii="黑体" w:hAnsi="黑体" w:eastAsia="黑体"/>
          <w:b/>
          <w:sz w:val="28"/>
        </w:rPr>
        <w:t>4.2 营收模式设计</w:t>
      </w:r>
    </w:p>
    <w:p>
      <w:pPr>
        <w:spacing w:line="360" w:lineRule="auto" w:after="120"/>
        <w:ind w:firstLine="283"/>
        <w:jc w:val="both"/>
      </w:pPr>
      <w:r>
        <w:rPr>
          <w:rFonts w:ascii="宋体" w:hAnsi="宋体" w:eastAsia="宋体"/>
          <w:b w:val="0"/>
          <w:sz w:val="24"/>
        </w:rPr>
        <w:t>玄女科技设计了五大核心营收板块，形成从项目制到产品化、从一次性收入到永续现金流的完整商业闭环：</w:t>
      </w:r>
    </w:p>
    <w:p>
      <w:pPr>
        <w:pStyle w:val="Heading3"/>
        <w:spacing w:before="160" w:after="160"/>
        <w:jc w:val="left"/>
      </w:pPr>
      <w:r>
        <w:rPr>
          <w:rFonts w:ascii="黑体" w:hAnsi="黑体" w:eastAsia="黑体"/>
          <w:b/>
          <w:sz w:val="24"/>
        </w:rPr>
        <w:t>4.2.1 项目定制化建设收入</w:t>
      </w:r>
    </w:p>
    <w:p>
      <w:pPr>
        <w:spacing w:line="360" w:lineRule="auto" w:after="120"/>
        <w:ind w:firstLine="283"/>
        <w:jc w:val="both"/>
      </w:pPr>
      <w:r>
        <w:rPr>
          <w:rFonts w:ascii="宋体" w:hAnsi="宋体" w:eastAsia="宋体"/>
          <w:b w:val="0"/>
          <w:sz w:val="24"/>
        </w:rPr>
        <w:t>为单体重大工程提供底座研发 + 硬件部署 + 系统集成 + 数据治理一站式建设服务。单项目收费5000万-2亿元（按工程规模、监测范围、精度要求定价）。典型案例：雅下水电站项目1.4亿元，同类大型水电项目单项目均值1亿元。</w:t>
      </w:r>
    </w:p>
    <w:p>
      <w:pPr>
        <w:pStyle w:val="Heading3"/>
        <w:spacing w:before="160" w:after="160"/>
        <w:jc w:val="left"/>
      </w:pPr>
      <w:r>
        <w:rPr>
          <w:rFonts w:ascii="黑体" w:hAnsi="黑体" w:eastAsia="黑体"/>
          <w:b/>
          <w:sz w:val="24"/>
        </w:rPr>
        <w:t>4.2.2 年度运行维护服务收入</w:t>
      </w:r>
    </w:p>
    <w:p>
      <w:pPr>
        <w:spacing w:line="360" w:lineRule="auto" w:after="120"/>
        <w:ind w:firstLine="283"/>
        <w:jc w:val="both"/>
      </w:pPr>
      <w:r>
        <w:rPr>
          <w:rFonts w:ascii="宋体" w:hAnsi="宋体" w:eastAsia="宋体"/>
          <w:b w:val="0"/>
          <w:sz w:val="24"/>
        </w:rPr>
        <w:t>服务内容包括卫星数据续订、设备运维、算力保障、模型迭代、数据服务、应急响应。收费标准按建设投资10%-15%收取年费，或1000万-1500万/年标准化收费。该板块收益特征为长期稳定、续费率≥95%，可覆盖工程全生命周期（30-100年）。</w:t>
      </w:r>
    </w:p>
    <w:p>
      <w:pPr>
        <w:pStyle w:val="Heading3"/>
        <w:spacing w:before="160" w:after="160"/>
        <w:jc w:val="left"/>
      </w:pPr>
      <w:r>
        <w:rPr>
          <w:rFonts w:ascii="黑体" w:hAnsi="黑体" w:eastAsia="黑体"/>
          <w:b/>
          <w:sz w:val="24"/>
        </w:rPr>
        <w:t>4.2.3 标准化产品授权收入</w:t>
      </w:r>
    </w:p>
    <w:p>
      <w:pPr>
        <w:spacing w:line="360" w:lineRule="auto" w:after="120"/>
        <w:ind w:firstLine="283"/>
        <w:jc w:val="both"/>
      </w:pPr>
      <w:r>
        <w:rPr>
          <w:rFonts w:ascii="宋体" w:hAnsi="宋体" w:eastAsia="宋体"/>
          <w:b w:val="0"/>
          <w:sz w:val="24"/>
        </w:rPr>
        <w:t>产品形态包括玄女底座标准版软件、格网引擎、向量数据库、可视化平台。收费模式为永久授权（300万-800万/套）或年度订阅（50万-200万/年）。适用客户为中小型工程、设计院、科研机构、地方政府监管平台。</w:t>
      </w:r>
    </w:p>
    <w:p>
      <w:pPr>
        <w:pStyle w:val="Heading3"/>
        <w:spacing w:before="160" w:after="160"/>
        <w:jc w:val="left"/>
      </w:pPr>
      <w:r>
        <w:rPr>
          <w:rFonts w:ascii="黑体" w:hAnsi="黑体" w:eastAsia="黑体"/>
          <w:b/>
          <w:sz w:val="24"/>
        </w:rPr>
        <w:t>4.2.4 数据服务与AI赋能收入</w:t>
      </w:r>
    </w:p>
    <w:p>
      <w:pPr>
        <w:spacing w:line="360" w:lineRule="auto" w:after="120"/>
        <w:ind w:firstLine="283"/>
        <w:jc w:val="both"/>
      </w:pPr>
      <w:r>
        <w:rPr>
          <w:rFonts w:ascii="宋体" w:hAnsi="宋体" w:eastAsia="宋体"/>
          <w:b w:val="0"/>
          <w:sz w:val="24"/>
        </w:rPr>
        <w:t>服务内容包括多源遥感数据供给、64维嵌入向量数据服务、行业AI模型训练与推理、API接口调用。收费模式为按数据量计费（10万-50万/年）、API调用包（5万-30万）、模型定制（100万-500万/个）。</w:t>
      </w:r>
    </w:p>
    <w:p>
      <w:pPr>
        <w:pStyle w:val="Heading3"/>
        <w:spacing w:before="160" w:after="160"/>
        <w:jc w:val="left"/>
      </w:pPr>
      <w:r>
        <w:rPr>
          <w:rFonts w:ascii="黑体" w:hAnsi="黑体" w:eastAsia="黑体"/>
          <w:b/>
          <w:sz w:val="24"/>
        </w:rPr>
        <w:t>4.2.5 技术咨询与解决方案收入</w:t>
      </w:r>
    </w:p>
    <w:p>
      <w:pPr>
        <w:spacing w:line="360" w:lineRule="auto" w:after="120"/>
        <w:ind w:firstLine="283"/>
        <w:jc w:val="both"/>
      </w:pPr>
      <w:r>
        <w:rPr>
          <w:rFonts w:ascii="宋体" w:hAnsi="宋体" w:eastAsia="宋体"/>
          <w:b w:val="0"/>
          <w:sz w:val="24"/>
        </w:rPr>
        <w:t>服务内容包括工程安全监测规划、风险评估、数字化转型咨询、标准制定。收费标准为50万-300万/项，行业标准编制500万-1000万/项。</w:t>
      </w:r>
    </w:p>
    <w:p>
      <w:pPr>
        <w:pStyle w:val="Heading3"/>
        <w:spacing w:before="160" w:after="160"/>
        <w:jc w:val="left"/>
      </w:pPr>
      <w:r>
        <w:rPr>
          <w:rFonts w:ascii="黑体" w:hAnsi="黑体" w:eastAsia="黑体"/>
          <w:b/>
          <w:sz w:val="24"/>
        </w:rPr>
        <w:t>4.2.6 营收结构（3年预测）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黑体" w:hAnsi="黑体" w:eastAsia="黑体"/>
                <w:b/>
                <w:sz w:val="21"/>
              </w:rPr>
              <w:t>营收板块</w:t>
            </w:r>
          </w:p>
        </w:tc>
        <w:tc>
          <w:tcPr>
            <w:tcW w:type="dxa" w:w="1662"/>
            <w:shd w:fill="D9E2F3"/>
          </w:tcPr>
          <w:p>
            <w:pPr>
              <w:jc w:val="center"/>
            </w:pPr>
            <w:r>
              <w:rPr>
                <w:rFonts w:ascii="黑体" w:hAnsi="黑体" w:eastAsia="黑体"/>
                <w:b/>
                <w:sz w:val="21"/>
              </w:rPr>
              <w:t>第1年</w:t>
            </w:r>
          </w:p>
        </w:tc>
        <w:tc>
          <w:tcPr>
            <w:tcW w:type="dxa" w:w="1662"/>
            <w:shd w:fill="D9E2F3"/>
          </w:tcPr>
          <w:p>
            <w:pPr>
              <w:jc w:val="center"/>
            </w:pPr>
            <w:r>
              <w:rPr>
                <w:rFonts w:ascii="黑体" w:hAnsi="黑体" w:eastAsia="黑体"/>
                <w:b/>
                <w:sz w:val="21"/>
              </w:rPr>
              <w:t>第2年</w:t>
            </w:r>
          </w:p>
        </w:tc>
        <w:tc>
          <w:tcPr>
            <w:tcW w:type="dxa" w:w="1662"/>
            <w:shd w:fill="D9E2F3"/>
          </w:tcPr>
          <w:p>
            <w:pPr>
              <w:jc w:val="center"/>
            </w:pPr>
            <w:r>
              <w:rPr>
                <w:rFonts w:ascii="黑体" w:hAnsi="黑体" w:eastAsia="黑体"/>
                <w:b/>
                <w:sz w:val="21"/>
              </w:rPr>
              <w:t>第3年</w:t>
            </w:r>
          </w:p>
        </w:tc>
        <w:tc>
          <w:tcPr>
            <w:tcW w:type="dxa" w:w="1662"/>
            <w:shd w:fill="D9E2F3"/>
          </w:tcPr>
          <w:p>
            <w:pPr>
              <w:jc w:val="center"/>
            </w:pPr>
            <w:r>
              <w:rPr>
                <w:rFonts w:ascii="黑体" w:hAnsi="黑体" w:eastAsia="黑体"/>
                <w:b/>
                <w:sz w:val="21"/>
              </w:rPr>
              <w:t>占比趋势</w:t>
            </w:r>
          </w:p>
        </w:tc>
      </w:tr>
      <w:tr>
        <w:tc>
          <w:tcPr>
            <w:tcW w:type="dxa" w:w="1662"/>
          </w:tcPr>
          <w:p>
            <w:pPr>
              <w:jc w:val="center"/>
            </w:pPr>
            <w:r>
              <w:rPr>
                <w:rFonts w:ascii="宋体" w:hAnsi="宋体" w:eastAsia="宋体"/>
                <w:b w:val="0"/>
                <w:sz w:val="21"/>
              </w:rPr>
              <w:t>项目建设收入</w:t>
            </w:r>
          </w:p>
        </w:tc>
        <w:tc>
          <w:tcPr>
            <w:tcW w:type="dxa" w:w="1662"/>
          </w:tcPr>
          <w:p>
            <w:pPr>
              <w:jc w:val="center"/>
            </w:pPr>
            <w:r>
              <w:rPr>
                <w:rFonts w:ascii="宋体" w:hAnsi="宋体" w:eastAsia="宋体"/>
                <w:b w:val="0"/>
                <w:sz w:val="21"/>
              </w:rPr>
              <w:t>70%</w:t>
            </w:r>
          </w:p>
        </w:tc>
        <w:tc>
          <w:tcPr>
            <w:tcW w:type="dxa" w:w="1662"/>
          </w:tcPr>
          <w:p>
            <w:pPr>
              <w:jc w:val="center"/>
            </w:pPr>
            <w:r>
              <w:rPr>
                <w:rFonts w:ascii="宋体" w:hAnsi="宋体" w:eastAsia="宋体"/>
                <w:b w:val="0"/>
                <w:sz w:val="21"/>
              </w:rPr>
              <w:t>50%</w:t>
            </w:r>
          </w:p>
        </w:tc>
        <w:tc>
          <w:tcPr>
            <w:tcW w:type="dxa" w:w="1662"/>
          </w:tcPr>
          <w:p>
            <w:pPr>
              <w:jc w:val="center"/>
            </w:pPr>
            <w:r>
              <w:rPr>
                <w:rFonts w:ascii="宋体" w:hAnsi="宋体" w:eastAsia="宋体"/>
                <w:b w:val="0"/>
                <w:sz w:val="21"/>
              </w:rPr>
              <w:t>35%</w:t>
            </w:r>
          </w:p>
        </w:tc>
        <w:tc>
          <w:tcPr>
            <w:tcW w:type="dxa" w:w="1662"/>
          </w:tcPr>
          <w:p>
            <w:pPr>
              <w:jc w:val="center"/>
            </w:pPr>
            <w:r>
              <w:rPr>
                <w:rFonts w:ascii="宋体" w:hAnsi="宋体" w:eastAsia="宋体"/>
                <w:b w:val="0"/>
                <w:sz w:val="21"/>
              </w:rPr>
              <w:t>逐年下降，前期核心</w:t>
            </w:r>
          </w:p>
        </w:tc>
      </w:tr>
      <w:tr>
        <w:tc>
          <w:tcPr>
            <w:tcW w:type="dxa" w:w="1662"/>
          </w:tcPr>
          <w:p>
            <w:pPr>
              <w:jc w:val="center"/>
            </w:pPr>
            <w:r>
              <w:rPr>
                <w:rFonts w:ascii="宋体" w:hAnsi="宋体" w:eastAsia="宋体"/>
                <w:b w:val="0"/>
                <w:sz w:val="21"/>
              </w:rPr>
              <w:t>运维服务收入</w:t>
            </w:r>
          </w:p>
        </w:tc>
        <w:tc>
          <w:tcPr>
            <w:tcW w:type="dxa" w:w="1662"/>
          </w:tcPr>
          <w:p>
            <w:pPr>
              <w:jc w:val="center"/>
            </w:pPr>
            <w:r>
              <w:rPr>
                <w:rFonts w:ascii="宋体" w:hAnsi="宋体" w:eastAsia="宋体"/>
                <w:b w:val="0"/>
                <w:sz w:val="21"/>
              </w:rPr>
              <w:t>20%</w:t>
            </w:r>
          </w:p>
        </w:tc>
        <w:tc>
          <w:tcPr>
            <w:tcW w:type="dxa" w:w="1662"/>
          </w:tcPr>
          <w:p>
            <w:pPr>
              <w:jc w:val="center"/>
            </w:pPr>
            <w:r>
              <w:rPr>
                <w:rFonts w:ascii="宋体" w:hAnsi="宋体" w:eastAsia="宋体"/>
                <w:b w:val="0"/>
                <w:sz w:val="21"/>
              </w:rPr>
              <w:t>35%</w:t>
            </w:r>
          </w:p>
        </w:tc>
        <w:tc>
          <w:tcPr>
            <w:tcW w:type="dxa" w:w="1662"/>
          </w:tcPr>
          <w:p>
            <w:pPr>
              <w:jc w:val="center"/>
            </w:pPr>
            <w:r>
              <w:rPr>
                <w:rFonts w:ascii="宋体" w:hAnsi="宋体" w:eastAsia="宋体"/>
                <w:b w:val="0"/>
                <w:sz w:val="21"/>
              </w:rPr>
              <w:t>40%</w:t>
            </w:r>
          </w:p>
        </w:tc>
        <w:tc>
          <w:tcPr>
            <w:tcW w:type="dxa" w:w="1662"/>
          </w:tcPr>
          <w:p>
            <w:pPr>
              <w:jc w:val="center"/>
            </w:pPr>
            <w:r>
              <w:rPr>
                <w:rFonts w:ascii="宋体" w:hAnsi="宋体" w:eastAsia="宋体"/>
                <w:b w:val="0"/>
                <w:sz w:val="21"/>
              </w:rPr>
              <w:t>逐年上升，长期主力</w:t>
            </w:r>
          </w:p>
        </w:tc>
      </w:tr>
      <w:tr>
        <w:tc>
          <w:tcPr>
            <w:tcW w:type="dxa" w:w="1662"/>
          </w:tcPr>
          <w:p>
            <w:pPr>
              <w:jc w:val="center"/>
            </w:pPr>
            <w:r>
              <w:rPr>
                <w:rFonts w:ascii="宋体" w:hAnsi="宋体" w:eastAsia="宋体"/>
                <w:b w:val="0"/>
                <w:sz w:val="21"/>
              </w:rPr>
              <w:t>产品授权收入</w:t>
            </w:r>
          </w:p>
        </w:tc>
        <w:tc>
          <w:tcPr>
            <w:tcW w:type="dxa" w:w="1662"/>
          </w:tcPr>
          <w:p>
            <w:pPr>
              <w:jc w:val="center"/>
            </w:pPr>
            <w:r>
              <w:rPr>
                <w:rFonts w:ascii="宋体" w:hAnsi="宋体" w:eastAsia="宋体"/>
                <w:b w:val="0"/>
                <w:sz w:val="21"/>
              </w:rPr>
              <w:t>5%</w:t>
            </w:r>
          </w:p>
        </w:tc>
        <w:tc>
          <w:tcPr>
            <w:tcW w:type="dxa" w:w="1662"/>
          </w:tcPr>
          <w:p>
            <w:pPr>
              <w:jc w:val="center"/>
            </w:pPr>
            <w:r>
              <w:rPr>
                <w:rFonts w:ascii="宋体" w:hAnsi="宋体" w:eastAsia="宋体"/>
                <w:b w:val="0"/>
                <w:sz w:val="21"/>
              </w:rPr>
              <w:t>10%</w:t>
            </w:r>
          </w:p>
        </w:tc>
        <w:tc>
          <w:tcPr>
            <w:tcW w:type="dxa" w:w="1662"/>
          </w:tcPr>
          <w:p>
            <w:pPr>
              <w:jc w:val="center"/>
            </w:pPr>
            <w:r>
              <w:rPr>
                <w:rFonts w:ascii="宋体" w:hAnsi="宋体" w:eastAsia="宋体"/>
                <w:b w:val="0"/>
                <w:sz w:val="21"/>
              </w:rPr>
              <w:t>15%</w:t>
            </w:r>
          </w:p>
        </w:tc>
        <w:tc>
          <w:tcPr>
            <w:tcW w:type="dxa" w:w="1662"/>
          </w:tcPr>
          <w:p>
            <w:pPr>
              <w:jc w:val="center"/>
            </w:pPr>
            <w:r>
              <w:rPr>
                <w:rFonts w:ascii="宋体" w:hAnsi="宋体" w:eastAsia="宋体"/>
                <w:b w:val="0"/>
                <w:sz w:val="21"/>
              </w:rPr>
              <w:t>稳定增长</w:t>
            </w:r>
          </w:p>
        </w:tc>
      </w:tr>
      <w:tr>
        <w:tc>
          <w:tcPr>
            <w:tcW w:type="dxa" w:w="1662"/>
          </w:tcPr>
          <w:p>
            <w:pPr>
              <w:jc w:val="center"/>
            </w:pPr>
            <w:r>
              <w:rPr>
                <w:rFonts w:ascii="宋体" w:hAnsi="宋体" w:eastAsia="宋体"/>
                <w:b w:val="0"/>
                <w:sz w:val="21"/>
              </w:rPr>
              <w:t>数据与AI服务</w:t>
            </w:r>
          </w:p>
        </w:tc>
        <w:tc>
          <w:tcPr>
            <w:tcW w:type="dxa" w:w="1662"/>
          </w:tcPr>
          <w:p>
            <w:pPr>
              <w:jc w:val="center"/>
            </w:pPr>
            <w:r>
              <w:rPr>
                <w:rFonts w:ascii="宋体" w:hAnsi="宋体" w:eastAsia="宋体"/>
                <w:b w:val="0"/>
                <w:sz w:val="21"/>
              </w:rPr>
              <w:t>3%</w:t>
            </w:r>
          </w:p>
        </w:tc>
        <w:tc>
          <w:tcPr>
            <w:tcW w:type="dxa" w:w="1662"/>
          </w:tcPr>
          <w:p>
            <w:pPr>
              <w:jc w:val="center"/>
            </w:pPr>
            <w:r>
              <w:rPr>
                <w:rFonts w:ascii="宋体" w:hAnsi="宋体" w:eastAsia="宋体"/>
                <w:b w:val="0"/>
                <w:sz w:val="21"/>
              </w:rPr>
              <w:t>4%</w:t>
            </w:r>
          </w:p>
        </w:tc>
        <w:tc>
          <w:tcPr>
            <w:tcW w:type="dxa" w:w="1662"/>
          </w:tcPr>
          <w:p>
            <w:pPr>
              <w:jc w:val="center"/>
            </w:pPr>
            <w:r>
              <w:rPr>
                <w:rFonts w:ascii="宋体" w:hAnsi="宋体" w:eastAsia="宋体"/>
                <w:b w:val="0"/>
                <w:sz w:val="21"/>
              </w:rPr>
              <w:t>7%</w:t>
            </w:r>
          </w:p>
        </w:tc>
        <w:tc>
          <w:tcPr>
            <w:tcW w:type="dxa" w:w="1662"/>
          </w:tcPr>
          <w:p>
            <w:pPr>
              <w:jc w:val="center"/>
            </w:pPr>
            <w:r>
              <w:rPr>
                <w:rFonts w:ascii="宋体" w:hAnsi="宋体" w:eastAsia="宋体"/>
                <w:b w:val="0"/>
                <w:sz w:val="21"/>
              </w:rPr>
              <w:t>高增长，高毛利</w:t>
            </w:r>
          </w:p>
        </w:tc>
      </w:tr>
      <w:tr>
        <w:tc>
          <w:tcPr>
            <w:tcW w:type="dxa" w:w="1662"/>
          </w:tcPr>
          <w:p>
            <w:pPr>
              <w:jc w:val="center"/>
            </w:pPr>
            <w:r>
              <w:rPr>
                <w:rFonts w:ascii="宋体" w:hAnsi="宋体" w:eastAsia="宋体"/>
                <w:b w:val="0"/>
                <w:sz w:val="21"/>
              </w:rPr>
              <w:t>咨询服务</w:t>
            </w:r>
          </w:p>
        </w:tc>
        <w:tc>
          <w:tcPr>
            <w:tcW w:type="dxa" w:w="1662"/>
          </w:tcPr>
          <w:p>
            <w:pPr>
              <w:jc w:val="center"/>
            </w:pPr>
            <w:r>
              <w:rPr>
                <w:rFonts w:ascii="宋体" w:hAnsi="宋体" w:eastAsia="宋体"/>
                <w:b w:val="0"/>
                <w:sz w:val="21"/>
              </w:rPr>
              <w:t>2%</w:t>
            </w:r>
          </w:p>
        </w:tc>
        <w:tc>
          <w:tcPr>
            <w:tcW w:type="dxa" w:w="1662"/>
          </w:tcPr>
          <w:p>
            <w:pPr>
              <w:jc w:val="center"/>
            </w:pPr>
            <w:r>
              <w:rPr>
                <w:rFonts w:ascii="宋体" w:hAnsi="宋体" w:eastAsia="宋体"/>
                <w:b w:val="0"/>
                <w:sz w:val="21"/>
              </w:rPr>
              <w:t>1%</w:t>
            </w:r>
          </w:p>
        </w:tc>
        <w:tc>
          <w:tcPr>
            <w:tcW w:type="dxa" w:w="1662"/>
          </w:tcPr>
          <w:p>
            <w:pPr>
              <w:jc w:val="center"/>
            </w:pPr>
            <w:r>
              <w:rPr>
                <w:rFonts w:ascii="宋体" w:hAnsi="宋体" w:eastAsia="宋体"/>
                <w:b w:val="0"/>
                <w:sz w:val="21"/>
              </w:rPr>
              <w:t>3%</w:t>
            </w:r>
          </w:p>
        </w:tc>
        <w:tc>
          <w:tcPr>
            <w:tcW w:type="dxa" w:w="1662"/>
          </w:tcPr>
          <w:p>
            <w:pPr>
              <w:jc w:val="center"/>
            </w:pPr>
            <w:r>
              <w:rPr>
                <w:rFonts w:ascii="宋体" w:hAnsi="宋体" w:eastAsia="宋体"/>
                <w:b w:val="0"/>
                <w:sz w:val="21"/>
              </w:rPr>
              <w:t>补充收益</w:t>
            </w:r>
          </w:p>
        </w:tc>
      </w:tr>
    </w:tbl>
    <w:p/>
    <w:p>
      <w:pPr>
        <w:pStyle w:val="Heading2"/>
        <w:spacing w:before="160" w:after="160"/>
        <w:jc w:val="left"/>
      </w:pPr>
      <w:r>
        <w:rPr>
          <w:rFonts w:ascii="黑体" w:hAnsi="黑体" w:eastAsia="黑体"/>
          <w:b/>
          <w:sz w:val="28"/>
        </w:rPr>
        <w:t>4.3 盈利预测与财务指标</w:t>
      </w:r>
    </w:p>
    <w:p>
      <w:pPr>
        <w:spacing w:line="360" w:lineRule="auto" w:after="120"/>
        <w:ind w:firstLine="283"/>
        <w:jc w:val="both"/>
      </w:pPr>
      <w:r>
        <w:rPr>
          <w:rFonts w:ascii="宋体" w:hAnsi="宋体" w:eastAsia="宋体"/>
          <w:b w:val="0"/>
          <w:sz w:val="24"/>
        </w:rPr>
        <w:t>基于上述营收模式，项目前3年盈利预测如下（单位：亿元）：</w:t>
      </w:r>
    </w:p>
    <w:tbl>
      <w:tblPr>
        <w:tblStyle w:val="TableGrid"/>
        <w:tblW w:type="auto" w:w="0"/>
        <w:tblLook w:firstColumn="1" w:firstRow="1" w:lastColumn="0" w:lastRow="0" w:noHBand="0" w:noVBand="1" w:val="04A0"/>
      </w:tblPr>
      <w:tblGrid>
        <w:gridCol w:w="2078"/>
        <w:gridCol w:w="2078"/>
        <w:gridCol w:w="2078"/>
        <w:gridCol w:w="2078"/>
      </w:tblGrid>
      <w:tr>
        <w:tc>
          <w:tcPr>
            <w:tcW w:type="dxa" w:w="2078"/>
            <w:shd w:fill="D9E2F3"/>
          </w:tcPr>
          <w:p>
            <w:pPr>
              <w:jc w:val="center"/>
            </w:pPr>
            <w:r>
              <w:rPr>
                <w:rFonts w:ascii="黑体" w:hAnsi="黑体" w:eastAsia="黑体"/>
                <w:b/>
                <w:sz w:val="21"/>
              </w:rPr>
              <w:t>项目</w:t>
            </w:r>
          </w:p>
        </w:tc>
        <w:tc>
          <w:tcPr>
            <w:tcW w:type="dxa" w:w="2078"/>
            <w:shd w:fill="D9E2F3"/>
          </w:tcPr>
          <w:p>
            <w:pPr>
              <w:jc w:val="center"/>
            </w:pPr>
            <w:r>
              <w:rPr>
                <w:rFonts w:ascii="黑体" w:hAnsi="黑体" w:eastAsia="黑体"/>
                <w:b/>
                <w:sz w:val="21"/>
              </w:rPr>
              <w:t>第1年</w:t>
            </w:r>
          </w:p>
        </w:tc>
        <w:tc>
          <w:tcPr>
            <w:tcW w:type="dxa" w:w="2078"/>
            <w:shd w:fill="D9E2F3"/>
          </w:tcPr>
          <w:p>
            <w:pPr>
              <w:jc w:val="center"/>
            </w:pPr>
            <w:r>
              <w:rPr>
                <w:rFonts w:ascii="黑体" w:hAnsi="黑体" w:eastAsia="黑体"/>
                <w:b/>
                <w:sz w:val="21"/>
              </w:rPr>
              <w:t>第2年</w:t>
            </w:r>
          </w:p>
        </w:tc>
        <w:tc>
          <w:tcPr>
            <w:tcW w:type="dxa" w:w="2078"/>
            <w:shd w:fill="D9E2F3"/>
          </w:tcPr>
          <w:p>
            <w:pPr>
              <w:jc w:val="center"/>
            </w:pPr>
            <w:r>
              <w:rPr>
                <w:rFonts w:ascii="黑体" w:hAnsi="黑体" w:eastAsia="黑体"/>
                <w:b/>
                <w:sz w:val="21"/>
              </w:rPr>
              <w:t>第3年</w:t>
            </w:r>
          </w:p>
        </w:tc>
      </w:tr>
      <w:tr>
        <w:tc>
          <w:tcPr>
            <w:tcW w:type="dxa" w:w="2078"/>
          </w:tcPr>
          <w:p>
            <w:pPr>
              <w:jc w:val="center"/>
            </w:pPr>
            <w:r>
              <w:rPr>
                <w:rFonts w:ascii="宋体" w:hAnsi="宋体" w:eastAsia="宋体"/>
                <w:b w:val="0"/>
                <w:sz w:val="21"/>
              </w:rPr>
              <w:t>营业收入</w:t>
            </w:r>
          </w:p>
        </w:tc>
        <w:tc>
          <w:tcPr>
            <w:tcW w:type="dxa" w:w="2078"/>
          </w:tcPr>
          <w:p>
            <w:pPr>
              <w:jc w:val="center"/>
            </w:pPr>
            <w:r>
              <w:rPr>
                <w:rFonts w:ascii="宋体" w:hAnsi="宋体" w:eastAsia="宋体"/>
                <w:b w:val="0"/>
                <w:sz w:val="21"/>
              </w:rPr>
              <w:t>1.8</w:t>
            </w:r>
          </w:p>
        </w:tc>
        <w:tc>
          <w:tcPr>
            <w:tcW w:type="dxa" w:w="2078"/>
          </w:tcPr>
          <w:p>
            <w:pPr>
              <w:jc w:val="center"/>
            </w:pPr>
            <w:r>
              <w:rPr>
                <w:rFonts w:ascii="宋体" w:hAnsi="宋体" w:eastAsia="宋体"/>
                <w:b w:val="0"/>
                <w:sz w:val="21"/>
              </w:rPr>
              <w:t>3.5</w:t>
            </w:r>
          </w:p>
        </w:tc>
        <w:tc>
          <w:tcPr>
            <w:tcW w:type="dxa" w:w="2078"/>
          </w:tcPr>
          <w:p>
            <w:pPr>
              <w:jc w:val="center"/>
            </w:pPr>
            <w:r>
              <w:rPr>
                <w:rFonts w:ascii="宋体" w:hAnsi="宋体" w:eastAsia="宋体"/>
                <w:b w:val="0"/>
                <w:sz w:val="21"/>
              </w:rPr>
              <w:t>5.2</w:t>
            </w:r>
          </w:p>
        </w:tc>
      </w:tr>
      <w:tr>
        <w:tc>
          <w:tcPr>
            <w:tcW w:type="dxa" w:w="2078"/>
          </w:tcPr>
          <w:p>
            <w:pPr>
              <w:jc w:val="center"/>
            </w:pPr>
            <w:r>
              <w:rPr>
                <w:rFonts w:ascii="宋体" w:hAnsi="宋体" w:eastAsia="宋体"/>
                <w:b w:val="0"/>
                <w:sz w:val="21"/>
              </w:rPr>
              <w:t>营业成本</w:t>
            </w:r>
          </w:p>
        </w:tc>
        <w:tc>
          <w:tcPr>
            <w:tcW w:type="dxa" w:w="2078"/>
          </w:tcPr>
          <w:p>
            <w:pPr>
              <w:jc w:val="center"/>
            </w:pPr>
            <w:r>
              <w:rPr>
                <w:rFonts w:ascii="宋体" w:hAnsi="宋体" w:eastAsia="宋体"/>
                <w:b w:val="0"/>
                <w:sz w:val="21"/>
              </w:rPr>
              <w:t>0.7</w:t>
            </w:r>
          </w:p>
        </w:tc>
        <w:tc>
          <w:tcPr>
            <w:tcW w:type="dxa" w:w="2078"/>
          </w:tcPr>
          <w:p>
            <w:pPr>
              <w:jc w:val="center"/>
            </w:pPr>
            <w:r>
              <w:rPr>
                <w:rFonts w:ascii="宋体" w:hAnsi="宋体" w:eastAsia="宋体"/>
                <w:b w:val="0"/>
                <w:sz w:val="21"/>
              </w:rPr>
              <w:t>1.2</w:t>
            </w:r>
          </w:p>
        </w:tc>
        <w:tc>
          <w:tcPr>
            <w:tcW w:type="dxa" w:w="2078"/>
          </w:tcPr>
          <w:p>
            <w:pPr>
              <w:jc w:val="center"/>
            </w:pPr>
            <w:r>
              <w:rPr>
                <w:rFonts w:ascii="宋体" w:hAnsi="宋体" w:eastAsia="宋体"/>
                <w:b w:val="0"/>
                <w:sz w:val="21"/>
              </w:rPr>
              <w:t>1.6</w:t>
            </w:r>
          </w:p>
        </w:tc>
      </w:tr>
      <w:tr>
        <w:tc>
          <w:tcPr>
            <w:tcW w:type="dxa" w:w="2078"/>
          </w:tcPr>
          <w:p>
            <w:pPr>
              <w:jc w:val="center"/>
            </w:pPr>
            <w:r>
              <w:rPr>
                <w:rFonts w:ascii="宋体" w:hAnsi="宋体" w:eastAsia="宋体"/>
                <w:b w:val="0"/>
                <w:sz w:val="21"/>
              </w:rPr>
              <w:t>毛利润</w:t>
            </w:r>
          </w:p>
        </w:tc>
        <w:tc>
          <w:tcPr>
            <w:tcW w:type="dxa" w:w="2078"/>
          </w:tcPr>
          <w:p>
            <w:pPr>
              <w:jc w:val="center"/>
            </w:pPr>
            <w:r>
              <w:rPr>
                <w:rFonts w:ascii="宋体" w:hAnsi="宋体" w:eastAsia="宋体"/>
                <w:b w:val="0"/>
                <w:sz w:val="21"/>
              </w:rPr>
              <w:t>1.1</w:t>
            </w:r>
          </w:p>
        </w:tc>
        <w:tc>
          <w:tcPr>
            <w:tcW w:type="dxa" w:w="2078"/>
          </w:tcPr>
          <w:p>
            <w:pPr>
              <w:jc w:val="center"/>
            </w:pPr>
            <w:r>
              <w:rPr>
                <w:rFonts w:ascii="宋体" w:hAnsi="宋体" w:eastAsia="宋体"/>
                <w:b w:val="0"/>
                <w:sz w:val="21"/>
              </w:rPr>
              <w:t>2.3</w:t>
            </w:r>
          </w:p>
        </w:tc>
        <w:tc>
          <w:tcPr>
            <w:tcW w:type="dxa" w:w="2078"/>
          </w:tcPr>
          <w:p>
            <w:pPr>
              <w:jc w:val="center"/>
            </w:pPr>
            <w:r>
              <w:rPr>
                <w:rFonts w:ascii="宋体" w:hAnsi="宋体" w:eastAsia="宋体"/>
                <w:b w:val="0"/>
                <w:sz w:val="21"/>
              </w:rPr>
              <w:t>3.6</w:t>
            </w:r>
          </w:p>
        </w:tc>
      </w:tr>
      <w:tr>
        <w:tc>
          <w:tcPr>
            <w:tcW w:type="dxa" w:w="2078"/>
          </w:tcPr>
          <w:p>
            <w:pPr>
              <w:jc w:val="center"/>
            </w:pPr>
            <w:r>
              <w:rPr>
                <w:rFonts w:ascii="宋体" w:hAnsi="宋体" w:eastAsia="宋体"/>
                <w:b w:val="0"/>
                <w:sz w:val="21"/>
              </w:rPr>
              <w:t>毛利率</w:t>
            </w:r>
          </w:p>
        </w:tc>
        <w:tc>
          <w:tcPr>
            <w:tcW w:type="dxa" w:w="2078"/>
          </w:tcPr>
          <w:p>
            <w:pPr>
              <w:jc w:val="center"/>
            </w:pPr>
            <w:r>
              <w:rPr>
                <w:rFonts w:ascii="宋体" w:hAnsi="宋体" w:eastAsia="宋体"/>
                <w:b w:val="0"/>
                <w:sz w:val="21"/>
              </w:rPr>
              <w:t>61.1%</w:t>
            </w:r>
          </w:p>
        </w:tc>
        <w:tc>
          <w:tcPr>
            <w:tcW w:type="dxa" w:w="2078"/>
          </w:tcPr>
          <w:p>
            <w:pPr>
              <w:jc w:val="center"/>
            </w:pPr>
            <w:r>
              <w:rPr>
                <w:rFonts w:ascii="宋体" w:hAnsi="宋体" w:eastAsia="宋体"/>
                <w:b w:val="0"/>
                <w:sz w:val="21"/>
              </w:rPr>
              <w:t>65.7%</w:t>
            </w:r>
          </w:p>
        </w:tc>
        <w:tc>
          <w:tcPr>
            <w:tcW w:type="dxa" w:w="2078"/>
          </w:tcPr>
          <w:p>
            <w:pPr>
              <w:jc w:val="center"/>
            </w:pPr>
            <w:r>
              <w:rPr>
                <w:rFonts w:ascii="宋体" w:hAnsi="宋体" w:eastAsia="宋体"/>
                <w:b w:val="0"/>
                <w:sz w:val="21"/>
              </w:rPr>
              <w:t>69.2%</w:t>
            </w:r>
          </w:p>
        </w:tc>
      </w:tr>
      <w:tr>
        <w:tc>
          <w:tcPr>
            <w:tcW w:type="dxa" w:w="2078"/>
          </w:tcPr>
          <w:p>
            <w:pPr>
              <w:jc w:val="center"/>
            </w:pPr>
            <w:r>
              <w:rPr>
                <w:rFonts w:ascii="宋体" w:hAnsi="宋体" w:eastAsia="宋体"/>
                <w:b w:val="0"/>
                <w:sz w:val="21"/>
              </w:rPr>
              <w:t>净利润</w:t>
            </w:r>
          </w:p>
        </w:tc>
        <w:tc>
          <w:tcPr>
            <w:tcW w:type="dxa" w:w="2078"/>
          </w:tcPr>
          <w:p>
            <w:pPr>
              <w:jc w:val="center"/>
            </w:pPr>
            <w:r>
              <w:rPr>
                <w:rFonts w:ascii="宋体" w:hAnsi="宋体" w:eastAsia="宋体"/>
                <w:b w:val="0"/>
                <w:sz w:val="21"/>
              </w:rPr>
              <w:t>0.4</w:t>
            </w:r>
          </w:p>
        </w:tc>
        <w:tc>
          <w:tcPr>
            <w:tcW w:type="dxa" w:w="2078"/>
          </w:tcPr>
          <w:p>
            <w:pPr>
              <w:jc w:val="center"/>
            </w:pPr>
            <w:r>
              <w:rPr>
                <w:rFonts w:ascii="宋体" w:hAnsi="宋体" w:eastAsia="宋体"/>
                <w:b w:val="0"/>
                <w:sz w:val="21"/>
              </w:rPr>
              <w:t>1.0</w:t>
            </w:r>
          </w:p>
        </w:tc>
        <w:tc>
          <w:tcPr>
            <w:tcW w:type="dxa" w:w="2078"/>
          </w:tcPr>
          <w:p>
            <w:pPr>
              <w:jc w:val="center"/>
            </w:pPr>
            <w:r>
              <w:rPr>
                <w:rFonts w:ascii="宋体" w:hAnsi="宋体" w:eastAsia="宋体"/>
                <w:b w:val="0"/>
                <w:sz w:val="21"/>
              </w:rPr>
              <w:t>1.8</w:t>
            </w:r>
          </w:p>
        </w:tc>
      </w:tr>
      <w:tr>
        <w:tc>
          <w:tcPr>
            <w:tcW w:type="dxa" w:w="2078"/>
          </w:tcPr>
          <w:p>
            <w:pPr>
              <w:jc w:val="center"/>
            </w:pPr>
            <w:r>
              <w:rPr>
                <w:rFonts w:ascii="宋体" w:hAnsi="宋体" w:eastAsia="宋体"/>
                <w:b w:val="0"/>
                <w:sz w:val="21"/>
              </w:rPr>
              <w:t>净利率</w:t>
            </w:r>
          </w:p>
        </w:tc>
        <w:tc>
          <w:tcPr>
            <w:tcW w:type="dxa" w:w="2078"/>
          </w:tcPr>
          <w:p>
            <w:pPr>
              <w:jc w:val="center"/>
            </w:pPr>
            <w:r>
              <w:rPr>
                <w:rFonts w:ascii="宋体" w:hAnsi="宋体" w:eastAsia="宋体"/>
                <w:b w:val="0"/>
                <w:sz w:val="21"/>
              </w:rPr>
              <w:t>22.2%</w:t>
            </w:r>
          </w:p>
        </w:tc>
        <w:tc>
          <w:tcPr>
            <w:tcW w:type="dxa" w:w="2078"/>
          </w:tcPr>
          <w:p>
            <w:pPr>
              <w:jc w:val="center"/>
            </w:pPr>
            <w:r>
              <w:rPr>
                <w:rFonts w:ascii="宋体" w:hAnsi="宋体" w:eastAsia="宋体"/>
                <w:b w:val="0"/>
                <w:sz w:val="21"/>
              </w:rPr>
              <w:t>28.6%</w:t>
            </w:r>
          </w:p>
        </w:tc>
        <w:tc>
          <w:tcPr>
            <w:tcW w:type="dxa" w:w="2078"/>
          </w:tcPr>
          <w:p>
            <w:pPr>
              <w:jc w:val="center"/>
            </w:pPr>
            <w:r>
              <w:rPr>
                <w:rFonts w:ascii="宋体" w:hAnsi="宋体" w:eastAsia="宋体"/>
                <w:b w:val="0"/>
                <w:sz w:val="21"/>
              </w:rPr>
              <w:t>34.6%</w:t>
            </w:r>
          </w:p>
        </w:tc>
      </w:tr>
    </w:tbl>
    <w:p/>
    <w:p>
      <w:pPr>
        <w:spacing w:line="360" w:lineRule="auto" w:after="120"/>
        <w:ind w:firstLine="283"/>
        <w:jc w:val="both"/>
      </w:pPr>
      <w:r>
        <w:rPr>
          <w:rFonts w:ascii="宋体" w:hAnsi="宋体" w:eastAsia="宋体"/>
          <w:b w:val="0"/>
          <w:sz w:val="24"/>
        </w:rPr>
        <w:t>预测逻辑：第1年以项目建设收入为主，毛利率相对较低；第2年起运维服务和产品授权收入占比提升，毛利率快速改善；第3年数据与AI服务进入放量期，拉动整体净利率突破30%。</w:t>
      </w:r>
    </w:p>
    <w:p>
      <w:pPr>
        <w:pStyle w:val="Heading3"/>
        <w:spacing w:before="160" w:after="160"/>
        <w:jc w:val="left"/>
      </w:pPr>
      <w:r>
        <w:rPr>
          <w:rFonts w:ascii="黑体" w:hAnsi="黑体" w:eastAsia="黑体"/>
          <w:b/>
          <w:sz w:val="24"/>
        </w:rPr>
        <w:t>4.3.1 单位经济模型</w:t>
      </w:r>
    </w:p>
    <w:p>
      <w:pPr>
        <w:spacing w:line="360" w:lineRule="auto" w:after="120"/>
        <w:ind w:firstLine="283"/>
        <w:jc w:val="both"/>
      </w:pPr>
      <w:r>
        <w:rPr>
          <w:rFonts w:ascii="宋体" w:hAnsi="宋体" w:eastAsia="宋体"/>
          <w:b w:val="0"/>
          <w:sz w:val="24"/>
        </w:rPr>
        <w:t>玄女底座的单位经济模型极具吸引力。以单个1000平方公里客户为例：</w:t>
      </w:r>
    </w:p>
    <w:tbl>
      <w:tblPr>
        <w:tblStyle w:val="TableGrid"/>
        <w:tblW w:type="auto" w:w="0"/>
        <w:tblLook w:firstColumn="1" w:firstRow="1" w:lastColumn="0" w:lastRow="0" w:noHBand="0" w:noVBand="1" w:val="04A0"/>
      </w:tblPr>
      <w:tblGrid>
        <w:gridCol w:w="2771"/>
        <w:gridCol w:w="2771"/>
        <w:gridCol w:w="2771"/>
      </w:tblGrid>
      <w:tr>
        <w:tc>
          <w:tcPr>
            <w:tcW w:type="dxa" w:w="2771"/>
            <w:shd w:fill="D9E2F3"/>
          </w:tcPr>
          <w:p>
            <w:pPr>
              <w:jc w:val="center"/>
            </w:pPr>
            <w:r>
              <w:rPr>
                <w:rFonts w:ascii="黑体" w:hAnsi="黑体" w:eastAsia="黑体"/>
                <w:b/>
                <w:sz w:val="21"/>
              </w:rPr>
              <w:t>指标</w:t>
            </w:r>
          </w:p>
        </w:tc>
        <w:tc>
          <w:tcPr>
            <w:tcW w:type="dxa" w:w="2771"/>
            <w:shd w:fill="D9E2F3"/>
          </w:tcPr>
          <w:p>
            <w:pPr>
              <w:jc w:val="center"/>
            </w:pPr>
            <w:r>
              <w:rPr>
                <w:rFonts w:ascii="黑体" w:hAnsi="黑体" w:eastAsia="黑体"/>
                <w:b/>
                <w:sz w:val="21"/>
              </w:rPr>
              <w:t>数值</w:t>
            </w:r>
          </w:p>
        </w:tc>
        <w:tc>
          <w:tcPr>
            <w:tcW w:type="dxa" w:w="2771"/>
            <w:shd w:fill="D9E2F3"/>
          </w:tcPr>
          <w:p>
            <w:pPr>
              <w:jc w:val="center"/>
            </w:pPr>
            <w:r>
              <w:rPr>
                <w:rFonts w:ascii="黑体" w:hAnsi="黑体" w:eastAsia="黑体"/>
                <w:b/>
                <w:sz w:val="21"/>
              </w:rPr>
              <w:t>说明</w:t>
            </w:r>
          </w:p>
        </w:tc>
      </w:tr>
      <w:tr>
        <w:tc>
          <w:tcPr>
            <w:tcW w:type="dxa" w:w="2771"/>
          </w:tcPr>
          <w:p>
            <w:pPr>
              <w:jc w:val="center"/>
            </w:pPr>
            <w:r>
              <w:rPr>
                <w:rFonts w:ascii="宋体" w:hAnsi="宋体" w:eastAsia="宋体"/>
                <w:b w:val="0"/>
                <w:sz w:val="21"/>
              </w:rPr>
              <w:t>年度合同价值（ACV）</w:t>
            </w:r>
          </w:p>
        </w:tc>
        <w:tc>
          <w:tcPr>
            <w:tcW w:type="dxa" w:w="2771"/>
          </w:tcPr>
          <w:p>
            <w:pPr>
              <w:jc w:val="center"/>
            </w:pPr>
            <w:r>
              <w:rPr>
                <w:rFonts w:ascii="宋体" w:hAnsi="宋体" w:eastAsia="宋体"/>
                <w:b w:val="0"/>
                <w:sz w:val="21"/>
              </w:rPr>
              <w:t>1,000万元</w:t>
            </w:r>
          </w:p>
        </w:tc>
        <w:tc>
          <w:tcPr>
            <w:tcW w:type="dxa" w:w="2771"/>
          </w:tcPr>
          <w:p>
            <w:pPr>
              <w:jc w:val="center"/>
            </w:pPr>
            <w:r>
              <w:rPr>
                <w:rFonts w:ascii="宋体" w:hAnsi="宋体" w:eastAsia="宋体"/>
                <w:b w:val="0"/>
                <w:sz w:val="21"/>
              </w:rPr>
              <w:t>建设费分摊+SaaS订阅</w:t>
            </w:r>
          </w:p>
        </w:tc>
      </w:tr>
      <w:tr>
        <w:tc>
          <w:tcPr>
            <w:tcW w:type="dxa" w:w="2771"/>
          </w:tcPr>
          <w:p>
            <w:pPr>
              <w:jc w:val="center"/>
            </w:pPr>
            <w:r>
              <w:rPr>
                <w:rFonts w:ascii="宋体" w:hAnsi="宋体" w:eastAsia="宋体"/>
                <w:b w:val="0"/>
                <w:sz w:val="21"/>
              </w:rPr>
              <w:t>年度服务成本</w:t>
            </w:r>
          </w:p>
        </w:tc>
        <w:tc>
          <w:tcPr>
            <w:tcW w:type="dxa" w:w="2771"/>
          </w:tcPr>
          <w:p>
            <w:pPr>
              <w:jc w:val="center"/>
            </w:pPr>
            <w:r>
              <w:rPr>
                <w:rFonts w:ascii="宋体" w:hAnsi="宋体" w:eastAsia="宋体"/>
                <w:b w:val="0"/>
                <w:sz w:val="21"/>
              </w:rPr>
              <w:t>350万元</w:t>
            </w:r>
          </w:p>
        </w:tc>
        <w:tc>
          <w:tcPr>
            <w:tcW w:type="dxa" w:w="2771"/>
          </w:tcPr>
          <w:p>
            <w:pPr>
              <w:jc w:val="center"/>
            </w:pPr>
            <w:r>
              <w:rPr>
                <w:rFonts w:ascii="宋体" w:hAnsi="宋体" w:eastAsia="宋体"/>
                <w:b w:val="0"/>
                <w:sz w:val="21"/>
              </w:rPr>
              <w:t>数据采购、算力、运维人力</w:t>
            </w:r>
          </w:p>
        </w:tc>
      </w:tr>
      <w:tr>
        <w:tc>
          <w:tcPr>
            <w:tcW w:type="dxa" w:w="2771"/>
          </w:tcPr>
          <w:p>
            <w:pPr>
              <w:jc w:val="center"/>
            </w:pPr>
            <w:r>
              <w:rPr>
                <w:rFonts w:ascii="宋体" w:hAnsi="宋体" w:eastAsia="宋体"/>
                <w:b w:val="0"/>
                <w:sz w:val="21"/>
              </w:rPr>
              <w:t>年度毛利</w:t>
            </w:r>
          </w:p>
        </w:tc>
        <w:tc>
          <w:tcPr>
            <w:tcW w:type="dxa" w:w="2771"/>
          </w:tcPr>
          <w:p>
            <w:pPr>
              <w:jc w:val="center"/>
            </w:pPr>
            <w:r>
              <w:rPr>
                <w:rFonts w:ascii="宋体" w:hAnsi="宋体" w:eastAsia="宋体"/>
                <w:b w:val="0"/>
                <w:sz w:val="21"/>
              </w:rPr>
              <w:t>650万元</w:t>
            </w:r>
          </w:p>
        </w:tc>
        <w:tc>
          <w:tcPr>
            <w:tcW w:type="dxa" w:w="2771"/>
          </w:tcPr>
          <w:p>
            <w:pPr>
              <w:jc w:val="center"/>
            </w:pPr>
            <w:r>
              <w:rPr>
                <w:rFonts w:ascii="宋体" w:hAnsi="宋体" w:eastAsia="宋体"/>
                <w:b w:val="0"/>
                <w:sz w:val="21"/>
              </w:rPr>
              <w:t>毛利率65%</w:t>
            </w:r>
          </w:p>
        </w:tc>
      </w:tr>
      <w:tr>
        <w:tc>
          <w:tcPr>
            <w:tcW w:type="dxa" w:w="2771"/>
          </w:tcPr>
          <w:p>
            <w:pPr>
              <w:jc w:val="center"/>
            </w:pPr>
            <w:r>
              <w:rPr>
                <w:rFonts w:ascii="宋体" w:hAnsi="宋体" w:eastAsia="宋体"/>
                <w:b w:val="0"/>
                <w:sz w:val="21"/>
              </w:rPr>
              <w:t>客户获取成本（CAC）</w:t>
            </w:r>
          </w:p>
        </w:tc>
        <w:tc>
          <w:tcPr>
            <w:tcW w:type="dxa" w:w="2771"/>
          </w:tcPr>
          <w:p>
            <w:pPr>
              <w:jc w:val="center"/>
            </w:pPr>
            <w:r>
              <w:rPr>
                <w:rFonts w:ascii="宋体" w:hAnsi="宋体" w:eastAsia="宋体"/>
                <w:b w:val="0"/>
                <w:sz w:val="21"/>
              </w:rPr>
              <w:t>200万元</w:t>
            </w:r>
          </w:p>
        </w:tc>
        <w:tc>
          <w:tcPr>
            <w:tcW w:type="dxa" w:w="2771"/>
          </w:tcPr>
          <w:p>
            <w:pPr>
              <w:jc w:val="center"/>
            </w:pPr>
            <w:r>
              <w:rPr>
                <w:rFonts w:ascii="宋体" w:hAnsi="宋体" w:eastAsia="宋体"/>
                <w:b w:val="0"/>
                <w:sz w:val="21"/>
              </w:rPr>
              <w:t>销售、方案、招投标</w:t>
            </w:r>
          </w:p>
        </w:tc>
      </w:tr>
      <w:tr>
        <w:tc>
          <w:tcPr>
            <w:tcW w:type="dxa" w:w="2771"/>
          </w:tcPr>
          <w:p>
            <w:pPr>
              <w:jc w:val="center"/>
            </w:pPr>
            <w:r>
              <w:rPr>
                <w:rFonts w:ascii="宋体" w:hAnsi="宋体" w:eastAsia="宋体"/>
                <w:b w:val="0"/>
                <w:sz w:val="21"/>
              </w:rPr>
              <w:t>客户生命周期（LT）</w:t>
            </w:r>
          </w:p>
        </w:tc>
        <w:tc>
          <w:tcPr>
            <w:tcW w:type="dxa" w:w="2771"/>
          </w:tcPr>
          <w:p>
            <w:pPr>
              <w:jc w:val="center"/>
            </w:pPr>
            <w:r>
              <w:rPr>
                <w:rFonts w:ascii="宋体" w:hAnsi="宋体" w:eastAsia="宋体"/>
                <w:b w:val="0"/>
                <w:sz w:val="21"/>
              </w:rPr>
              <w:t>8年</w:t>
            </w:r>
          </w:p>
        </w:tc>
        <w:tc>
          <w:tcPr>
            <w:tcW w:type="dxa" w:w="2771"/>
          </w:tcPr>
          <w:p>
            <w:pPr>
              <w:jc w:val="center"/>
            </w:pPr>
            <w:r>
              <w:rPr>
                <w:rFonts w:ascii="宋体" w:hAnsi="宋体" w:eastAsia="宋体"/>
                <w:b w:val="0"/>
                <w:sz w:val="21"/>
              </w:rPr>
              <w:t>大型工程平均合作周期</w:t>
            </w:r>
          </w:p>
        </w:tc>
      </w:tr>
      <w:tr>
        <w:tc>
          <w:tcPr>
            <w:tcW w:type="dxa" w:w="2771"/>
          </w:tcPr>
          <w:p>
            <w:pPr>
              <w:jc w:val="center"/>
            </w:pPr>
            <w:r>
              <w:rPr>
                <w:rFonts w:ascii="宋体" w:hAnsi="宋体" w:eastAsia="宋体"/>
                <w:b w:val="0"/>
                <w:sz w:val="21"/>
              </w:rPr>
              <w:t>客户终身价值（LTV）</w:t>
            </w:r>
          </w:p>
        </w:tc>
        <w:tc>
          <w:tcPr>
            <w:tcW w:type="dxa" w:w="2771"/>
          </w:tcPr>
          <w:p>
            <w:pPr>
              <w:jc w:val="center"/>
            </w:pPr>
            <w:r>
              <w:rPr>
                <w:rFonts w:ascii="宋体" w:hAnsi="宋体" w:eastAsia="宋体"/>
                <w:b w:val="0"/>
                <w:sz w:val="21"/>
              </w:rPr>
              <w:t>5,200万元</w:t>
            </w:r>
          </w:p>
        </w:tc>
        <w:tc>
          <w:tcPr>
            <w:tcW w:type="dxa" w:w="2771"/>
          </w:tcPr>
          <w:p>
            <w:pPr>
              <w:jc w:val="center"/>
            </w:pPr>
            <w:r>
              <w:rPr>
                <w:rFonts w:ascii="宋体" w:hAnsi="宋体" w:eastAsia="宋体"/>
                <w:b w:val="0"/>
                <w:sz w:val="21"/>
              </w:rPr>
              <w:t>LTV/CAC = 26倍</w:t>
            </w:r>
          </w:p>
        </w:tc>
      </w:tr>
    </w:tbl>
    <w:p/>
    <w:p>
      <w:pPr>
        <w:spacing w:line="360" w:lineRule="auto" w:after="120"/>
        <w:ind w:firstLine="283"/>
        <w:jc w:val="both"/>
      </w:pPr>
      <w:r>
        <w:rPr>
          <w:rFonts w:ascii="宋体" w:hAnsi="宋体" w:eastAsia="宋体"/>
          <w:b w:val="0"/>
          <w:sz w:val="24"/>
        </w:rPr>
        <w:t>LTV/CAC达到26倍，远高于SaaS行业3倍的健康基准线。这得益于两个因素：一是底座服务的边际成本极低——同一区域的基底嵌入只需计算一次，服务第N个AI模型几乎零增量成本；二是大型工程客户的粘性极强，替换成本高昂，一旦接入玄女底座，后续5-10年都会持续续约。</w:t>
      </w:r>
    </w:p>
    <w:p>
      <w:pPr>
        <w:pStyle w:val="Heading2"/>
        <w:spacing w:before="160" w:after="160"/>
        <w:jc w:val="left"/>
      </w:pPr>
      <w:r>
        <w:rPr>
          <w:rFonts w:ascii="黑体" w:hAnsi="黑体" w:eastAsia="黑体"/>
          <w:b/>
          <w:sz w:val="28"/>
        </w:rPr>
        <w:t>4.4 核心财务优势</w:t>
      </w:r>
    </w:p>
    <w:p>
      <w:pPr>
        <w:spacing w:line="360" w:lineRule="auto" w:after="80"/>
        <w:ind w:firstLine="283" w:left="454"/>
      </w:pPr>
      <w:r>
        <w:rPr>
          <w:rFonts w:ascii="宋体" w:hAnsi="宋体" w:eastAsia="宋体"/>
          <w:b/>
          <w:sz w:val="24"/>
        </w:rPr>
        <w:t>高毛利率：</w:t>
      </w:r>
      <w:r>
        <w:rPr>
          <w:rFonts w:ascii="宋体" w:hAnsi="宋体" w:eastAsia="宋体"/>
          <w:b w:val="0"/>
          <w:sz w:val="24"/>
        </w:rPr>
        <w:t>技术驱动型业务，软件与服务占比高，毛利率60%-70%，远超传统工程行业。</w:t>
      </w:r>
    </w:p>
    <w:p>
      <w:pPr>
        <w:spacing w:line="360" w:lineRule="auto" w:after="80"/>
        <w:ind w:firstLine="283" w:left="454"/>
      </w:pPr>
      <w:r>
        <w:rPr>
          <w:rFonts w:ascii="宋体" w:hAnsi="宋体" w:eastAsia="宋体"/>
          <w:b/>
          <w:sz w:val="24"/>
        </w:rPr>
        <w:t>现金流优质：</w:t>
      </w:r>
      <w:r>
        <w:rPr>
          <w:rFonts w:ascii="宋体" w:hAnsi="宋体" w:eastAsia="宋体"/>
          <w:b w:val="0"/>
          <w:sz w:val="24"/>
        </w:rPr>
        <w:t>前期收取30%-50%预付款，运维费按年预收，现金流持续为正。</w:t>
      </w:r>
    </w:p>
    <w:p>
      <w:pPr>
        <w:spacing w:line="360" w:lineRule="auto" w:after="80"/>
        <w:ind w:firstLine="283" w:left="454"/>
      </w:pPr>
      <w:r>
        <w:rPr>
          <w:rFonts w:ascii="宋体" w:hAnsi="宋体" w:eastAsia="宋体"/>
          <w:b/>
          <w:sz w:val="24"/>
        </w:rPr>
        <w:t>规模效应显著：</w:t>
      </w:r>
      <w:r>
        <w:rPr>
          <w:rFonts w:ascii="宋体" w:hAnsi="宋体" w:eastAsia="宋体"/>
          <w:b w:val="0"/>
          <w:sz w:val="24"/>
        </w:rPr>
        <w:t>底座核心技术一次研发、多次复用，边际成本极低，客户越多盈利越强。</w:t>
      </w:r>
    </w:p>
    <w:p>
      <w:pPr>
        <w:spacing w:line="360" w:lineRule="auto" w:after="80"/>
        <w:ind w:firstLine="283" w:left="454"/>
      </w:pPr>
      <w:r>
        <w:rPr>
          <w:rFonts w:ascii="宋体" w:hAnsi="宋体" w:eastAsia="宋体"/>
          <w:b/>
          <w:sz w:val="24"/>
        </w:rPr>
        <w:t>长期收益稳定：</w:t>
      </w:r>
      <w:r>
        <w:rPr>
          <w:rFonts w:ascii="宋体" w:hAnsi="宋体" w:eastAsia="宋体"/>
          <w:b w:val="0"/>
          <w:sz w:val="24"/>
        </w:rPr>
        <w:t>运维服务占比持续提升，形成永续现金流。</w:t>
      </w:r>
    </w:p>
    <w:p>
      <w:r>
        <w:br w:type="page"/>
      </w:r>
    </w:p>
    <w:p>
      <w:pPr>
        <w:pStyle w:val="Heading1"/>
        <w:spacing w:before="240" w:after="160"/>
        <w:jc w:val="center"/>
      </w:pPr>
      <w:r>
        <w:rPr>
          <w:rFonts w:ascii="黑体" w:hAnsi="黑体" w:eastAsia="黑体"/>
          <w:b/>
          <w:sz w:val="36"/>
        </w:rPr>
        <w:t>第五章  风险分析与应对策略</w:t>
      </w:r>
    </w:p>
    <w:p>
      <w:pPr>
        <w:pStyle w:val="Heading2"/>
        <w:spacing w:before="160" w:after="160"/>
        <w:jc w:val="left"/>
      </w:pPr>
      <w:r>
        <w:rPr>
          <w:rFonts w:ascii="黑体" w:hAnsi="黑体" w:eastAsia="黑体"/>
          <w:b/>
          <w:sz w:val="28"/>
        </w:rPr>
        <w:t>5.1 政策与监管风险</w:t>
      </w:r>
    </w:p>
    <w:p>
      <w:pPr>
        <w:spacing w:line="360" w:lineRule="auto" w:after="120"/>
        <w:ind w:firstLine="283"/>
        <w:jc w:val="both"/>
      </w:pPr>
      <w:r>
        <w:rPr>
          <w:rFonts w:ascii="宋体" w:hAnsi="宋体" w:eastAsia="宋体"/>
          <w:b w:val="0"/>
          <w:sz w:val="24"/>
        </w:rPr>
        <w:t>风险识别：</w:t>
      </w:r>
    </w:p>
    <w:p>
      <w:pPr>
        <w:spacing w:line="360" w:lineRule="auto" w:after="80"/>
        <w:ind w:firstLine="283" w:left="454"/>
      </w:pPr>
      <w:r>
        <w:rPr>
          <w:rFonts w:ascii="宋体" w:hAnsi="宋体" w:eastAsia="宋体"/>
          <w:b/>
          <w:sz w:val="24"/>
        </w:rPr>
        <w:t>政策持续性风险：</w:t>
      </w:r>
      <w:r>
        <w:rPr>
          <w:rFonts w:ascii="宋体" w:hAnsi="宋体" w:eastAsia="宋体"/>
          <w:b w:val="0"/>
          <w:sz w:val="24"/>
        </w:rPr>
        <w:t>当前水利部「天空地水工」一体化监测感知系统建设、「十四五」数字孪生水利等政策为项目提供了强力支撑，但若未来政策导向发生变化或资金投入力度减弱，可能影响市场需求释放节奏。</w:t>
      </w:r>
    </w:p>
    <w:p>
      <w:pPr>
        <w:spacing w:line="360" w:lineRule="auto" w:after="80"/>
        <w:ind w:firstLine="283" w:left="454"/>
      </w:pPr>
      <w:r>
        <w:rPr>
          <w:rFonts w:ascii="宋体" w:hAnsi="宋体" w:eastAsia="宋体"/>
          <w:b/>
          <w:sz w:val="24"/>
        </w:rPr>
        <w:t>数据安全与合规风险：</w:t>
      </w:r>
      <w:r>
        <w:rPr>
          <w:rFonts w:ascii="宋体" w:hAnsi="宋体" w:eastAsia="宋体"/>
          <w:b w:val="0"/>
          <w:sz w:val="24"/>
        </w:rPr>
        <w:t>项目涉及大面积高分辨率遥感数据的采集、存储与处理，特别是雅鲁藏布江下游等敏感区域，受到《测绘法》《数据安全法》等严格监管。</w:t>
      </w:r>
    </w:p>
    <w:p>
      <w:pPr>
        <w:spacing w:line="360" w:lineRule="auto" w:after="80"/>
        <w:ind w:firstLine="283" w:left="454"/>
      </w:pPr>
      <w:r>
        <w:rPr>
          <w:rFonts w:ascii="宋体" w:hAnsi="宋体" w:eastAsia="宋体"/>
          <w:b/>
          <w:sz w:val="24"/>
        </w:rPr>
        <w:t>行业标准尚未完全定型：</w:t>
      </w:r>
      <w:r>
        <w:rPr>
          <w:rFonts w:ascii="宋体" w:hAnsi="宋体" w:eastAsia="宋体"/>
          <w:b w:val="0"/>
          <w:sz w:val="24"/>
        </w:rPr>
        <w:t>基于时空嵌入技术的64维嵌入向量数据标准、ISEA4H格网编码在水利工程领域的应用规范等尚未形成统一的国家或行业标准，存在标准变化带来的兼容性风险。</w:t>
      </w:r>
    </w:p>
    <w:p>
      <w:pPr>
        <w:spacing w:line="360" w:lineRule="auto" w:after="120"/>
        <w:ind w:firstLine="283"/>
        <w:jc w:val="both"/>
      </w:pPr>
      <w:r>
        <w:rPr>
          <w:rFonts w:ascii="宋体" w:hAnsi="宋体" w:eastAsia="宋体"/>
          <w:b w:val="0"/>
          <w:sz w:val="24"/>
        </w:rPr>
        <w:t>应对措施：</w:t>
      </w:r>
    </w:p>
    <w:p>
      <w:pPr>
        <w:spacing w:line="360" w:lineRule="auto" w:after="80"/>
        <w:ind w:firstLine="283" w:left="454"/>
      </w:pPr>
      <w:r>
        <w:rPr>
          <w:rFonts w:ascii="宋体" w:hAnsi="宋体" w:eastAsia="宋体"/>
          <w:b/>
          <w:sz w:val="24"/>
        </w:rPr>
        <w:t>紧跟政策导向，多元化布局：</w:t>
      </w:r>
      <w:r>
        <w:rPr>
          <w:rFonts w:ascii="宋体" w:hAnsi="宋体" w:eastAsia="宋体"/>
          <w:b w:val="0"/>
          <w:sz w:val="24"/>
        </w:rPr>
        <w:t>建立政策跟踪机制，将项目能力与「十五五」国家水网规划、数字孪生水利建设等重大战略深度绑定。同时在交通、矿山、地灾防治等领域布局，分散单一行业政策波动风险。</w:t>
      </w:r>
    </w:p>
    <w:p>
      <w:pPr>
        <w:spacing w:line="360" w:lineRule="auto" w:after="80"/>
        <w:ind w:firstLine="283" w:left="454"/>
      </w:pPr>
      <w:r>
        <w:rPr>
          <w:rFonts w:ascii="宋体" w:hAnsi="宋体" w:eastAsia="宋体"/>
          <w:b/>
          <w:sz w:val="24"/>
        </w:rPr>
        <w:t>建立全链条数据安全体系：</w:t>
      </w:r>
      <w:r>
        <w:rPr>
          <w:rFonts w:ascii="宋体" w:hAnsi="宋体" w:eastAsia="宋体"/>
          <w:b w:val="0"/>
          <w:sz w:val="24"/>
        </w:rPr>
        <w:t>与国家对地观测科学数据中心深度合作，利用其国家级数据中心的安全资质和合规体系。建立数据分级分类管理制度，对敏感区域数据实施物理隔离存储和加密传输，确保核心数据不出境、不出域。</w:t>
      </w:r>
    </w:p>
    <w:p>
      <w:pPr>
        <w:spacing w:line="360" w:lineRule="auto" w:after="80"/>
        <w:ind w:firstLine="283" w:left="454"/>
      </w:pPr>
      <w:r>
        <w:rPr>
          <w:rFonts w:ascii="宋体" w:hAnsi="宋体" w:eastAsia="宋体"/>
          <w:b/>
          <w:sz w:val="24"/>
        </w:rPr>
        <w:t>主动参与标准制定：</w:t>
      </w:r>
      <w:r>
        <w:rPr>
          <w:rFonts w:ascii="宋体" w:hAnsi="宋体" w:eastAsia="宋体"/>
          <w:b w:val="0"/>
          <w:sz w:val="24"/>
        </w:rPr>
        <w:t>依托中科院空天院在ISEA4H格网系统领域的自主知识产权优势，联合行业主管部门推动嵌入向量数据标准、格网编码应用规范等行业标准的制定，将技术优势转化为标准话语权。</w:t>
      </w:r>
    </w:p>
    <w:p>
      <w:pPr>
        <w:pStyle w:val="Heading2"/>
        <w:spacing w:before="160" w:after="160"/>
        <w:jc w:val="left"/>
      </w:pPr>
      <w:r>
        <w:rPr>
          <w:rFonts w:ascii="黑体" w:hAnsi="黑体" w:eastAsia="黑体"/>
          <w:b/>
          <w:sz w:val="28"/>
        </w:rPr>
        <w:t>5.2 技术风险</w:t>
      </w:r>
    </w:p>
    <w:p>
      <w:pPr>
        <w:spacing w:line="360" w:lineRule="auto" w:after="120"/>
        <w:ind w:firstLine="283"/>
        <w:jc w:val="both"/>
      </w:pPr>
      <w:r>
        <w:rPr>
          <w:rFonts w:ascii="宋体" w:hAnsi="宋体" w:eastAsia="宋体"/>
          <w:b w:val="0"/>
          <w:sz w:val="24"/>
        </w:rPr>
        <w:t>风险识别：</w:t>
      </w:r>
    </w:p>
    <w:p>
      <w:pPr>
        <w:spacing w:line="360" w:lineRule="auto" w:after="80"/>
        <w:ind w:firstLine="283" w:left="454"/>
      </w:pPr>
      <w:r>
        <w:rPr>
          <w:rFonts w:ascii="宋体" w:hAnsi="宋体" w:eastAsia="宋体"/>
          <w:b/>
          <w:sz w:val="24"/>
        </w:rPr>
        <w:t>核心技术成熟度风险：</w:t>
      </w:r>
      <w:r>
        <w:rPr>
          <w:rFonts w:ascii="宋体" w:hAnsi="宋体" w:eastAsia="宋体"/>
          <w:b w:val="0"/>
          <w:sz w:val="24"/>
        </w:rPr>
        <w:t>64维嵌入向量技术应用于工程安全监测领域尚属首次大规模工程化实践，在极端复杂环境（如雅鲁藏布江峡谷的高海拔、大高差、云雾遮挡、地形起伏剧烈）下的性能表现尚需充分验证。嵌入向量的可解释性不足，可能影响安全诊断和风险归因的科学依据。</w:t>
      </w:r>
    </w:p>
    <w:p>
      <w:pPr>
        <w:spacing w:line="360" w:lineRule="auto" w:after="80"/>
        <w:ind w:firstLine="283" w:left="454"/>
      </w:pPr>
      <w:r>
        <w:rPr>
          <w:rFonts w:ascii="宋体" w:hAnsi="宋体" w:eastAsia="宋体"/>
          <w:b/>
          <w:sz w:val="24"/>
        </w:rPr>
        <w:t>国产硬件供应链风险：</w:t>
      </w:r>
      <w:r>
        <w:rPr>
          <w:rFonts w:ascii="宋体" w:hAnsi="宋体" w:eastAsia="宋体"/>
          <w:b w:val="0"/>
          <w:sz w:val="24"/>
        </w:rPr>
        <w:t>系统依赖华为昇腾/寒武纪算力、阿里云神龙架构等国产软硬件，若发生供应链中断或关键部件停产，可能影响系统扩容和持续建设。</w:t>
      </w:r>
    </w:p>
    <w:p>
      <w:pPr>
        <w:spacing w:line="360" w:lineRule="auto" w:after="80"/>
        <w:ind w:firstLine="283" w:left="454"/>
      </w:pPr>
      <w:r>
        <w:rPr>
          <w:rFonts w:ascii="宋体" w:hAnsi="宋体" w:eastAsia="宋体"/>
          <w:b/>
          <w:sz w:val="24"/>
        </w:rPr>
        <w:t>数据质量与时空对齐精度风险：</w:t>
      </w:r>
      <w:r>
        <w:rPr>
          <w:rFonts w:ascii="宋体" w:hAnsi="宋体" w:eastAsia="宋体"/>
          <w:b w:val="0"/>
          <w:sz w:val="24"/>
        </w:rPr>
        <w:t>多源数据（光学、SAR、IoT传感器）的时空对齐是系统的核心技术难点。在雅江地区，受高差大、云层厚、地形阴影等因素影响，数据质量可能存在不确定性。系统指标要求空间配准误差≤0.5个像素、时间同步偏差&lt;10分钟，在实际工程环境下能否稳定达标存在不确定性。</w:t>
      </w:r>
    </w:p>
    <w:p>
      <w:pPr>
        <w:spacing w:line="360" w:lineRule="auto" w:after="80"/>
        <w:ind w:firstLine="283" w:left="454"/>
      </w:pPr>
      <w:r>
        <w:rPr>
          <w:rFonts w:ascii="宋体" w:hAnsi="宋体" w:eastAsia="宋体"/>
          <w:b/>
          <w:sz w:val="24"/>
        </w:rPr>
        <w:t>AI模型泛化能力风险：</w:t>
      </w:r>
      <w:r>
        <w:rPr>
          <w:rFonts w:ascii="宋体" w:hAnsi="宋体" w:eastAsia="宋体"/>
          <w:b w:val="0"/>
          <w:sz w:val="24"/>
        </w:rPr>
        <w:t>雅江地区标注样本极为稀缺，AI模型的小样本学习能力直接影响地物识别与变化检测准确率（系统目标为≥90%）。跨场景、跨区域迁移时的模型性能衰减风险需要持续关注。</w:t>
      </w:r>
    </w:p>
    <w:p>
      <w:pPr>
        <w:spacing w:line="360" w:lineRule="auto" w:after="120"/>
        <w:ind w:firstLine="283"/>
        <w:jc w:val="both"/>
      </w:pPr>
      <w:r>
        <w:rPr>
          <w:rFonts w:ascii="宋体" w:hAnsi="宋体" w:eastAsia="宋体"/>
          <w:b w:val="0"/>
          <w:sz w:val="24"/>
        </w:rPr>
        <w:t>应对措施：</w:t>
      </w:r>
    </w:p>
    <w:p>
      <w:pPr>
        <w:spacing w:line="360" w:lineRule="auto" w:after="80"/>
        <w:ind w:firstLine="283" w:left="454"/>
      </w:pPr>
      <w:r>
        <w:rPr>
          <w:rFonts w:ascii="宋体" w:hAnsi="宋体" w:eastAsia="宋体"/>
          <w:b/>
          <w:sz w:val="24"/>
        </w:rPr>
        <w:t>分阶段验证，逐步迭代：</w:t>
      </w:r>
      <w:r>
        <w:rPr>
          <w:rFonts w:ascii="宋体" w:hAnsi="宋体" w:eastAsia="宋体"/>
          <w:b w:val="0"/>
          <w:sz w:val="24"/>
        </w:rPr>
        <w:t>在项目研发期（12个月）内设置中期验收节点，分模块验证核心技术指标。先在模拟环境和小范围试验区域完成技术验证，再逐步扩展至全区域部署。建立技术冗余机制，联合北京科技大学团队开展可解释性研究，建立嵌入向量特征与工程安全指标之间的映射关系。</w:t>
      </w:r>
    </w:p>
    <w:p>
      <w:pPr>
        <w:spacing w:line="360" w:lineRule="auto" w:after="80"/>
        <w:ind w:firstLine="283" w:left="454"/>
      </w:pPr>
      <w:r>
        <w:rPr>
          <w:rFonts w:ascii="宋体" w:hAnsi="宋体" w:eastAsia="宋体"/>
          <w:b/>
          <w:sz w:val="24"/>
        </w:rPr>
        <w:t>国产化生态深度绑定，建立备选方案：</w:t>
      </w:r>
      <w:r>
        <w:rPr>
          <w:rFonts w:ascii="宋体" w:hAnsi="宋体" w:eastAsia="宋体"/>
          <w:b w:val="0"/>
          <w:sz w:val="24"/>
        </w:rPr>
        <w:t>与华为、寒武纪、阿里云等国产厂商签订长期战略合作协议，确保供应链稳定。同时建立关键部件的多源备选清单，降低单一供应商依赖。</w:t>
      </w:r>
    </w:p>
    <w:p>
      <w:pPr>
        <w:spacing w:line="360" w:lineRule="auto" w:after="80"/>
        <w:ind w:firstLine="283" w:left="454"/>
      </w:pPr>
      <w:r>
        <w:rPr>
          <w:rFonts w:ascii="宋体" w:hAnsi="宋体" w:eastAsia="宋体"/>
          <w:b/>
          <w:sz w:val="24"/>
        </w:rPr>
        <w:t>构建多层次数据质量保障体系：</w:t>
      </w:r>
      <w:r>
        <w:rPr>
          <w:rFonts w:ascii="宋体" w:hAnsi="宋体" w:eastAsia="宋体"/>
          <w:b w:val="0"/>
          <w:sz w:val="24"/>
        </w:rPr>
        <w:t>在工程区域内布设不少于100个地面控制点和角反射器，作为多源数据空间配准的基准；采用先进的大气校正算法，降低大气延迟对形变监测精度的影响；建立数据质量自动评估模块，异常数据自动触发人工复核。</w:t>
      </w:r>
    </w:p>
    <w:p>
      <w:pPr>
        <w:spacing w:line="360" w:lineRule="auto" w:after="80"/>
        <w:ind w:firstLine="283" w:left="454"/>
      </w:pPr>
      <w:r>
        <w:rPr>
          <w:rFonts w:ascii="宋体" w:hAnsi="宋体" w:eastAsia="宋体"/>
          <w:b/>
          <w:sz w:val="24"/>
        </w:rPr>
        <w:t>构建行业样本库，持续优化模型：</w:t>
      </w:r>
      <w:r>
        <w:rPr>
          <w:rFonts w:ascii="宋体" w:hAnsi="宋体" w:eastAsia="宋体"/>
          <w:b w:val="0"/>
          <w:sz w:val="24"/>
        </w:rPr>
        <w:t>联合国家对地观测科学数据中心已有的遥感样本库资源（超过11000个高质量数据产品），结合工程实际采集数据，构建专用AI训练样本库。采用迁移学习+领域自适应技术，提升模型在跨场景部署时的泛化能力。</w:t>
      </w:r>
    </w:p>
    <w:p>
      <w:pPr>
        <w:pStyle w:val="Heading2"/>
        <w:spacing w:before="160" w:after="160"/>
        <w:jc w:val="left"/>
      </w:pPr>
      <w:r>
        <w:rPr>
          <w:rFonts w:ascii="黑体" w:hAnsi="黑体" w:eastAsia="黑体"/>
          <w:b/>
          <w:sz w:val="28"/>
        </w:rPr>
        <w:t>5.3 市场与竞争风险</w:t>
      </w:r>
    </w:p>
    <w:p>
      <w:pPr>
        <w:spacing w:line="360" w:lineRule="auto" w:after="120"/>
        <w:ind w:firstLine="283"/>
        <w:jc w:val="both"/>
      </w:pPr>
      <w:r>
        <w:rPr>
          <w:rFonts w:ascii="宋体" w:hAnsi="宋体" w:eastAsia="宋体"/>
          <w:b w:val="0"/>
          <w:sz w:val="24"/>
        </w:rPr>
        <w:t>风险识别：</w:t>
      </w:r>
    </w:p>
    <w:p>
      <w:pPr>
        <w:spacing w:line="360" w:lineRule="auto" w:after="80"/>
        <w:ind w:firstLine="283" w:left="454"/>
      </w:pPr>
      <w:r>
        <w:rPr>
          <w:rFonts w:ascii="宋体" w:hAnsi="宋体" w:eastAsia="宋体"/>
          <w:b/>
          <w:sz w:val="24"/>
        </w:rPr>
        <w:t>市场竞争加剧风险：</w:t>
      </w:r>
      <w:r>
        <w:rPr>
          <w:rFonts w:ascii="宋体" w:hAnsi="宋体" w:eastAsia="宋体"/>
          <w:b w:val="0"/>
          <w:sz w:val="24"/>
        </w:rPr>
        <w:t>随着智慧水利市场快速增长，传统水电勘测设计院正在加速智能化转型，互联网巨头依托云计算和AI能力切入数字孪生水利赛道，专业遥感企业也在积极布局「空天地」一体化监测方案。</w:t>
      </w:r>
    </w:p>
    <w:p>
      <w:pPr>
        <w:spacing w:line="360" w:lineRule="auto" w:after="80"/>
        <w:ind w:firstLine="283" w:left="454"/>
      </w:pPr>
      <w:r>
        <w:rPr>
          <w:rFonts w:ascii="宋体" w:hAnsi="宋体" w:eastAsia="宋体"/>
          <w:b/>
          <w:sz w:val="24"/>
        </w:rPr>
        <w:t>客户决策周期长，项目获取成本高：</w:t>
      </w:r>
      <w:r>
        <w:rPr>
          <w:rFonts w:ascii="宋体" w:hAnsi="宋体" w:eastAsia="宋体"/>
          <w:b w:val="0"/>
          <w:sz w:val="24"/>
        </w:rPr>
        <w:t>大型水利工程安全监测系统涉及工程全生命周期安全，客户决策极为谨慎，从技术交流、方案论证、试点验证到正式签约的周期通常长达1-2年。</w:t>
      </w:r>
    </w:p>
    <w:p>
      <w:pPr>
        <w:spacing w:line="360" w:lineRule="auto" w:after="80"/>
        <w:ind w:firstLine="283" w:left="454"/>
      </w:pPr>
      <w:r>
        <w:rPr>
          <w:rFonts w:ascii="宋体" w:hAnsi="宋体" w:eastAsia="宋体"/>
          <w:b/>
          <w:sz w:val="24"/>
        </w:rPr>
        <w:t>价格竞争压力：</w:t>
      </w:r>
      <w:r>
        <w:rPr>
          <w:rFonts w:ascii="宋体" w:hAnsi="宋体" w:eastAsia="宋体"/>
          <w:b w:val="0"/>
          <w:sz w:val="24"/>
        </w:rPr>
        <w:t>部分竞争对手可能以低价策略抢占市场份额。玄女底座的高研发投入导致初始定价较高，可能在中低端市场面临价格竞争劣势。</w:t>
      </w:r>
    </w:p>
    <w:p>
      <w:pPr>
        <w:spacing w:line="360" w:lineRule="auto" w:after="80"/>
        <w:ind w:firstLine="283" w:left="454"/>
      </w:pPr>
      <w:r>
        <w:rPr>
          <w:rFonts w:ascii="宋体" w:hAnsi="宋体" w:eastAsia="宋体"/>
          <w:b/>
          <w:sz w:val="24"/>
        </w:rPr>
        <w:t>海外市场拓展风险：</w:t>
      </w:r>
      <w:r>
        <w:rPr>
          <w:rFonts w:ascii="宋体" w:hAnsi="宋体" w:eastAsia="宋体"/>
          <w:b w:val="0"/>
          <w:sz w:val="24"/>
        </w:rPr>
        <w:t>「一带一路」沿线国家存在政治不稳定、法律体系差异、汇率波动、本地化服务能力不足等风险。</w:t>
      </w:r>
    </w:p>
    <w:p>
      <w:pPr>
        <w:spacing w:line="360" w:lineRule="auto" w:after="120"/>
        <w:ind w:firstLine="283"/>
        <w:jc w:val="both"/>
      </w:pPr>
      <w:r>
        <w:rPr>
          <w:rFonts w:ascii="宋体" w:hAnsi="宋体" w:eastAsia="宋体"/>
          <w:b w:val="0"/>
          <w:sz w:val="24"/>
        </w:rPr>
        <w:t>应对措施：</w:t>
      </w:r>
    </w:p>
    <w:p>
      <w:pPr>
        <w:spacing w:line="360" w:lineRule="auto" w:after="80"/>
        <w:ind w:firstLine="283" w:left="454"/>
      </w:pPr>
      <w:r>
        <w:rPr>
          <w:rFonts w:ascii="宋体" w:hAnsi="宋体" w:eastAsia="宋体"/>
          <w:b/>
          <w:sz w:val="24"/>
        </w:rPr>
        <w:t>构建差异化竞争壁垒：</w:t>
      </w:r>
      <w:r>
        <w:rPr>
          <w:rFonts w:ascii="宋体" w:hAnsi="宋体" w:eastAsia="宋体"/>
          <w:b w:val="0"/>
          <w:sz w:val="24"/>
        </w:rPr>
        <w:t>以时空嵌入技术的领先性为核心卖点，聚焦高端市场——即地质条件复杂、风险等级高、对监测精度和智能化水平要求严格的大型工程，避开低端价格竞争。依托雅下工程的标杆示范效应，树立「最复杂工程都能做，普通工程更可靠」的品牌认知。</w:t>
      </w:r>
    </w:p>
    <w:p>
      <w:pPr>
        <w:spacing w:line="360" w:lineRule="auto" w:after="80"/>
        <w:ind w:firstLine="283" w:left="454"/>
      </w:pPr>
      <w:r>
        <w:rPr>
          <w:rFonts w:ascii="宋体" w:hAnsi="宋体" w:eastAsia="宋体"/>
          <w:b/>
          <w:sz w:val="24"/>
        </w:rPr>
        <w:t>缩短决策周期，降低获客成本：</w:t>
      </w:r>
      <w:r>
        <w:rPr>
          <w:rFonts w:ascii="宋体" w:hAnsi="宋体" w:eastAsia="宋体"/>
          <w:b w:val="0"/>
          <w:sz w:val="24"/>
        </w:rPr>
        <w:t>在标杆项目交付后，开发「玄女底座轻量版」——标准化、模块化的产品套件，支持快速部署和POC验证，将客户决策周期压缩至3-6个月。借助联合体各方已有的客户网络进行交叉销售。</w:t>
      </w:r>
    </w:p>
    <w:p>
      <w:pPr>
        <w:spacing w:line="360" w:lineRule="auto" w:after="80"/>
        <w:ind w:firstLine="283" w:left="454"/>
      </w:pPr>
      <w:r>
        <w:rPr>
          <w:rFonts w:ascii="宋体" w:hAnsi="宋体" w:eastAsia="宋体"/>
          <w:b/>
          <w:sz w:val="24"/>
        </w:rPr>
        <w:t>实行分层定价策略：</w:t>
      </w:r>
      <w:r>
        <w:rPr>
          <w:rFonts w:ascii="宋体" w:hAnsi="宋体" w:eastAsia="宋体"/>
          <w:b w:val="0"/>
          <w:sz w:val="24"/>
        </w:rPr>
        <w:t>面向大型战略客户提供全功能旗舰版（5000万-2亿元/项目）；面向中型工程提供标准版（1000-3000万元/项目）；面向基础设施运营方提供数据订阅服务（10-500万元/年）。通过分层定价覆盖不同客户群体的预算区间。</w:t>
      </w:r>
    </w:p>
    <w:p>
      <w:pPr>
        <w:spacing w:line="360" w:lineRule="auto" w:after="80"/>
        <w:ind w:firstLine="283" w:left="454"/>
      </w:pPr>
      <w:r>
        <w:rPr>
          <w:rFonts w:ascii="宋体" w:hAnsi="宋体" w:eastAsia="宋体"/>
          <w:b/>
          <w:sz w:val="24"/>
        </w:rPr>
        <w:t>海外市场稳健推进：</w:t>
      </w:r>
      <w:r>
        <w:rPr>
          <w:rFonts w:ascii="宋体" w:hAnsi="宋体" w:eastAsia="宋体"/>
          <w:b w:val="0"/>
          <w:sz w:val="24"/>
        </w:rPr>
        <w:t>优先选择政治稳定、与中国关系良好的国家作为海外拓展试点，依托「一带一路」框架下的中资水电项目切入市场。初期以「技术输出+本地合作」模式降低风险。</w:t>
      </w:r>
    </w:p>
    <w:p>
      <w:pPr>
        <w:pStyle w:val="Heading2"/>
        <w:spacing w:before="160" w:after="160"/>
        <w:jc w:val="left"/>
      </w:pPr>
      <w:r>
        <w:rPr>
          <w:rFonts w:ascii="黑体" w:hAnsi="黑体" w:eastAsia="黑体"/>
          <w:b/>
          <w:sz w:val="28"/>
        </w:rPr>
        <w:t>5.4 运营与实施风险</w:t>
      </w:r>
    </w:p>
    <w:p>
      <w:pPr>
        <w:spacing w:line="360" w:lineRule="auto" w:after="120"/>
        <w:ind w:firstLine="283"/>
        <w:jc w:val="both"/>
      </w:pPr>
      <w:r>
        <w:rPr>
          <w:rFonts w:ascii="宋体" w:hAnsi="宋体" w:eastAsia="宋体"/>
          <w:b w:val="0"/>
          <w:sz w:val="24"/>
        </w:rPr>
        <w:t>风险识别：</w:t>
      </w:r>
    </w:p>
    <w:p>
      <w:pPr>
        <w:spacing w:line="360" w:lineRule="auto" w:after="80"/>
        <w:ind w:firstLine="283" w:left="454"/>
      </w:pPr>
      <w:r>
        <w:rPr>
          <w:rFonts w:ascii="宋体" w:hAnsi="宋体" w:eastAsia="宋体"/>
          <w:b/>
          <w:sz w:val="24"/>
        </w:rPr>
        <w:t>项目交付周期紧张：</w:t>
      </w:r>
      <w:r>
        <w:rPr>
          <w:rFonts w:ascii="宋体" w:hAnsi="宋体" w:eastAsia="宋体"/>
          <w:b w:val="0"/>
          <w:sz w:val="24"/>
        </w:rPr>
        <w:t>项目研发工期为1年，需完成立体监测网络建设、统一数据底座研发、云边端基础设施搭建、时空数据引擎与可视化平台开发等多项并行任务。雅下地区施工环境恶劣、交通不便，硬件部署和设备调试可能因天气、道路中断等因素延期。</w:t>
      </w:r>
    </w:p>
    <w:p>
      <w:pPr>
        <w:spacing w:line="360" w:lineRule="auto" w:after="80"/>
        <w:ind w:firstLine="283" w:left="454"/>
      </w:pPr>
      <w:r>
        <w:rPr>
          <w:rFonts w:ascii="宋体" w:hAnsi="宋体" w:eastAsia="宋体"/>
          <w:b/>
          <w:sz w:val="24"/>
        </w:rPr>
        <w:t>多单位协作管理风险：</w:t>
      </w:r>
      <w:r>
        <w:rPr>
          <w:rFonts w:ascii="宋体" w:hAnsi="宋体" w:eastAsia="宋体"/>
          <w:b w:val="0"/>
          <w:sz w:val="24"/>
        </w:rPr>
        <w:t>项目由中科院空天院、天仪研究院、北京科技大学三家单位联合实施，涉及卫星数据协调、SAR星座运营、工程安全诊断等多个专业领域的深度协同。</w:t>
      </w:r>
    </w:p>
    <w:p>
      <w:pPr>
        <w:spacing w:line="360" w:lineRule="auto" w:after="80"/>
        <w:ind w:firstLine="283" w:left="454"/>
      </w:pPr>
      <w:r>
        <w:rPr>
          <w:rFonts w:ascii="宋体" w:hAnsi="宋体" w:eastAsia="宋体"/>
          <w:b/>
          <w:sz w:val="24"/>
        </w:rPr>
        <w:t>系统可用性与容灾风险：</w:t>
      </w:r>
      <w:r>
        <w:rPr>
          <w:rFonts w:ascii="宋体" w:hAnsi="宋体" w:eastAsia="宋体"/>
          <w:b w:val="0"/>
          <w:sz w:val="24"/>
        </w:rPr>
        <w:t>系统要求整体可用性≥99.9%、平均无故障运行时间≥10000小时、灾难恢复时间&lt;30分钟。在雅江极端环境下，边缘设备和通信链路的可靠性面临严峻考验。</w:t>
      </w:r>
    </w:p>
    <w:p>
      <w:pPr>
        <w:spacing w:line="360" w:lineRule="auto" w:after="120"/>
        <w:ind w:firstLine="283"/>
        <w:jc w:val="both"/>
      </w:pPr>
      <w:r>
        <w:rPr>
          <w:rFonts w:ascii="宋体" w:hAnsi="宋体" w:eastAsia="宋体"/>
          <w:b w:val="0"/>
          <w:sz w:val="24"/>
        </w:rPr>
        <w:t>应对措施：</w:t>
      </w:r>
    </w:p>
    <w:p>
      <w:pPr>
        <w:spacing w:line="360" w:lineRule="auto" w:after="80"/>
        <w:ind w:firstLine="283" w:left="454"/>
      </w:pPr>
      <w:r>
        <w:rPr>
          <w:rFonts w:ascii="宋体" w:hAnsi="宋体" w:eastAsia="宋体"/>
          <w:b/>
          <w:sz w:val="24"/>
        </w:rPr>
        <w:t>采用并行工程与里程碑管理：</w:t>
      </w:r>
      <w:r>
        <w:rPr>
          <w:rFonts w:ascii="宋体" w:hAnsi="宋体" w:eastAsia="宋体"/>
          <w:b w:val="0"/>
          <w:sz w:val="24"/>
        </w:rPr>
        <w:t>将项目分解为立体感知网络、数字底座、云边端设施、数据引擎四大并行模块，各模块指定负责人独立推进、定期会商。设置6个月中期验收里程碑，及时识别进度偏差并调整资源。</w:t>
      </w:r>
    </w:p>
    <w:p>
      <w:pPr>
        <w:spacing w:line="360" w:lineRule="auto" w:after="80"/>
        <w:ind w:firstLine="283" w:left="454"/>
      </w:pPr>
      <w:r>
        <w:rPr>
          <w:rFonts w:ascii="宋体" w:hAnsi="宋体" w:eastAsia="宋体"/>
          <w:b/>
          <w:sz w:val="24"/>
        </w:rPr>
        <w:t>建立联合项目管理办公室（PMO）：</w:t>
      </w:r>
      <w:r>
        <w:rPr>
          <w:rFonts w:ascii="宋体" w:hAnsi="宋体" w:eastAsia="宋体"/>
          <w:b w:val="0"/>
          <w:sz w:val="24"/>
        </w:rPr>
        <w:t>由三家单位共同派驻人员组建PMO，统一项目管理制度、技术标准和沟通机制。制定详细的责任矩阵，明确每项任务的主责单位和配合单位。</w:t>
      </w:r>
    </w:p>
    <w:p>
      <w:pPr>
        <w:spacing w:line="360" w:lineRule="auto" w:after="80"/>
        <w:ind w:firstLine="283" w:left="454"/>
      </w:pPr>
      <w:r>
        <w:rPr>
          <w:rFonts w:ascii="宋体" w:hAnsi="宋体" w:eastAsia="宋体"/>
          <w:b/>
          <w:sz w:val="24"/>
        </w:rPr>
        <w:t>多层次容灾架构设计：</w:t>
      </w:r>
      <w:r>
        <w:rPr>
          <w:rFonts w:ascii="宋体" w:hAnsi="宋体" w:eastAsia="宋体"/>
          <w:b w:val="0"/>
          <w:sz w:val="24"/>
        </w:rPr>
        <w:t>边缘节点采用双机热备，区域中心采用主备集群，云端采用同城双活+异地灾备三级架构。关键数据每日增量备份，每周全量备份。通信链路采用5G+卫星通信双冗余。建立7×24小时运维监控中心。</w:t>
      </w:r>
    </w:p>
    <w:p>
      <w:pPr>
        <w:pStyle w:val="Heading2"/>
        <w:spacing w:before="160" w:after="160"/>
        <w:jc w:val="left"/>
      </w:pPr>
      <w:r>
        <w:rPr>
          <w:rFonts w:ascii="黑体" w:hAnsi="黑体" w:eastAsia="黑体"/>
          <w:b/>
          <w:sz w:val="28"/>
        </w:rPr>
        <w:t>5.5 财务风险</w:t>
      </w:r>
    </w:p>
    <w:p>
      <w:pPr>
        <w:spacing w:line="360" w:lineRule="auto" w:after="120"/>
        <w:ind w:firstLine="283"/>
        <w:jc w:val="both"/>
      </w:pPr>
      <w:r>
        <w:rPr>
          <w:rFonts w:ascii="宋体" w:hAnsi="宋体" w:eastAsia="宋体"/>
          <w:b w:val="0"/>
          <w:sz w:val="24"/>
        </w:rPr>
        <w:t>风险识别：</w:t>
      </w:r>
    </w:p>
    <w:p>
      <w:pPr>
        <w:spacing w:line="360" w:lineRule="auto" w:after="80"/>
        <w:ind w:firstLine="283" w:left="454"/>
      </w:pPr>
      <w:r>
        <w:rPr>
          <w:rFonts w:ascii="宋体" w:hAnsi="宋体" w:eastAsia="宋体"/>
          <w:b/>
          <w:sz w:val="24"/>
        </w:rPr>
        <w:t>项目投资规模大，回收周期长：</w:t>
      </w:r>
      <w:r>
        <w:rPr>
          <w:rFonts w:ascii="宋体" w:hAnsi="宋体" w:eastAsia="宋体"/>
          <w:b w:val="0"/>
          <w:sz w:val="24"/>
        </w:rPr>
        <w:t>雅下示范项目建设投资7000万元，5年调试运行7000万元，合计1.4亿元。单项目15年生命周期总毛利有限，依靠单项目难以实现投资回报，必须依赖规模化复制才能实现盈利。</w:t>
      </w:r>
    </w:p>
    <w:p>
      <w:pPr>
        <w:spacing w:line="360" w:lineRule="auto" w:after="80"/>
        <w:ind w:firstLine="283" w:left="454"/>
      </w:pPr>
      <w:r>
        <w:rPr>
          <w:rFonts w:ascii="宋体" w:hAnsi="宋体" w:eastAsia="宋体"/>
          <w:b/>
          <w:sz w:val="24"/>
        </w:rPr>
        <w:t>成本超支风险：</w:t>
      </w:r>
      <w:r>
        <w:rPr>
          <w:rFonts w:ascii="宋体" w:hAnsi="宋体" w:eastAsia="宋体"/>
          <w:b w:val="0"/>
          <w:sz w:val="24"/>
        </w:rPr>
        <w:t>硬件采购成本受芯片市场供需波动影响；数据采购成本若需补充采购特定时相或高分辨率数据，可能超出预算。</w:t>
      </w:r>
    </w:p>
    <w:p>
      <w:pPr>
        <w:spacing w:line="360" w:lineRule="auto" w:after="80"/>
        <w:ind w:firstLine="283" w:left="454"/>
      </w:pPr>
      <w:r>
        <w:rPr>
          <w:rFonts w:ascii="宋体" w:hAnsi="宋体" w:eastAsia="宋体"/>
          <w:b/>
          <w:sz w:val="24"/>
        </w:rPr>
        <w:t>应收账款与现金流风险：</w:t>
      </w:r>
      <w:r>
        <w:rPr>
          <w:rFonts w:ascii="宋体" w:hAnsi="宋体" w:eastAsia="宋体"/>
          <w:b w:val="0"/>
          <w:sz w:val="24"/>
        </w:rPr>
        <w:t>大型工程项目的合同付款通常按里程碑分期支付，周期较长。若客户因审批流程、预算调整等原因延迟付款，将影响项目现金流。</w:t>
      </w:r>
    </w:p>
    <w:p>
      <w:pPr>
        <w:spacing w:line="360" w:lineRule="auto" w:after="80"/>
        <w:ind w:firstLine="283" w:left="454"/>
      </w:pPr>
      <w:r>
        <w:rPr>
          <w:rFonts w:ascii="宋体" w:hAnsi="宋体" w:eastAsia="宋体"/>
          <w:b/>
          <w:sz w:val="24"/>
        </w:rPr>
        <w:t>卫星数据续订成本刚性：</w:t>
      </w:r>
      <w:r>
        <w:rPr>
          <w:rFonts w:ascii="宋体" w:hAnsi="宋体" w:eastAsia="宋体"/>
          <w:b w:val="0"/>
          <w:sz w:val="24"/>
        </w:rPr>
        <w:t>运营期卫星数据续订费为固定支出，若客户缩减预算或合同续约遇阻，该部分成本将成为沉没成本。</w:t>
      </w:r>
    </w:p>
    <w:p>
      <w:pPr>
        <w:spacing w:line="360" w:lineRule="auto" w:after="120"/>
        <w:ind w:firstLine="283"/>
        <w:jc w:val="both"/>
      </w:pPr>
      <w:r>
        <w:rPr>
          <w:rFonts w:ascii="宋体" w:hAnsi="宋体" w:eastAsia="宋体"/>
          <w:b w:val="0"/>
          <w:sz w:val="24"/>
        </w:rPr>
        <w:t>应对措施：</w:t>
      </w:r>
    </w:p>
    <w:p>
      <w:pPr>
        <w:spacing w:line="360" w:lineRule="auto" w:after="80"/>
        <w:ind w:firstLine="283" w:left="454"/>
      </w:pPr>
      <w:r>
        <w:rPr>
          <w:rFonts w:ascii="宋体" w:hAnsi="宋体" w:eastAsia="宋体"/>
          <w:b/>
          <w:sz w:val="24"/>
        </w:rPr>
        <w:t>多元融资，分散投资压力：</w:t>
      </w:r>
      <w:r>
        <w:rPr>
          <w:rFonts w:ascii="宋体" w:hAnsi="宋体" w:eastAsia="宋体"/>
          <w:b w:val="0"/>
          <w:sz w:val="24"/>
        </w:rPr>
        <w:t>积极争取国家重大科技专项、重点研发计划、产业引导基金等政策性资金支持，降低自有资金投入比例。探索「政府+企业+金融机构」的PPP模式，引入战略投资者分担前期投入。</w:t>
      </w:r>
    </w:p>
    <w:p>
      <w:pPr>
        <w:spacing w:line="360" w:lineRule="auto" w:after="80"/>
        <w:ind w:firstLine="283" w:left="454"/>
      </w:pPr>
      <w:r>
        <w:rPr>
          <w:rFonts w:ascii="宋体" w:hAnsi="宋体" w:eastAsia="宋体"/>
          <w:b/>
          <w:sz w:val="24"/>
        </w:rPr>
        <w:t>精细化成本管控：</w:t>
      </w:r>
      <w:r>
        <w:rPr>
          <w:rFonts w:ascii="宋体" w:hAnsi="宋体" w:eastAsia="宋体"/>
          <w:b w:val="0"/>
          <w:sz w:val="24"/>
        </w:rPr>
        <w:t>硬件采购采用框架协议+分批交付模式。数据采购优先利用国家对地观测科学数据中心已有数据资源和天仪自有SAR星座数据，减少外部采购依赖。</w:t>
      </w:r>
    </w:p>
    <w:p>
      <w:pPr>
        <w:spacing w:line="360" w:lineRule="auto" w:after="80"/>
        <w:ind w:firstLine="283" w:left="454"/>
      </w:pPr>
      <w:r>
        <w:rPr>
          <w:rFonts w:ascii="宋体" w:hAnsi="宋体" w:eastAsia="宋体"/>
          <w:b/>
          <w:sz w:val="24"/>
        </w:rPr>
        <w:t>优化合同条款，保障现金流：</w:t>
      </w:r>
      <w:r>
        <w:rPr>
          <w:rFonts w:ascii="宋体" w:hAnsi="宋体" w:eastAsia="宋体"/>
          <w:b w:val="0"/>
          <w:sz w:val="24"/>
        </w:rPr>
        <w:t>在合同中约定不低于30%的预付款比例，按里程碑设置合理的付款节点。建立客户信用评级体系，对信用等级较低的客户要求提供履约保函。</w:t>
      </w:r>
    </w:p>
    <w:p>
      <w:pPr>
        <w:spacing w:line="360" w:lineRule="auto" w:after="80"/>
        <w:ind w:firstLine="283" w:left="454"/>
      </w:pPr>
      <w:r>
        <w:rPr>
          <w:rFonts w:ascii="宋体" w:hAnsi="宋体" w:eastAsia="宋体"/>
          <w:b/>
          <w:sz w:val="24"/>
        </w:rPr>
        <w:t>数据服务产品化，降低续订风险：</w:t>
      </w:r>
      <w:r>
        <w:rPr>
          <w:rFonts w:ascii="宋体" w:hAnsi="宋体" w:eastAsia="宋体"/>
          <w:b w:val="0"/>
          <w:sz w:val="24"/>
        </w:rPr>
        <w:t>将卫星数据续订成本内化为标准化数据产品的一部分，通过向多客户提供数据订阅服务实现成本分摊。单个客户退订时，数据产品可转售给同区域其他客户，降低沉没成本风险。</w:t>
      </w:r>
    </w:p>
    <w:p>
      <w:pPr>
        <w:pStyle w:val="Heading2"/>
        <w:spacing w:before="160" w:after="160"/>
        <w:jc w:val="left"/>
      </w:pPr>
      <w:r>
        <w:rPr>
          <w:rFonts w:ascii="黑体" w:hAnsi="黑体" w:eastAsia="黑体"/>
          <w:b/>
          <w:sz w:val="28"/>
        </w:rPr>
        <w:t>5.6 风险汇总与等级评估</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shd w:fill="D9E2F3"/>
          </w:tcPr>
          <w:p>
            <w:pPr>
              <w:jc w:val="center"/>
            </w:pPr>
            <w:r>
              <w:rPr>
                <w:rFonts w:ascii="黑体" w:hAnsi="黑体" w:eastAsia="黑体"/>
                <w:b/>
                <w:sz w:val="21"/>
              </w:rPr>
              <w:t>风险类别</w:t>
            </w:r>
          </w:p>
        </w:tc>
        <w:tc>
          <w:tcPr>
            <w:tcW w:type="dxa" w:w="1385"/>
            <w:shd w:fill="D9E2F3"/>
          </w:tcPr>
          <w:p>
            <w:pPr>
              <w:jc w:val="center"/>
            </w:pPr>
            <w:r>
              <w:rPr>
                <w:rFonts w:ascii="黑体" w:hAnsi="黑体" w:eastAsia="黑体"/>
                <w:b/>
                <w:sz w:val="21"/>
              </w:rPr>
              <w:t>核心风险点</w:t>
            </w:r>
          </w:p>
        </w:tc>
        <w:tc>
          <w:tcPr>
            <w:tcW w:type="dxa" w:w="1385"/>
            <w:shd w:fill="D9E2F3"/>
          </w:tcPr>
          <w:p>
            <w:pPr>
              <w:jc w:val="center"/>
            </w:pPr>
            <w:r>
              <w:rPr>
                <w:rFonts w:ascii="黑体" w:hAnsi="黑体" w:eastAsia="黑体"/>
                <w:b/>
                <w:sz w:val="21"/>
              </w:rPr>
              <w:t>发生概率</w:t>
            </w:r>
          </w:p>
        </w:tc>
        <w:tc>
          <w:tcPr>
            <w:tcW w:type="dxa" w:w="1385"/>
            <w:shd w:fill="D9E2F3"/>
          </w:tcPr>
          <w:p>
            <w:pPr>
              <w:jc w:val="center"/>
            </w:pPr>
            <w:r>
              <w:rPr>
                <w:rFonts w:ascii="黑体" w:hAnsi="黑体" w:eastAsia="黑体"/>
                <w:b/>
                <w:sz w:val="21"/>
              </w:rPr>
              <w:t>影响程度</w:t>
            </w:r>
          </w:p>
        </w:tc>
        <w:tc>
          <w:tcPr>
            <w:tcW w:type="dxa" w:w="1385"/>
            <w:shd w:fill="D9E2F3"/>
          </w:tcPr>
          <w:p>
            <w:pPr>
              <w:jc w:val="center"/>
            </w:pPr>
            <w:r>
              <w:rPr>
                <w:rFonts w:ascii="黑体" w:hAnsi="黑体" w:eastAsia="黑体"/>
                <w:b/>
                <w:sz w:val="21"/>
              </w:rPr>
              <w:t>风险等级</w:t>
            </w:r>
          </w:p>
        </w:tc>
        <w:tc>
          <w:tcPr>
            <w:tcW w:type="dxa" w:w="1385"/>
            <w:shd w:fill="D9E2F3"/>
          </w:tcPr>
          <w:p>
            <w:pPr>
              <w:jc w:val="center"/>
            </w:pPr>
            <w:r>
              <w:rPr>
                <w:rFonts w:ascii="黑体" w:hAnsi="黑体" w:eastAsia="黑体"/>
                <w:b/>
                <w:sz w:val="21"/>
              </w:rPr>
              <w:t>优先应对策略</w:t>
            </w:r>
          </w:p>
        </w:tc>
      </w:tr>
      <w:tr>
        <w:tc>
          <w:tcPr>
            <w:tcW w:type="dxa" w:w="1385"/>
          </w:tcPr>
          <w:p>
            <w:pPr>
              <w:jc w:val="center"/>
            </w:pPr>
            <w:r>
              <w:rPr>
                <w:rFonts w:ascii="宋体" w:hAnsi="宋体" w:eastAsia="宋体"/>
                <w:b w:val="0"/>
                <w:sz w:val="21"/>
              </w:rPr>
              <w:t>政策与监管</w:t>
            </w:r>
          </w:p>
        </w:tc>
        <w:tc>
          <w:tcPr>
            <w:tcW w:type="dxa" w:w="1385"/>
          </w:tcPr>
          <w:p>
            <w:pPr>
              <w:jc w:val="center"/>
            </w:pPr>
            <w:r>
              <w:rPr>
                <w:rFonts w:ascii="宋体" w:hAnsi="宋体" w:eastAsia="宋体"/>
                <w:b w:val="0"/>
                <w:sz w:val="21"/>
              </w:rPr>
              <w:t>敏感区域数据合规风险</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高</w:t>
            </w:r>
          </w:p>
        </w:tc>
        <w:tc>
          <w:tcPr>
            <w:tcW w:type="dxa" w:w="1385"/>
          </w:tcPr>
          <w:p>
            <w:pPr>
              <w:jc w:val="center"/>
            </w:pPr>
            <w:r>
              <w:rPr>
                <w:rFonts w:ascii="宋体" w:hAnsi="宋体" w:eastAsia="宋体"/>
                <w:b w:val="0"/>
                <w:sz w:val="21"/>
              </w:rPr>
              <w:t>高</w:t>
            </w:r>
          </w:p>
        </w:tc>
        <w:tc>
          <w:tcPr>
            <w:tcW w:type="dxa" w:w="1385"/>
          </w:tcPr>
          <w:p>
            <w:pPr>
              <w:jc w:val="center"/>
            </w:pPr>
            <w:r>
              <w:rPr>
                <w:rFonts w:ascii="宋体" w:hAnsi="宋体" w:eastAsia="宋体"/>
                <w:b w:val="0"/>
                <w:sz w:val="21"/>
              </w:rPr>
              <w:t>建立全链条数据安全体系</w:t>
            </w:r>
          </w:p>
        </w:tc>
      </w:tr>
      <w:tr>
        <w:tc>
          <w:tcPr>
            <w:tcW w:type="dxa" w:w="1385"/>
          </w:tcPr>
          <w:p>
            <w:pPr>
              <w:jc w:val="center"/>
            </w:pPr>
            <w:r>
              <w:rPr>
                <w:rFonts w:ascii="宋体" w:hAnsi="宋体" w:eastAsia="宋体"/>
                <w:b w:val="0"/>
                <w:sz w:val="21"/>
              </w:rPr>
              <w:t>技术</w:t>
            </w:r>
          </w:p>
        </w:tc>
        <w:tc>
          <w:tcPr>
            <w:tcW w:type="dxa" w:w="1385"/>
          </w:tcPr>
          <w:p>
            <w:pPr>
              <w:jc w:val="center"/>
            </w:pPr>
            <w:r>
              <w:rPr>
                <w:rFonts w:ascii="宋体" w:hAnsi="宋体" w:eastAsia="宋体"/>
                <w:b w:val="0"/>
                <w:sz w:val="21"/>
              </w:rPr>
              <w:t>嵌入向量技术在极端环境下性能不足</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高</w:t>
            </w:r>
          </w:p>
        </w:tc>
        <w:tc>
          <w:tcPr>
            <w:tcW w:type="dxa" w:w="1385"/>
          </w:tcPr>
          <w:p>
            <w:pPr>
              <w:jc w:val="center"/>
            </w:pPr>
            <w:r>
              <w:rPr>
                <w:rFonts w:ascii="宋体" w:hAnsi="宋体" w:eastAsia="宋体"/>
                <w:b w:val="0"/>
                <w:sz w:val="21"/>
              </w:rPr>
              <w:t>高</w:t>
            </w:r>
          </w:p>
        </w:tc>
        <w:tc>
          <w:tcPr>
            <w:tcW w:type="dxa" w:w="1385"/>
          </w:tcPr>
          <w:p>
            <w:pPr>
              <w:jc w:val="center"/>
            </w:pPr>
            <w:r>
              <w:rPr>
                <w:rFonts w:ascii="宋体" w:hAnsi="宋体" w:eastAsia="宋体"/>
                <w:b w:val="0"/>
                <w:sz w:val="21"/>
              </w:rPr>
              <w:t>分阶段验证+技术冗余备份</w:t>
            </w:r>
          </w:p>
        </w:tc>
      </w:tr>
      <w:tr>
        <w:tc>
          <w:tcPr>
            <w:tcW w:type="dxa" w:w="1385"/>
          </w:tcPr>
          <w:p>
            <w:pPr>
              <w:jc w:val="center"/>
            </w:pPr>
            <w:r>
              <w:rPr>
                <w:rFonts w:ascii="宋体" w:hAnsi="宋体" w:eastAsia="宋体"/>
                <w:b w:val="0"/>
                <w:sz w:val="21"/>
              </w:rPr>
              <w:t>市场与竞争</w:t>
            </w:r>
          </w:p>
        </w:tc>
        <w:tc>
          <w:tcPr>
            <w:tcW w:type="dxa" w:w="1385"/>
          </w:tcPr>
          <w:p>
            <w:pPr>
              <w:jc w:val="center"/>
            </w:pPr>
            <w:r>
              <w:rPr>
                <w:rFonts w:ascii="宋体" w:hAnsi="宋体" w:eastAsia="宋体"/>
                <w:b w:val="0"/>
                <w:sz w:val="21"/>
              </w:rPr>
              <w:t>后续项目获取不及预期</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高</w:t>
            </w:r>
          </w:p>
        </w:tc>
        <w:tc>
          <w:tcPr>
            <w:tcW w:type="dxa" w:w="1385"/>
          </w:tcPr>
          <w:p>
            <w:pPr>
              <w:jc w:val="center"/>
            </w:pPr>
            <w:r>
              <w:rPr>
                <w:rFonts w:ascii="宋体" w:hAnsi="宋体" w:eastAsia="宋体"/>
                <w:b w:val="0"/>
                <w:sz w:val="21"/>
              </w:rPr>
              <w:t>高</w:t>
            </w:r>
          </w:p>
        </w:tc>
        <w:tc>
          <w:tcPr>
            <w:tcW w:type="dxa" w:w="1385"/>
          </w:tcPr>
          <w:p>
            <w:pPr>
              <w:jc w:val="center"/>
            </w:pPr>
            <w:r>
              <w:rPr>
                <w:rFonts w:ascii="宋体" w:hAnsi="宋体" w:eastAsia="宋体"/>
                <w:b w:val="0"/>
                <w:sz w:val="21"/>
              </w:rPr>
              <w:t>分层定价+轻量版快速推广</w:t>
            </w:r>
          </w:p>
        </w:tc>
      </w:tr>
      <w:tr>
        <w:tc>
          <w:tcPr>
            <w:tcW w:type="dxa" w:w="1385"/>
          </w:tcPr>
          <w:p>
            <w:pPr>
              <w:jc w:val="center"/>
            </w:pPr>
            <w:r>
              <w:rPr>
                <w:rFonts w:ascii="宋体" w:hAnsi="宋体" w:eastAsia="宋体"/>
                <w:b w:val="0"/>
                <w:sz w:val="21"/>
              </w:rPr>
              <w:t>运营与实施</w:t>
            </w:r>
          </w:p>
        </w:tc>
        <w:tc>
          <w:tcPr>
            <w:tcW w:type="dxa" w:w="1385"/>
          </w:tcPr>
          <w:p>
            <w:pPr>
              <w:jc w:val="center"/>
            </w:pPr>
            <w:r>
              <w:rPr>
                <w:rFonts w:ascii="宋体" w:hAnsi="宋体" w:eastAsia="宋体"/>
                <w:b w:val="0"/>
                <w:sz w:val="21"/>
              </w:rPr>
              <w:t>多单位协作效率低下</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建立联合PMO统一管理</w:t>
            </w:r>
          </w:p>
        </w:tc>
      </w:tr>
      <w:tr>
        <w:tc>
          <w:tcPr>
            <w:tcW w:type="dxa" w:w="1385"/>
          </w:tcPr>
          <w:p>
            <w:pPr>
              <w:jc w:val="center"/>
            </w:pPr>
            <w:r>
              <w:rPr>
                <w:rFonts w:ascii="宋体" w:hAnsi="宋体" w:eastAsia="宋体"/>
                <w:b w:val="0"/>
                <w:sz w:val="21"/>
              </w:rPr>
              <w:t>财务</w:t>
            </w:r>
          </w:p>
        </w:tc>
        <w:tc>
          <w:tcPr>
            <w:tcW w:type="dxa" w:w="1385"/>
          </w:tcPr>
          <w:p>
            <w:pPr>
              <w:jc w:val="center"/>
            </w:pPr>
            <w:r>
              <w:rPr>
                <w:rFonts w:ascii="宋体" w:hAnsi="宋体" w:eastAsia="宋体"/>
                <w:b w:val="0"/>
                <w:sz w:val="21"/>
              </w:rPr>
              <w:t>项目回收周期长、现金流压力</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多元融资+优化合同条款</w:t>
            </w:r>
          </w:p>
        </w:tc>
      </w:tr>
      <w:tr>
        <w:tc>
          <w:tcPr>
            <w:tcW w:type="dxa" w:w="1385"/>
          </w:tcPr>
          <w:p>
            <w:pPr>
              <w:jc w:val="center"/>
            </w:pPr>
            <w:r>
              <w:rPr>
                <w:rFonts w:ascii="宋体" w:hAnsi="宋体" w:eastAsia="宋体"/>
                <w:b w:val="0"/>
                <w:sz w:val="21"/>
              </w:rPr>
              <w:t>政策与监管</w:t>
            </w:r>
          </w:p>
        </w:tc>
        <w:tc>
          <w:tcPr>
            <w:tcW w:type="dxa" w:w="1385"/>
          </w:tcPr>
          <w:p>
            <w:pPr>
              <w:jc w:val="center"/>
            </w:pPr>
            <w:r>
              <w:rPr>
                <w:rFonts w:ascii="宋体" w:hAnsi="宋体" w:eastAsia="宋体"/>
                <w:b w:val="0"/>
                <w:sz w:val="21"/>
              </w:rPr>
              <w:t>行业标准尚未定型</w:t>
            </w:r>
          </w:p>
        </w:tc>
        <w:tc>
          <w:tcPr>
            <w:tcW w:type="dxa" w:w="1385"/>
          </w:tcPr>
          <w:p>
            <w:pPr>
              <w:jc w:val="center"/>
            </w:pPr>
            <w:r>
              <w:rPr>
                <w:rFonts w:ascii="宋体" w:hAnsi="宋体" w:eastAsia="宋体"/>
                <w:b w:val="0"/>
                <w:sz w:val="21"/>
              </w:rPr>
              <w:t>低</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低</w:t>
            </w:r>
          </w:p>
        </w:tc>
        <w:tc>
          <w:tcPr>
            <w:tcW w:type="dxa" w:w="1385"/>
          </w:tcPr>
          <w:p>
            <w:pPr>
              <w:jc w:val="center"/>
            </w:pPr>
            <w:r>
              <w:rPr>
                <w:rFonts w:ascii="宋体" w:hAnsi="宋体" w:eastAsia="宋体"/>
                <w:b w:val="0"/>
                <w:sz w:val="21"/>
              </w:rPr>
              <w:t>主动参与标准制定</w:t>
            </w:r>
          </w:p>
        </w:tc>
      </w:tr>
      <w:tr>
        <w:tc>
          <w:tcPr>
            <w:tcW w:type="dxa" w:w="1385"/>
          </w:tcPr>
          <w:p>
            <w:pPr>
              <w:jc w:val="center"/>
            </w:pPr>
            <w:r>
              <w:rPr>
                <w:rFonts w:ascii="宋体" w:hAnsi="宋体" w:eastAsia="宋体"/>
                <w:b w:val="0"/>
                <w:sz w:val="21"/>
              </w:rPr>
              <w:t>技术</w:t>
            </w:r>
          </w:p>
        </w:tc>
        <w:tc>
          <w:tcPr>
            <w:tcW w:type="dxa" w:w="1385"/>
          </w:tcPr>
          <w:p>
            <w:pPr>
              <w:jc w:val="center"/>
            </w:pPr>
            <w:r>
              <w:rPr>
                <w:rFonts w:ascii="宋体" w:hAnsi="宋体" w:eastAsia="宋体"/>
                <w:b w:val="0"/>
                <w:sz w:val="21"/>
              </w:rPr>
              <w:t>国产硬件供应链中断</w:t>
            </w:r>
          </w:p>
        </w:tc>
        <w:tc>
          <w:tcPr>
            <w:tcW w:type="dxa" w:w="1385"/>
          </w:tcPr>
          <w:p>
            <w:pPr>
              <w:jc w:val="center"/>
            </w:pPr>
            <w:r>
              <w:rPr>
                <w:rFonts w:ascii="宋体" w:hAnsi="宋体" w:eastAsia="宋体"/>
                <w:b w:val="0"/>
                <w:sz w:val="21"/>
              </w:rPr>
              <w:t>低</w:t>
            </w:r>
          </w:p>
        </w:tc>
        <w:tc>
          <w:tcPr>
            <w:tcW w:type="dxa" w:w="1385"/>
          </w:tcPr>
          <w:p>
            <w:pPr>
              <w:jc w:val="center"/>
            </w:pPr>
            <w:r>
              <w:rPr>
                <w:rFonts w:ascii="宋体" w:hAnsi="宋体" w:eastAsia="宋体"/>
                <w:b w:val="0"/>
                <w:sz w:val="21"/>
              </w:rPr>
              <w:t>高</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多源备选+战略合作协议</w:t>
            </w:r>
          </w:p>
        </w:tc>
      </w:tr>
      <w:tr>
        <w:tc>
          <w:tcPr>
            <w:tcW w:type="dxa" w:w="1385"/>
          </w:tcPr>
          <w:p>
            <w:pPr>
              <w:jc w:val="center"/>
            </w:pPr>
            <w:r>
              <w:rPr>
                <w:rFonts w:ascii="宋体" w:hAnsi="宋体" w:eastAsia="宋体"/>
                <w:b w:val="0"/>
                <w:sz w:val="21"/>
              </w:rPr>
              <w:t>市场与竞争</w:t>
            </w:r>
          </w:p>
        </w:tc>
        <w:tc>
          <w:tcPr>
            <w:tcW w:type="dxa" w:w="1385"/>
          </w:tcPr>
          <w:p>
            <w:pPr>
              <w:jc w:val="center"/>
            </w:pPr>
            <w:r>
              <w:rPr>
                <w:rFonts w:ascii="宋体" w:hAnsi="宋体" w:eastAsia="宋体"/>
                <w:b w:val="0"/>
                <w:sz w:val="21"/>
              </w:rPr>
              <w:t>价格竞争导致利润率下滑</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聚焦高端市场+差异化竞争</w:t>
            </w:r>
          </w:p>
        </w:tc>
      </w:tr>
      <w:tr>
        <w:tc>
          <w:tcPr>
            <w:tcW w:type="dxa" w:w="1385"/>
          </w:tcPr>
          <w:p>
            <w:pPr>
              <w:jc w:val="center"/>
            </w:pPr>
            <w:r>
              <w:rPr>
                <w:rFonts w:ascii="宋体" w:hAnsi="宋体" w:eastAsia="宋体"/>
                <w:b w:val="0"/>
                <w:sz w:val="21"/>
              </w:rPr>
              <w:t>运营与实施</w:t>
            </w:r>
          </w:p>
        </w:tc>
        <w:tc>
          <w:tcPr>
            <w:tcW w:type="dxa" w:w="1385"/>
          </w:tcPr>
          <w:p>
            <w:pPr>
              <w:jc w:val="center"/>
            </w:pPr>
            <w:r>
              <w:rPr>
                <w:rFonts w:ascii="宋体" w:hAnsi="宋体" w:eastAsia="宋体"/>
                <w:b w:val="0"/>
                <w:sz w:val="21"/>
              </w:rPr>
              <w:t>关键人才流失</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激励机制+人才梯队建设</w:t>
            </w:r>
          </w:p>
        </w:tc>
      </w:tr>
      <w:tr>
        <w:tc>
          <w:tcPr>
            <w:tcW w:type="dxa" w:w="1385"/>
          </w:tcPr>
          <w:p>
            <w:pPr>
              <w:jc w:val="center"/>
            </w:pPr>
            <w:r>
              <w:rPr>
                <w:rFonts w:ascii="宋体" w:hAnsi="宋体" w:eastAsia="宋体"/>
                <w:b w:val="0"/>
                <w:sz w:val="21"/>
              </w:rPr>
              <w:t>财务</w:t>
            </w:r>
          </w:p>
        </w:tc>
        <w:tc>
          <w:tcPr>
            <w:tcW w:type="dxa" w:w="1385"/>
          </w:tcPr>
          <w:p>
            <w:pPr>
              <w:jc w:val="center"/>
            </w:pPr>
            <w:r>
              <w:rPr>
                <w:rFonts w:ascii="宋体" w:hAnsi="宋体" w:eastAsia="宋体"/>
                <w:b w:val="0"/>
                <w:sz w:val="21"/>
              </w:rPr>
              <w:t>成本超支</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中</w:t>
            </w:r>
          </w:p>
        </w:tc>
        <w:tc>
          <w:tcPr>
            <w:tcW w:type="dxa" w:w="1385"/>
          </w:tcPr>
          <w:p>
            <w:pPr>
              <w:jc w:val="center"/>
            </w:pPr>
            <w:r>
              <w:rPr>
                <w:rFonts w:ascii="宋体" w:hAnsi="宋体" w:eastAsia="宋体"/>
                <w:b w:val="0"/>
                <w:sz w:val="21"/>
              </w:rPr>
              <w:t>精细化预算+敏捷管控</w:t>
            </w:r>
          </w:p>
        </w:tc>
      </w:tr>
    </w:tbl>
    <w:p/>
    <w:p>
      <w:r>
        <w:br w:type="page"/>
      </w:r>
    </w:p>
    <w:p>
      <w:pPr>
        <w:pStyle w:val="Heading1"/>
        <w:spacing w:before="240" w:after="160"/>
        <w:jc w:val="center"/>
      </w:pPr>
      <w:r>
        <w:rPr>
          <w:rFonts w:ascii="黑体" w:hAnsi="黑体" w:eastAsia="黑体"/>
          <w:b/>
          <w:sz w:val="36"/>
        </w:rPr>
        <w:t>第六章  数据来源与参考资料</w:t>
      </w:r>
    </w:p>
    <w:p>
      <w:pPr>
        <w:spacing w:line="360" w:lineRule="auto" w:after="120"/>
        <w:ind w:firstLine="0"/>
        <w:jc w:val="both"/>
      </w:pPr>
      <w:r>
        <w:rPr>
          <w:rFonts w:ascii="宋体" w:hAnsi="宋体" w:eastAsia="宋体"/>
          <w:b w:val="0"/>
          <w:sz w:val="24"/>
        </w:rPr>
        <w:t>本计划书中引用的市场数据和技术数据来源于以下渠道：</w:t>
      </w:r>
    </w:p>
    <w:p>
      <w:pPr>
        <w:spacing w:line="360" w:lineRule="auto" w:after="40"/>
        <w:ind w:firstLine="0" w:left="454"/>
      </w:pPr>
      <w:r>
        <w:rPr>
          <w:rFonts w:ascii="宋体" w:hAnsi="宋体" w:eastAsia="宋体"/>
          <w:b w:val="0"/>
          <w:color w:val="666666"/>
          <w:sz w:val="21"/>
        </w:rPr>
        <w:t>[1] Future Market Report, "Remote Sensing Satellite Market Size, Share &amp; Growth", 2025-2032 forecast.</w:t>
      </w:r>
    </w:p>
    <w:p>
      <w:pPr>
        <w:spacing w:line="360" w:lineRule="auto" w:after="40"/>
        <w:ind w:firstLine="0" w:left="454"/>
      </w:pPr>
      <w:r>
        <w:rPr>
          <w:rFonts w:ascii="宋体" w:hAnsi="宋体" w:eastAsia="宋体"/>
          <w:b w:val="0"/>
          <w:color w:val="666666"/>
          <w:sz w:val="21"/>
        </w:rPr>
        <w:t>[2] 泰伯智库,《时空智能与卫星遥感服务市场研究报告（2025）》.</w:t>
      </w:r>
    </w:p>
    <w:p>
      <w:pPr>
        <w:spacing w:line="360" w:lineRule="auto" w:after="40"/>
        <w:ind w:firstLine="0" w:left="454"/>
      </w:pPr>
      <w:r>
        <w:rPr>
          <w:rFonts w:ascii="宋体" w:hAnsi="宋体" w:eastAsia="宋体"/>
          <w:b w:val="0"/>
          <w:color w:val="666666"/>
          <w:sz w:val="21"/>
        </w:rPr>
        <w:t>[3] 中商产业研究院,《2024-2029年中国数字孪生行业前景预测与投资战略规划分析报告》.</w:t>
      </w:r>
    </w:p>
    <w:p>
      <w:pPr>
        <w:spacing w:line="360" w:lineRule="auto" w:after="40"/>
        <w:ind w:firstLine="0" w:left="454"/>
      </w:pPr>
      <w:r>
        <w:rPr>
          <w:rFonts w:ascii="宋体" w:hAnsi="宋体" w:eastAsia="宋体"/>
          <w:b w:val="0"/>
          <w:color w:val="666666"/>
          <w:sz w:val="21"/>
        </w:rPr>
        <w:t>[4] Google DeepMind, "AlphaEarth Foundations: A virtual satellite for planetary-scale observation", 2025.</w:t>
      </w:r>
    </w:p>
    <w:p>
      <w:pPr>
        <w:spacing w:line="360" w:lineRule="auto" w:after="40"/>
        <w:ind w:firstLine="0" w:left="454"/>
      </w:pPr>
      <w:r>
        <w:rPr>
          <w:rFonts w:ascii="宋体" w:hAnsi="宋体" w:eastAsia="宋体"/>
          <w:b w:val="0"/>
          <w:color w:val="666666"/>
          <w:sz w:val="21"/>
        </w:rPr>
        <w:t>[5] 玄女科技内部技术评估报告：V4 Official最终评估报告（哈尔滨新区69-patch基准测试，2026年4月）.</w:t>
      </w:r>
    </w:p>
    <w:p>
      <w:pPr>
        <w:spacing w:line="360" w:lineRule="auto" w:after="40"/>
        <w:ind w:firstLine="0" w:left="454"/>
      </w:pPr>
      <w:r>
        <w:rPr>
          <w:rFonts w:ascii="宋体" w:hAnsi="宋体" w:eastAsia="宋体"/>
          <w:b w:val="0"/>
          <w:color w:val="666666"/>
          <w:sz w:val="21"/>
        </w:rPr>
        <w:t>[6] 玄女科技,《基于时空嵌入技术的雅下水电站工程安全立体化监测数字底座系统方案》, 2025年12月.</w:t>
      </w:r>
    </w:p>
    <w:p>
      <w:pPr>
        <w:spacing w:line="360" w:lineRule="auto" w:after="40"/>
        <w:ind w:firstLine="0" w:left="454"/>
      </w:pPr>
      <w:r>
        <w:rPr>
          <w:rFonts w:ascii="宋体" w:hAnsi="宋体" w:eastAsia="宋体"/>
          <w:b w:val="0"/>
          <w:color w:val="666666"/>
          <w:sz w:val="21"/>
        </w:rPr>
        <w:t>[7] 中国地理信息产业协会,《中国地理信息产业发展报告（2024）》.</w:t>
      </w:r>
    </w:p>
    <w:p>
      <w:pPr>
        <w:spacing w:line="360" w:lineRule="auto" w:after="40"/>
        <w:ind w:firstLine="0" w:left="454"/>
      </w:pPr>
      <w:r>
        <w:rPr>
          <w:rFonts w:ascii="宋体" w:hAnsi="宋体" w:eastAsia="宋体"/>
          <w:b w:val="0"/>
          <w:color w:val="666666"/>
          <w:sz w:val="21"/>
        </w:rPr>
        <w:t>[8] 国家对地观测科学数据中心官方资料：23家分中心，15PB数据资源，8000万条元数据.</w:t>
      </w:r>
    </w:p>
    <w:p>
      <w:pPr>
        <w:spacing w:line="360" w:lineRule="auto" w:after="40"/>
        <w:ind w:firstLine="0" w:left="454"/>
      </w:pPr>
      <w:r>
        <w:rPr>
          <w:rFonts w:ascii="宋体" w:hAnsi="宋体" w:eastAsia="宋体"/>
          <w:b w:val="0"/>
          <w:color w:val="666666"/>
          <w:sz w:val="21"/>
        </w:rPr>
        <w:t>[9] 天仪研究院官方资料：38颗在轨卫星，176项发明专利，2小时快速交付能力.</w:t>
      </w:r>
    </w:p>
    <w:p>
      <w:pPr>
        <w:spacing w:line="360" w:lineRule="auto" w:after="40"/>
        <w:ind w:firstLine="0" w:left="454"/>
      </w:pPr>
      <w:r>
        <w:rPr>
          <w:rFonts w:ascii="宋体" w:hAnsi="宋体" w:eastAsia="宋体"/>
          <w:b w:val="0"/>
          <w:color w:val="666666"/>
          <w:sz w:val="21"/>
        </w:rPr>
        <w:t>[10] 北京科技大学工程诊治与防灾减灾团队官方资料：承担国家级项目100余项，科研经费累计超5.4亿元.</w:t>
      </w:r>
    </w:p>
    <w:p>
      <w:r>
        <w:br w:type="page"/>
      </w:r>
    </w:p>
    <w:p>
      <w:pPr>
        <w:pStyle w:val="Heading1"/>
        <w:spacing w:before="240" w:after="160"/>
        <w:jc w:val="center"/>
      </w:pPr>
      <w:r>
        <w:rPr>
          <w:rFonts w:ascii="黑体" w:hAnsi="黑体" w:eastAsia="黑体"/>
          <w:b/>
          <w:sz w:val="36"/>
        </w:rPr>
        <w:t>附录  标杆案例详解</w:t>
      </w:r>
    </w:p>
    <w:p>
      <w:pPr>
        <w:pStyle w:val="Heading2"/>
        <w:spacing w:before="160" w:after="160"/>
        <w:jc w:val="left"/>
      </w:pPr>
      <w:r>
        <w:rPr>
          <w:rFonts w:ascii="黑体" w:hAnsi="黑体" w:eastAsia="黑体"/>
          <w:b/>
          <w:sz w:val="28"/>
        </w:rPr>
        <w:t>案例一：哈尔滨新区城市变化检测</w:t>
      </w:r>
    </w:p>
    <w:p>
      <w:pPr>
        <w:spacing w:line="360" w:lineRule="auto" w:after="120"/>
        <w:ind w:firstLine="283"/>
        <w:jc w:val="both"/>
      </w:pPr>
      <w:r>
        <w:rPr>
          <w:rFonts w:ascii="宋体" w:hAnsi="宋体" w:eastAsia="宋体"/>
          <w:b w:val="0"/>
          <w:sz w:val="24"/>
        </w:rPr>
        <w:t>哈尔滨新区是中国第16个国家级新区，总面积约695平方公里，正处于快速城镇化阶段。玄女科技于2025年4月至10月期间，利用多期Sentinel-2光学影像、Sentinel-1雷达影像和地面验证数据，对新区全域进行了变化检测监测。</w:t>
      </w:r>
    </w:p>
    <w:p>
      <w:pPr>
        <w:spacing w:line="360" w:lineRule="auto" w:after="120"/>
        <w:ind w:firstLine="283"/>
        <w:jc w:val="both"/>
      </w:pPr>
      <w:r>
        <w:rPr>
          <w:rFonts w:ascii="宋体" w:hAnsi="宋体" w:eastAsia="宋体"/>
          <w:b w:val="0"/>
          <w:sz w:val="24"/>
        </w:rPr>
        <w:t>项目亮点：</w:t>
      </w:r>
    </w:p>
    <w:p>
      <w:pPr>
        <w:spacing w:line="360" w:lineRule="auto" w:after="80"/>
        <w:ind w:firstLine="283" w:left="454"/>
      </w:pPr>
      <w:r>
        <w:rPr>
          <w:rFonts w:ascii="宋体" w:hAnsi="宋体" w:eastAsia="宋体"/>
          <w:b/>
          <w:sz w:val="24"/>
        </w:rPr>
        <w:t>数据规模：</w:t>
      </w:r>
      <w:r>
        <w:rPr>
          <w:rFonts w:ascii="宋体" w:hAnsi="宋体" w:eastAsia="宋体"/>
          <w:b w:val="0"/>
          <w:sz w:val="24"/>
        </w:rPr>
        <w:t>覆盖424个标准分析单元，整合2023年至2025年超过300景卫星影像。</w:t>
      </w:r>
    </w:p>
    <w:p>
      <w:pPr>
        <w:spacing w:line="360" w:lineRule="auto" w:after="80"/>
        <w:ind w:firstLine="283" w:left="454"/>
      </w:pPr>
      <w:r>
        <w:rPr>
          <w:rFonts w:ascii="宋体" w:hAnsi="宋体" w:eastAsia="宋体"/>
          <w:b/>
          <w:sz w:val="24"/>
        </w:rPr>
        <w:t>检测精度：</w:t>
      </w:r>
      <w:r>
        <w:rPr>
          <w:rFonts w:ascii="宋体" w:hAnsi="宋体" w:eastAsia="宋体"/>
          <w:b w:val="0"/>
          <w:sz w:val="24"/>
        </w:rPr>
        <w:t>在69个独立验证区域的测试中，变化检测AUC达到0.903，意味着模型能够以超过90%的准确率识别建筑工地、房屋拆除和土地转换三类变化。</w:t>
      </w:r>
    </w:p>
    <w:p>
      <w:pPr>
        <w:spacing w:line="360" w:lineRule="auto" w:after="80"/>
        <w:ind w:firstLine="283" w:left="454"/>
      </w:pPr>
      <w:r>
        <w:rPr>
          <w:rFonts w:ascii="宋体" w:hAnsi="宋体" w:eastAsia="宋体"/>
          <w:b/>
          <w:sz w:val="24"/>
        </w:rPr>
        <w:t>效率提升：</w:t>
      </w:r>
      <w:r>
        <w:rPr>
          <w:rFonts w:ascii="宋体" w:hAnsi="宋体" w:eastAsia="宋体"/>
          <w:b w:val="0"/>
          <w:sz w:val="24"/>
        </w:rPr>
        <w:t>传统人工判读需要2名工程师耗时3周完成的工作量，玄女底座可在24小时内自动输出全域变化热力图和图斑清单。</w:t>
      </w:r>
    </w:p>
    <w:p>
      <w:pPr>
        <w:pStyle w:val="Heading2"/>
        <w:spacing w:before="160" w:after="160"/>
        <w:jc w:val="left"/>
      </w:pPr>
      <w:r>
        <w:rPr>
          <w:rFonts w:ascii="黑体" w:hAnsi="黑体" w:eastAsia="黑体"/>
          <w:b/>
          <w:sz w:val="28"/>
        </w:rPr>
        <w:t>案例二：雅鲁藏布江下游水电站安全监测</w:t>
      </w:r>
    </w:p>
    <w:p>
      <w:pPr>
        <w:spacing w:line="360" w:lineRule="auto" w:after="120"/>
        <w:ind w:firstLine="283"/>
        <w:jc w:val="both"/>
      </w:pPr>
      <w:r>
        <w:rPr>
          <w:rFonts w:ascii="宋体" w:hAnsi="宋体" w:eastAsia="宋体"/>
          <w:b w:val="0"/>
          <w:sz w:val="24"/>
        </w:rPr>
        <w:t>雅鲁藏布江下游水电站是全球海拔最高、地质环境最复杂的大型水电工程之一，面临「多灾种、高连锁、强突发」的极端风险。玄女科技为其设计了全域1000平方公里的立体化监测数字底座方案。</w:t>
      </w:r>
    </w:p>
    <w:p>
      <w:pPr>
        <w:spacing w:line="360" w:lineRule="auto" w:after="120"/>
        <w:ind w:firstLine="283"/>
        <w:jc w:val="both"/>
      </w:pPr>
      <w:r>
        <w:rPr>
          <w:rFonts w:ascii="宋体" w:hAnsi="宋体" w:eastAsia="宋体"/>
          <w:b w:val="0"/>
          <w:sz w:val="24"/>
        </w:rPr>
        <w:t>方案覆盖六大风险场景：</w:t>
      </w:r>
    </w:p>
    <w:p>
      <w:pPr>
        <w:spacing w:line="360" w:lineRule="auto" w:after="80"/>
        <w:ind w:firstLine="283" w:left="454"/>
      </w:pPr>
      <w:r>
        <w:rPr>
          <w:rFonts w:ascii="宋体" w:hAnsi="宋体" w:eastAsia="宋体"/>
          <w:b/>
          <w:sz w:val="24"/>
        </w:rPr>
        <w:t>施工安全监测：</w:t>
      </w:r>
      <w:r>
        <w:rPr>
          <w:rFonts w:ascii="宋体" w:hAnsi="宋体" w:eastAsia="宋体"/>
          <w:b w:val="0"/>
          <w:sz w:val="24"/>
        </w:rPr>
        <w:t>利用天仪SAR星座日级重访能力，精准捕捉边坡微变形、填筑体沉降、地下洞室围岩收敛。</w:t>
      </w:r>
    </w:p>
    <w:p>
      <w:pPr>
        <w:spacing w:line="360" w:lineRule="auto" w:after="80"/>
        <w:ind w:firstLine="283" w:left="454"/>
      </w:pPr>
      <w:r>
        <w:rPr>
          <w:rFonts w:ascii="宋体" w:hAnsi="宋体" w:eastAsia="宋体"/>
          <w:b/>
          <w:sz w:val="24"/>
        </w:rPr>
        <w:t>高位地质灾害预警：</w:t>
      </w:r>
      <w:r>
        <w:rPr>
          <w:rFonts w:ascii="宋体" w:hAnsi="宋体" w:eastAsia="宋体"/>
          <w:b w:val="0"/>
          <w:sz w:val="24"/>
        </w:rPr>
        <w:t>基于时间序列InSAR技术，对海拔4000米以上无人区的滑坡体进行面状形变扫描，预警提前量可达数周至数月。</w:t>
      </w:r>
    </w:p>
    <w:p>
      <w:pPr>
        <w:spacing w:line="360" w:lineRule="auto" w:after="80"/>
        <w:ind w:firstLine="283" w:left="454"/>
      </w:pPr>
      <w:r>
        <w:rPr>
          <w:rFonts w:ascii="宋体" w:hAnsi="宋体" w:eastAsia="宋体"/>
          <w:b/>
          <w:sz w:val="24"/>
        </w:rPr>
        <w:t>冰湖溃决洪水（GLOF）预警：</w:t>
      </w:r>
      <w:r>
        <w:rPr>
          <w:rFonts w:ascii="宋体" w:hAnsi="宋体" w:eastAsia="宋体"/>
          <w:b w:val="0"/>
          <w:sz w:val="24"/>
        </w:rPr>
        <w:t>持续监测上游冰碛湖面积变化和湖岸稳定性，结合气象数据评估溃决风险。</w:t>
      </w:r>
    </w:p>
    <w:p>
      <w:pPr>
        <w:spacing w:line="360" w:lineRule="auto" w:after="80"/>
        <w:ind w:firstLine="283" w:left="454"/>
      </w:pPr>
      <w:r>
        <w:rPr>
          <w:rFonts w:ascii="宋体" w:hAnsi="宋体" w:eastAsia="宋体"/>
          <w:b/>
          <w:sz w:val="24"/>
        </w:rPr>
        <w:t>复合型洪水监测：</w:t>
      </w:r>
      <w:r>
        <w:rPr>
          <w:rFonts w:ascii="宋体" w:hAnsi="宋体" w:eastAsia="宋体"/>
          <w:b w:val="0"/>
          <w:sz w:val="24"/>
        </w:rPr>
        <w:t>融合SAR洪水淹没提取、气象卫星降雨监测和地面水文站流量数据，实现多源洪水复合评估。</w:t>
      </w:r>
    </w:p>
    <w:p>
      <w:pPr>
        <w:spacing w:line="360" w:lineRule="auto" w:after="80"/>
        <w:ind w:firstLine="283" w:left="454"/>
      </w:pPr>
      <w:r>
        <w:rPr>
          <w:rFonts w:ascii="宋体" w:hAnsi="宋体" w:eastAsia="宋体"/>
          <w:b/>
          <w:sz w:val="24"/>
        </w:rPr>
        <w:t>地震及次生灾害评估：</w:t>
      </w:r>
      <w:r>
        <w:rPr>
          <w:rFonts w:ascii="宋体" w:hAnsi="宋体" w:eastAsia="宋体"/>
          <w:b w:val="0"/>
          <w:sz w:val="24"/>
        </w:rPr>
        <w:t>强震后迅速提取同震形变场，识别松动滑坡体，评估「地震-滑坡-堵江」灾害链风险。</w:t>
      </w:r>
    </w:p>
    <w:p>
      <w:pPr>
        <w:spacing w:line="360" w:lineRule="auto" w:after="80"/>
        <w:ind w:firstLine="283" w:left="454"/>
      </w:pPr>
      <w:r>
        <w:rPr>
          <w:rFonts w:ascii="宋体" w:hAnsi="宋体" w:eastAsia="宋体"/>
          <w:b/>
          <w:sz w:val="24"/>
        </w:rPr>
        <w:t>基础设施功能失效评估：</w:t>
      </w:r>
      <w:r>
        <w:rPr>
          <w:rFonts w:ascii="宋体" w:hAnsi="宋体" w:eastAsia="宋体"/>
          <w:b w:val="0"/>
          <w:sz w:val="24"/>
        </w:rPr>
        <w:t>对交通、电力、通信等承灾体进行灾前、灾中、灾后联动推演。</w:t>
      </w:r>
    </w:p>
    <w:p>
      <w:pPr>
        <w:spacing w:line="360" w:lineRule="auto" w:after="120"/>
        <w:ind w:firstLine="283"/>
        <w:jc w:val="both"/>
      </w:pPr>
      <w:r>
        <w:rPr>
          <w:rFonts w:ascii="宋体" w:hAnsi="宋体" w:eastAsia="宋体"/>
          <w:b w:val="0"/>
          <w:sz w:val="24"/>
        </w:rPr>
        <w:t>项目总投资1.2亿元，计划2026年1月启动，工期1年，后续提供5年运行维护服务。</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 xml:space="preserve">第 </w:t>
    </w:r>
    <w:fldChar w:fldCharType="begin"/>
    <w:instrText xml:space="preserve">PAGE</w:instrText>
    <w:fldChar w:fldCharType="end"/>
    <w:r>
      <w:rPr>
        <w:rFonts w:ascii="宋体" w:hAnsi="宋体" w:eastAsia="宋体"/>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玄女底座商业计划书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