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cs="Times New Roman" w:eastAsia="宋体"/>
          <w:b/>
          <w:color w:val="000000"/>
          <w:sz w:val="32"/>
        </w:rPr>
        <w:t>中国版 Alpha Earth 技术方案（高分辨率资源版）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版本：2026 年 7 月 21 日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建设内容：使用高分辨率数据训练全国地理嵌入模型，生成 2020 年和 2021 年共 8 期季度嵌入。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产品范围：中国陆地及主要近岸岛屿。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产品规格：真实 2 米空间分辨率，64 维，int8 编码。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计划启动时间：在高分辨率数据、存储和算力资源到位后启动。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计划交付时间：Option 1 启动后约 120--150 天；Option 2 启动后约 90--120 天。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一、资源和交付时间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1. Option 1：全部按照 2 米分辨率训练和导出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全国真实 2 米产品的像素数量是 10 米产品的 25 倍。现有 16 张 Ascend 910B 可以完成数据检查、模型试验和部分地区导出，不能在 2026 年 11 月前完成全国 8 期产品。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最低配置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建议配置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Ascend 910B 数量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320 张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384--512 张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单卡物理显存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64 GB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64 GB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总物理显存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 TB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24--32 TB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单卡显存控制线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不超过 48 GB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不超过 48 GB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聚合持续读写速度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不低于 30 GB/s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50--80 GB/s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计算网络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200 Gb/s 级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400 Gb/s RoCE/IB 级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320 张卡是项目启动的最低算力，不是宽松配置。考虑训练失败、数据返工和导出补片，建议使用 384--512 张 910B。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正式训练前依次完成 16 卡、32 卡和 64 卡测试。64 卡扩展效率达到 70%后，再扩大到生产规模。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2. Option 2：10 米语义主干加 2 米轻量细节分支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Option 1 的 320 张卡是按照训练和导出都随 2 米像素数量完整放大 25 倍估算的。实际建设可以复用已经训练好的 10 米语义主干，只增加一个计算量较小的 2 米细节分支。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Option 2 仍然输出全国真实 2 米、64 维嵌入。每个 2 米像素都读取高分辨率影像并生成独立向量，不是把 10 米结果直接插值放大。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具体做法如下。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1、10 米主干负责土地覆盖、植被、水体、城市和季度变化等主要语义。主干使用已有全国模型初始化，第一阶段冻结参数，后期只解冻最后一到两层。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2、2 米分支只处理高分辨率光学影像，使用深度可分离卷积和轻量 MLP 解码器，学习道路、建筑、岸线、田块和小型地物的边界细节。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3、2 米分支输出对 10 米嵌入的细节修正量。最终 64 维向量由 10 米语义向量和 2 米细节修正量共同生成。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4、训练时从 62,000 个位置的 25 个高分子块中随机抽取，不要求每个 epoch 遍历全部子块。经过多个 epoch 后逐步覆盖不同地区、季度和地物。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5、使用教师学生训练。10 米模型提供稳定语义，高分辨率重建和边界损失负责细节，避免轻量分支只学习纹理而丢失语义。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6、全国导出时，同一个 </w:t>
      </w:r>
      <w:r>
        <w:rPr>
          <w:rFonts w:ascii="Times New Roman" w:hAnsi="Times New Roman" w:cs="Times New Roman" w:eastAsia="宋体"/>
          <w:color w:val="000000"/>
          <w:sz w:val="24"/>
        </w:rPr>
        <w:t>1,280 m x 1,280 m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位置的 10 米主干只计算一次，25 个 2 米子块共享主干结果。细节分支使用 BF16 计算和 int8 输出，并采用大分片顺序写入。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项目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最低配置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建议配置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Ascend 910B 数量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64 张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96--128 张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总物理显存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4 TB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6--8 TB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轻量分支训练时间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35--50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25--35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8 期全国导出时间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35--50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25--35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数据检查、测试和机动时间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30--40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30--40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项目总工期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110--140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90--120 天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Option 2 的推理目标是达到 Option 1 的 3--4 倍吞吐。这个数值是工程目标，不作为未测试的固定结论。项目启动前需要分别测试 16 卡、32 卡和 64 卡的端到端速度。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Option 2 可以减少训练和导出算力，但不能减少最终嵌入的存储量。8 期全国 2 米、64 维 int8 产品仍需要保存约 1.229 PB 净数据。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Option 2 的主要取舍是，小型地物的边界可以达到 2 米，但大部分语义来自 10 米主干。正式采用前，先选择城市、农业、山区和海岸四类区域，与 Option 1 小规模模型使用同一套建筑、道路、水体、土地覆盖和检索任务比较。Option 2 的主要指标下降不超过 2%时，再用于全国生产。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公开方法参考如下。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</w:t>
      </w:r>
      <w:hyperlink r:id="rId10">
        <w:r>
          <w:rPr>
            <w:rFonts w:ascii="Times New Roman" w:hAnsi="Times New Roman" w:eastAsia="宋体"/>
            <w:color w:val="000000"/>
            <w:u w:val="none"/>
            <w:sz w:val="24"/>
          </w:rPr>
          <w:t>RS-vHeat</w:t>
        </w:r>
      </w:hyperlink>
      <w:r>
        <w:rPr>
          <w:rFonts w:ascii="Times New Roman" w:hAnsi="Times New Roman" w:cs="Times New Roman" w:eastAsia="宋体"/>
          <w:color w:val="000000"/>
          <w:sz w:val="24"/>
        </w:rPr>
        <w:t xml:space="preserve"> 使用高效算子处理高分辨率遥感影像，论文报告相对注意力模型提高约 2.7 倍吞吐。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</w:t>
      </w:r>
      <w:hyperlink r:id="rId11">
        <w:r>
          <w:rPr>
            <w:rFonts w:ascii="Times New Roman" w:hAnsi="Times New Roman" w:eastAsia="宋体"/>
            <w:color w:val="000000"/>
            <w:u w:val="none"/>
            <w:sz w:val="24"/>
          </w:rPr>
          <w:t>FlexiMo</w:t>
        </w:r>
      </w:hyperlink>
      <w:r>
        <w:rPr>
          <w:rFonts w:ascii="Times New Roman" w:hAnsi="Times New Roman" w:cs="Times New Roman" w:eastAsia="宋体"/>
          <w:color w:val="000000"/>
          <w:sz w:val="24"/>
        </w:rPr>
        <w:t xml:space="preserve"> 使用分辨率感知和轻量通道适配模块处理不同空间分辨率数据。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</w:t>
      </w:r>
      <w:hyperlink r:id="rId12">
        <w:r>
          <w:rPr>
            <w:rFonts w:ascii="Times New Roman" w:hAnsi="Times New Roman" w:eastAsia="宋体"/>
            <w:color w:val="000000"/>
            <w:u w:val="none"/>
            <w:sz w:val="24"/>
          </w:rPr>
          <w:t>Channel-Wise Knowledge Distillation for Dense Prediction</w:t>
        </w:r>
      </w:hyperlink>
      <w:r>
        <w:rPr>
          <w:rFonts w:ascii="Times New Roman" w:hAnsi="Times New Roman" w:cs="Times New Roman" w:eastAsia="宋体"/>
          <w:color w:val="000000"/>
          <w:sz w:val="24"/>
        </w:rPr>
        <w:t xml:space="preserve"> 说明轻量学生模型可以通过稠密预测蒸馏继承教师模型的空间语义。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</w:t>
      </w:r>
      <w:hyperlink r:id="rId13">
        <w:r>
          <w:rPr>
            <w:rFonts w:ascii="Times New Roman" w:hAnsi="Times New Roman" w:eastAsia="宋体"/>
            <w:color w:val="000000"/>
            <w:u w:val="none"/>
            <w:sz w:val="24"/>
          </w:rPr>
          <w:t>SegFormer</w:t>
        </w:r>
      </w:hyperlink>
      <w:r>
        <w:rPr>
          <w:rFonts w:ascii="Times New Roman" w:hAnsi="Times New Roman" w:cs="Times New Roman" w:eastAsia="宋体"/>
          <w:color w:val="000000"/>
          <w:sz w:val="24"/>
        </w:rPr>
        <w:t xml:space="preserve"> 使用多尺度编码和轻量 MLP 解码器降低稠密预测计算量。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3. 磁盘存储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全国陆地面积按照 960 万平方千米估算。2 米像素面积为 4 平方米，全国约有 2.4 万亿个 2 米像素。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单季度 64 维 int8 嵌入约为 153.6 TB，8 个季度的净数据量约为 1,228.8 TB，即 1.229 PB。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内容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最低容量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建议容量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8 期全国 2 米 int8 嵌入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1.35--1.50 PB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1.50 PB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2020--2021 年高分和多源源数据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0.50 PB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0.60--0.80 PB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训练数据、索引和像素掩膜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0.10 PB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0.15--0.20 PB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临时导出、补片、日志和权重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0.05 PB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0.20--0.30 PB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项目可用在线存储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至少 2 PB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3 PB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含备份和文件系统余量的物理容量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不建议低于 2.5 PB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4 PB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2 PB 只能支持单份正式产品和有限的临时空间。如需保存全国嵌入双副本，建议直接按照 3 PB 可用存储、约 4 PB 物理容量建设。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现有 300 TB 无法保存 8 期全国 2 米嵌入。即使不保存源数据和训练数据，也只能容纳全部嵌入净数据量的约四分之一。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4. 交付时间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工作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Option 1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Option 2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高分数据许可、场景清单和季度覆盖检查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2,000 点试运行、云掩膜和配准检查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12--15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12--15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多卡性能测试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7--10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7--10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正式训练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55--75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25--35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8 期全国嵌入导出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25--35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25--35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下游测试、补片和验收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机动时间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10--15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10--15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项目总工期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120--150 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90--120 天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上述工期允许训练后半程与已完成区域的嵌入导出并行。如果高分数据不能按季度提供或存储低于 2 PB，不安排全国 2 米版本的交付时间。Option 1 的算力低于 320 张、Option 2 的算力低于 64 张时，也不安排对应方案的全国交付时间。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二、训练需要的数据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1. 本地和 NODA 可提供的数据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数据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年份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分辨率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训练用途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资源情况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NODA 全国高分一张图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 年空间细节和边界监督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需要申请并核对场景清单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NODA 高分一张图系列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2021 年空间细节和边界监督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官方说明约 8,037 景、19.67 TB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GF-1/1B/1C/1D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2--8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季度高分光学输入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按本地和 NODA 清单核对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GF-2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亚米至 4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建筑、道路和地块细节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按场景许可使用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GF-6、GF-7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亚米至 16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农业、城市和立体测绘信息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按场景清单核对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ZY-3/302、ZY-1E/1F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2--8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多星高分光学和地形信息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按场景清单核对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CB04A、HJ-2A、HJ-2B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以产品为准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国产多源补充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以本地清单为准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吉林一号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亚米至 5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城市、农业和重点区域补充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本地已有部分数据，其余需采购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NODA 2021 年高分一张图公开说明包括高分、资源、环境和 TripleSat 等多类卫星。项目需要取得景级成像时间、覆盖范围、云量、波段、位深和使用许可，不能只使用年度合成图名称作为季度数据依据。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相关数据入口：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</w:t>
      </w:r>
      <w:hyperlink r:id="rId14">
        <w:r>
          <w:rPr>
            <w:rFonts w:ascii="Times New Roman" w:hAnsi="Times New Roman" w:eastAsia="宋体"/>
            <w:color w:val="000000"/>
            <w:u w:val="none"/>
            <w:sz w:val="24"/>
          </w:rPr>
          <w:t>NODA 2021 年 2 米一张图发布说明</w:t>
        </w:r>
      </w:hyperlink>
    </w:p>
    <w:p>
      <w:r>
        <w:rPr>
          <w:rFonts w:ascii="Times New Roman" w:hAnsi="Times New Roman" w:cs="Times New Roman" w:eastAsia="宋体"/>
          <w:color w:val="000000"/>
          <w:sz w:val="24"/>
        </w:rPr>
        <w:t>2、</w:t>
      </w:r>
      <w:hyperlink r:id="rId15">
        <w:r>
          <w:rPr>
            <w:rFonts w:ascii="Times New Roman" w:hAnsi="Times New Roman" w:eastAsia="宋体"/>
            <w:color w:val="000000"/>
            <w:u w:val="none"/>
            <w:sz w:val="24"/>
          </w:rPr>
          <w:t>NODA 2020 年 2 米一张图专题</w:t>
        </w:r>
      </w:hyperlink>
    </w:p>
    <w:p>
      <w:r>
        <w:rPr>
          <w:rFonts w:ascii="Times New Roman" w:hAnsi="Times New Roman" w:cs="Times New Roman" w:eastAsia="宋体"/>
          <w:color w:val="000000"/>
          <w:sz w:val="24"/>
        </w:rPr>
        <w:t>3、</w:t>
      </w:r>
      <w:hyperlink r:id="rId16">
        <w:r>
          <w:rPr>
            <w:rFonts w:ascii="Times New Roman" w:hAnsi="Times New Roman" w:eastAsia="宋体"/>
            <w:color w:val="000000"/>
            <w:u w:val="none"/>
            <w:sz w:val="24"/>
          </w:rPr>
          <w:t>NODA 专题 6690d6</w:t>
        </w:r>
      </w:hyperlink>
    </w:p>
    <w:p>
      <w:r>
        <w:rPr>
          <w:rFonts w:ascii="Times New Roman" w:hAnsi="Times New Roman" w:cs="Times New Roman" w:eastAsia="宋体"/>
          <w:color w:val="000000"/>
          <w:sz w:val="24"/>
        </w:rPr>
        <w:t>4、</w:t>
      </w:r>
      <w:hyperlink r:id="rId17">
        <w:r>
          <w:rPr>
            <w:rFonts w:ascii="Times New Roman" w:hAnsi="Times New Roman" w:eastAsia="宋体"/>
            <w:color w:val="000000"/>
            <w:u w:val="none"/>
            <w:sz w:val="24"/>
          </w:rPr>
          <w:t>NODA 专题 63ef0d</w:t>
        </w:r>
      </w:hyperlink>
    </w:p>
    <w:p>
      <w:r>
        <w:rPr>
          <w:rFonts w:ascii="Times New Roman" w:hAnsi="Times New Roman" w:cs="Times New Roman" w:eastAsia="宋体"/>
          <w:color w:val="000000"/>
          <w:sz w:val="24"/>
        </w:rPr>
        <w:t>5、</w:t>
      </w:r>
      <w:hyperlink r:id="rId18">
        <w:r>
          <w:rPr>
            <w:rFonts w:ascii="Times New Roman" w:hAnsi="Times New Roman" w:eastAsia="宋体"/>
            <w:color w:val="000000"/>
            <w:u w:val="none"/>
            <w:sz w:val="24"/>
          </w:rPr>
          <w:t>国家对地观测科学数据中心</w:t>
        </w:r>
      </w:hyperlink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2. 需要从外网下载或采购的数据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数据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年份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分辨率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训练用途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来源</w:t>
            </w:r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Sentinel-2 L2A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10/20/60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季度动态光学和云质量信息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9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Copernicus Data Space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Sentinel-1 GRD/RTC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季度全天候结构信息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19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Copernicus Data Space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Landsat-8 Collection 2 L2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季度光学、热红外和质量信息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0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USGS Landsat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PlanetScope 季度底图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约 4.77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高分季度覆盖补充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1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Planet Basemaps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吉林一号补充影像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亚米至数米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高分季度缺口补充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2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吉林一号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ESA WorldCover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土地覆盖弱标签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3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ESA WorldCover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Dynamic World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土地覆盖概率标签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4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Dynamic World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GlobeLand30 / GLC_FCS30D / CLCD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以 2020 年为主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土地利用辅助标签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5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GlobeLand30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Copernicus DEM GLO-30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静态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高程、坡度和坡向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6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Copernicus DEM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MODIS NDVI/EVI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季度植被状态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7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NASA MODIS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NODA 中国 NDVI/FVC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中国植被状态辅助信息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8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NODA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WorldCereal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2021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 米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农业、作物和灌溉信息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29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ESA WorldCereal</w:t>
              </w:r>
            </w:hyperlink>
          </w:p>
        </w:tc>
      </w:tr>
      <w:tr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历史 OSM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2020、2021 季末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矢量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道路、建筑、水体和土地利用弱标签</w:t>
            </w:r>
          </w:p>
        </w:tc>
        <w:tc>
          <w:tcPr>
            <w:tcW w:type="dxa" w:w="197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hyperlink r:id="rId30">
              <w:r>
                <w:rPr>
                  <w:rFonts w:ascii="Times New Roman" w:hAnsi="Times New Roman" w:eastAsia="宋体"/>
                  <w:color w:val="000000"/>
                  <w:u w:val="none"/>
                  <w:sz w:val="24"/>
                </w:rPr>
                <w:t>ohsome API</w:t>
              </w:r>
            </w:hyperlink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PlanetScope 和部分吉林一号数据属于商业资源。采购前先核对批量训练、衍生嵌入发布和长期存储许可。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3. 年度高分数据和季度产品的关系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1、年度 2 米一张图可以用于学习建筑、道路、岸线和田块边界。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2、年度一张图不能说明地物在哪一个季度发生变化，不能直接复制为四个季度的训练真值。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3、季度变化主要由 Sentinel-2、Sentinel-1、Landsat 和带日期的季度高分场景提供。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4、如果只能取得年度 2 米一张图，本版产品应说明为“季度动态信息加年度高分空间细节”，不能说明为完整的季度 2 米观测重建。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5、如果需要严格的季度 2 米变化能力，必须取得 2020 年和 2021 年每个季度的全国高分场景及成像日期。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三、数据处理和模型训练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1、所有高分场景按照季度、卫星和覆盖范围建立索引，保留成像日期、云量、波段和许可信息。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2、不同卫星分别进行辐射归一化，不直接混合不同传感器的原始 DN 值。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3、每景数据生成云、薄云、阴影、雪、条带、饱和和无效区域的像素级掩膜。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4、同一季度有多景时先删除质量差的场景，再对有效影像进行组合。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5、2 米模型使用 </w:t>
      </w:r>
      <w:r>
        <w:rPr>
          <w:rFonts w:ascii="Times New Roman" w:hAnsi="Times New Roman" w:cs="Times New Roman" w:eastAsia="宋体"/>
          <w:color w:val="000000"/>
          <w:sz w:val="24"/>
        </w:rPr>
        <w:t>256 m x 256 m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子块，每个子块输出 </w:t>
      </w:r>
      <w:r>
        <w:rPr>
          <w:rFonts w:ascii="Times New Roman" w:hAnsi="Times New Roman" w:cs="Times New Roman" w:eastAsia="宋体"/>
          <w:color w:val="000000"/>
          <w:sz w:val="24"/>
        </w:rPr>
        <w:t>128 x 128 x 64</w:t>
      </w:r>
      <w:r>
        <w:rPr>
          <w:rFonts w:ascii="Times New Roman" w:hAnsi="Times New Roman" w:cs="Times New Roman" w:eastAsia="宋体"/>
          <w:color w:val="000000"/>
          <w:sz w:val="24"/>
        </w:rPr>
        <w:t>，保持项目模型输出尺寸不变。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6、全国导出使用重叠窗口和中心裁边，减少相邻 patch 的边界接缝。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7、高分光学承担主要细节重建，Sentinel-1 使用较低重建权重，土地覆盖和 OSM 使用带有效区域掩膜的辅助标签。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8、训练期间定期检查下游任务，不以训练总损失作为唯一模型选择依据。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9、正式产品按照 2020Q1 至 2021Q4 分别导出，共 8 期。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四、时间安排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工作内容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预计时间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第一阶段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核对高分数据许可、季度覆盖、场景数量和真实存储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第二阶段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完成 2,000 点裁窗、掩膜、配准和训练输入可视化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12--15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第三阶段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完成 16/32/64 卡性能和恢复测试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7--10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第四阶段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使用 384--512 卡正式训练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55--75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第五阶段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分区导出 8 期全国嵌入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25--35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第六阶段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完成补片、下游测试、质量检查和交付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15--20 天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机动时间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处理数据返工、节点故障和导出失败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10--15 天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项目总工期按照 120--150 天安排。数据检查和算力准备可以并行，训练后半程和已完成区域的产品导出也可以并行。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五、项目支持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模型研发：赵龙、伍炜杰、陆君言。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数据支持：CB 项目负责现有遥感数据档案、NODA 数据申请、商业高分采购和批量数据迁移。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硬件支持：Option 1 至少提供 320 张 Ascend 910B，建议提供 384--512 张；Option 2 至少提供 64 张，建议提供 96--128 张。两个方案都需要 2--3 PB 在线存储。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网络支持：计算节点和存储之间持续读写不低于 30 GB/s，建议达到 50--80 GB/s。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软件支持：玄女 Embedding 项目提供数据处理、训练、分布式导出、下游测试、质量检查和 watchdog 代码。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交付内容：训练配置、best/last 模型权重、8 期全国 2 米嵌入、质量报告、下游测试结果和数据许可清单。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六、项目启动条件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1、2020 年和 2021 年高分场景清单、季度覆盖率和使用许可完成确认。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2、在线可用存储不少于 2 PB，建议达到 3 PB。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3、Option 1 的 Ascend 910B 不少于 320 张；Option 2 不少于 64 张。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4、64 卡扩展效率达到 70%，存储聚合持续读写不低于 30 GB/s。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5、2,000 点数据的云掩膜、跨源配准和训练输入可视化通过人工检查。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以上条件不能同时满足时，优先交付全国 10 米季度版，再选择重点城市和重点区域生成 2 米产品。</w:t>
      </w:r>
    </w:p>
    <w:p>
      <w:pPr>
        <w:pStyle w:val="Heading1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七、全国样本怎么选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1. 基础 1% 空间抽样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全国陆地按照不同 UTM 分区建立规则网格。训练位置仍使用 </w:t>
      </w:r>
      <w:r>
        <w:rPr>
          <w:rFonts w:ascii="Times New Roman" w:hAnsi="Times New Roman" w:cs="Times New Roman" w:eastAsia="宋体"/>
          <w:color w:val="000000"/>
          <w:sz w:val="24"/>
        </w:rPr>
        <w:t>1,280 m x 1,280 m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的全国空间网格，保证与 10 米版使用同一套位置编号。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将相邻的 </w:t>
      </w:r>
      <w:r>
        <w:rPr>
          <w:rFonts w:ascii="Times New Roman" w:hAnsi="Times New Roman" w:cs="Times New Roman" w:eastAsia="宋体"/>
          <w:color w:val="000000"/>
          <w:sz w:val="24"/>
        </w:rPr>
        <w:t>10 x 10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个位置组成一个宏网格。使用固定随机种子和 patch ID 的 SHA-256 哈希，在每个宏网格中选择一个位于中国陆地范围内的位置。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海岸和国界附近按照有效位置数量修正接纳概率，避免边界地区被重复采样。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经过国界、岛屿和完整位置检查后，基础样本为 57,405 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9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_static_1pct_sampling_pre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9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宋体"/>
          <w:color w:val="000000"/>
          <w:sz w:val="24"/>
        </w:rPr>
        <w:t>图 1  全国基础 1% 空间抽样分布。红点表示 57,405 个基础训练位置。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2. 空间均衡补样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增加 2,595 个空间均衡样本，将样本数补到 60,000 个。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新增样本按照 UTM 分区面积的平方根分配，与基础样本去重，每个宏网格原则上只增加一个位置。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3. 海岸线补样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增加 500 个海岸位置，用于学习海岸、港口、滩涂、河口和近海水体。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海岸位置同时参考中国陆地边界和 Natural Earth 海洋面，并与前 60,000 个位置去重。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4. 城市、稀有地物和困难区域补样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再增加 1,500 个位置，不删除、不替换前面的 60,500 个位置。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补样类型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数量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主要内容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城市和建成区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城市、道路密集区和建筑密集区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稀有自然地物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400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湿地、雪地、高原、裸地、绿洲和河湖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稀有基础设施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铁路、机场、港口、工业、教育和体育设施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困难观测区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300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长期多云、缺测、复杂地形和传感器差异较大区域</w:t>
            </w:r>
          </w:p>
        </w:tc>
      </w:tr>
      <w:tr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合计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1,500</w:t>
            </w:r>
          </w:p>
        </w:tc>
        <w:tc>
          <w:tcPr>
            <w:tcW w:type="dxa" w:w="3286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与前 60,500 个位置去重</w:t>
            </w:r>
          </w:p>
        </w:tc>
      </w:tr>
    </w:tbl>
    <w:p>
      <w:pPr>
        <w:spacing w:after="0"/>
      </w:pP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5. 高分辨率子块选择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 xml:space="preserve">每个 </w:t>
      </w:r>
      <w:r>
        <w:rPr>
          <w:rFonts w:ascii="Times New Roman" w:hAnsi="Times New Roman" w:cs="Times New Roman" w:eastAsia="宋体"/>
          <w:color w:val="000000"/>
          <w:sz w:val="24"/>
        </w:rPr>
        <w:t>1,280 m x 1,280 m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位置分成 </w:t>
      </w:r>
      <w:r>
        <w:rPr>
          <w:rFonts w:ascii="Times New Roman" w:hAnsi="Times New Roman" w:cs="Times New Roman" w:eastAsia="宋体"/>
          <w:color w:val="000000"/>
          <w:sz w:val="24"/>
        </w:rPr>
        <w:t>5 x 5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个 </w:t>
      </w:r>
      <w:r>
        <w:rPr>
          <w:rFonts w:ascii="Times New Roman" w:hAnsi="Times New Roman" w:cs="Times New Roman" w:eastAsia="宋体"/>
          <w:color w:val="000000"/>
          <w:sz w:val="24"/>
        </w:rPr>
        <w:t>256 m x 256 m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子块。每个子块对应 </w:t>
      </w:r>
      <w:r>
        <w:rPr>
          <w:rFonts w:ascii="Times New Roman" w:hAnsi="Times New Roman" w:cs="Times New Roman" w:eastAsia="宋体"/>
          <w:color w:val="000000"/>
          <w:sz w:val="24"/>
        </w:rPr>
        <w:t>128 x 128</w:t>
      </w:r>
      <w:r>
        <w:rPr>
          <w:rFonts w:ascii="Times New Roman" w:hAnsi="Times New Roman" w:cs="Times New Roman" w:eastAsia="宋体"/>
          <w:color w:val="000000"/>
          <w:sz w:val="24"/>
        </w:rPr>
        <w:t xml:space="preserve"> 个 2 米像素。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训练时根据高分场景质量、地物边界和季度覆盖选择子块，但保留原始位置 ID 和采样权重，避免城市和高分覆盖好的地区占比过高。</w:t>
      </w:r>
    </w:p>
    <w:p>
      <w:r>
        <w:rPr>
          <w:rFonts w:ascii="Times New Roman" w:hAnsi="Times New Roman" w:cs="Times New Roman" w:eastAsia="宋体"/>
          <w:color w:val="000000"/>
          <w:sz w:val="24"/>
        </w:rPr>
        <w:t>产品导出时覆盖全部 25 个子块，使用重叠窗口和中心裁边后拼接为完整的 2 米产品。</w:t>
      </w:r>
    </w:p>
    <w:p>
      <w:pPr>
        <w:pStyle w:val="Heading2"/>
        <w:jc w:val="left"/>
      </w:pPr>
      <w:r>
        <w:rPr>
          <w:rFonts w:ascii="Times New Roman" w:hAnsi="Times New Roman" w:cs="Times New Roman" w:eastAsia="宋体"/>
          <w:b/>
          <w:color w:val="000000"/>
          <w:sz w:val="28"/>
        </w:rPr>
        <w:t>6. 最终样本数量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样本组成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b/>
                <w:color w:val="000000"/>
                <w:sz w:val="24"/>
              </w:rPr>
              <w:t>数量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全国基础空间样本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57,405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空间均衡补样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2,595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海岸线补样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城市、稀有地物和困难区域补样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1,500</w:t>
            </w:r>
          </w:p>
        </w:tc>
      </w:tr>
      <w:tr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最终合计</w:t>
            </w:r>
          </w:p>
        </w:tc>
        <w:tc>
          <w:tcPr>
            <w:tcW w:type="dxa" w:w="4929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宋体"/>
                <w:color w:val="000000"/>
                <w:sz w:val="24"/>
              </w:rPr>
            </w:r>
            <w:r>
              <w:rPr>
                <w:rFonts w:ascii="Times New Roman" w:hAnsi="Times New Roman" w:cs="Times New Roman" w:eastAsia="宋体"/>
                <w:color w:val="000000"/>
                <w:sz w:val="24"/>
              </w:rPr>
              <w:t>62,000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cs="Times New Roman" w:eastAsia="宋体"/>
          <w:color w:val="000000"/>
          <w:sz w:val="24"/>
        </w:rPr>
        <w:t>最终 62,000 个训练位置约占全国完整网格的 1.06%。高分辨率子块只增加每个位置内部的训练内容，不改变全国样本的地理权重。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color w:val="000000"/>
        <w:sz w:val="18"/>
      </w:rPr>
      <w:t xml:space="preserve">第 </w:t>
    </w:r>
    <w:fldSimple w:instr="PAGE"/>
    <w:r>
      <w:rPr>
        <w:rFonts w:ascii="Times New Roman" w:hAnsi="Times New Roman" w:cs="Times New Roman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360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2411.17984" TargetMode="External"/><Relationship Id="rId11" Type="http://schemas.openxmlformats.org/officeDocument/2006/relationships/hyperlink" Target="https://arxiv.org/abs/2503.23844" TargetMode="External"/><Relationship Id="rId12" Type="http://schemas.openxmlformats.org/officeDocument/2006/relationships/hyperlink" Target="https://openaccess.thecvf.com/content/ICCV2021/html/Shu_Channel-Wise_Knowledge_Distillation_for_Dense_Prediction_ICCV_2021_paper.html" TargetMode="External"/><Relationship Id="rId13" Type="http://schemas.openxmlformats.org/officeDocument/2006/relationships/hyperlink" Target="https://arxiv.org/abs/2105.15203" TargetMode="External"/><Relationship Id="rId14" Type="http://schemas.openxmlformats.org/officeDocument/2006/relationships/hyperlink" Target="https://www.noda.ac.cn/aircas/news/showNewsById?id=6694ccca4782da475b5c8ffa" TargetMode="External"/><Relationship Id="rId15" Type="http://schemas.openxmlformats.org/officeDocument/2006/relationships/hyperlink" Target="https://www.noda.ac.cn/datasharing/theme/viewThemeById?id=64ffc7a0ae06c00d8763ec3f" TargetMode="External"/><Relationship Id="rId16" Type="http://schemas.openxmlformats.org/officeDocument/2006/relationships/hyperlink" Target="https://www.noda.ac.cn/datasharing/theme/viewThemeById?id=6690d6b3494be1036384ea58" TargetMode="External"/><Relationship Id="rId17" Type="http://schemas.openxmlformats.org/officeDocument/2006/relationships/hyperlink" Target="https://www.noda.ac.cn/datasharing/theme/viewThemeById?id=63ef0d710e2b985f5244c382" TargetMode="External"/><Relationship Id="rId18" Type="http://schemas.openxmlformats.org/officeDocument/2006/relationships/hyperlink" Target="https://www.cpeos.org.cn/dataSearch3D/" TargetMode="External"/><Relationship Id="rId19" Type="http://schemas.openxmlformats.org/officeDocument/2006/relationships/hyperlink" Target="https://www.copernicus.eu/en/access-data" TargetMode="External"/><Relationship Id="rId20" Type="http://schemas.openxmlformats.org/officeDocument/2006/relationships/hyperlink" Target="https://www.usgs.gov/landsat-missions/landsat-collection-2" TargetMode="External"/><Relationship Id="rId21" Type="http://schemas.openxmlformats.org/officeDocument/2006/relationships/hyperlink" Target="https://docs.planet.com/data/imagery/basemaps/" TargetMode="External"/><Relationship Id="rId22" Type="http://schemas.openxmlformats.org/officeDocument/2006/relationships/hyperlink" Target="https://www.jl1.cn/eweb/product_view.aspx?id=759" TargetMode="External"/><Relationship Id="rId23" Type="http://schemas.openxmlformats.org/officeDocument/2006/relationships/hyperlink" Target="https://esa-worldcover.org/en/data-access" TargetMode="External"/><Relationship Id="rId24" Type="http://schemas.openxmlformats.org/officeDocument/2006/relationships/hyperlink" Target="https://www.dynamicworld.app/about/index.html" TargetMode="External"/><Relationship Id="rId25" Type="http://schemas.openxmlformats.org/officeDocument/2006/relationships/hyperlink" Target="https://www.ngcc.cn/xwzx/ywcg/202401/t20240103_1270.html" TargetMode="External"/><Relationship Id="rId26" Type="http://schemas.openxmlformats.org/officeDocument/2006/relationships/hyperlink" Target="https://dataspace.copernicus.eu/explore-data/data-collections/copernicus-contributing-missions/collections-description/COP-DEM" TargetMode="External"/><Relationship Id="rId27" Type="http://schemas.openxmlformats.org/officeDocument/2006/relationships/hyperlink" Target="https://modis.gsfc.nasa.gov/data/dataprod/mod13.php" TargetMode="External"/><Relationship Id="rId28" Type="http://schemas.openxmlformats.org/officeDocument/2006/relationships/hyperlink" Target="https://www.noda.ac.cn/rsgs/news/showNewsById?id=6916eb157575fb4d046058df" TargetMode="External"/><Relationship Id="rId29" Type="http://schemas.openxmlformats.org/officeDocument/2006/relationships/hyperlink" Target="https://esa-worldcereal.org/en/products/global-maps" TargetMode="External"/><Relationship Id="rId30" Type="http://schemas.openxmlformats.org/officeDocument/2006/relationships/hyperlink" Target="https://docs.ohsome.org/ohsome-api/stable/endpoints.html" TargetMode="External"/><Relationship Id="rId3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中国版 Alpha Earth 技术方案（高分辨率资源版）</dc:title>
  <dc:subject>中国版 Alpha Earth 2020--2021 季度 embedding 技术方案</dc:subject>
  <dc:creator>玄女 Embedding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