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Times New Roman" w:hAnsi="Times New Roman" w:eastAsia="宋体"/>
          <w:b/>
          <w:sz w:val="32"/>
        </w:rPr>
        <w:t>附件：基于玄女月度地理嵌入的海淀区生态系统调节服务价值核算技术试点实施与验收说明</w:t>
      </w:r>
    </w:p>
    <w:p>
      <w:pPr>
        <w:spacing w:after="840"/>
        <w:jc w:val="center"/>
      </w:pPr>
      <w:r>
        <w:rPr>
          <w:rFonts w:ascii="Times New Roman" w:hAnsi="Times New Roman" w:eastAsia="宋体"/>
          <w:b/>
          <w:sz w:val="28"/>
        </w:rPr>
        <w:t>项目申报书（技术内容修订稿）</w:t>
      </w:r>
    </w:p>
    <w:p>
      <w:r>
        <w:t>说明：申报部门、负责人、研究周期和经费预算需由申报单位补充。</w:t>
      </w:r>
    </w:p>
    <w:p>
      <w:r>
        <w:br w:type="page"/>
      </w:r>
    </w:p>
    <w:tbl>
      <w:tblPr>
        <w:tblW w:type="auto" w:w="0"/>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68"/>
        <w:gridCol w:w="7087"/>
      </w:tblGrid>
      <w:tr>
        <w:tc>
          <w:tcPr>
            <w:tcW w:type="dxa" w:w="4589"/>
            <w:vAlign w:val="center"/>
          </w:tcPr>
          <w:p>
            <w:pPr>
              <w:spacing w:after="0" w:before="0"/>
              <w:jc w:val="center"/>
            </w:pPr>
            <w:r/>
            <w:r>
              <w:rPr>
                <w:rFonts w:ascii="Times New Roman" w:hAnsi="Times New Roman" w:eastAsia="宋体"/>
                <w:b/>
                <w:sz w:val="21"/>
              </w:rPr>
              <w:t>项目名称</w:t>
            </w:r>
          </w:p>
        </w:tc>
        <w:tc>
          <w:tcPr>
            <w:tcW w:type="dxa" w:w="4589"/>
            <w:vAlign w:val="center"/>
          </w:tcPr>
          <w:p>
            <w:pPr>
              <w:spacing w:after="0" w:before="0"/>
              <w:jc w:val="center"/>
            </w:pPr>
            <w:r/>
            <w:r>
              <w:rPr>
                <w:rFonts w:ascii="Times New Roman" w:hAnsi="Times New Roman" w:eastAsia="宋体"/>
                <w:b w:val="0"/>
                <w:sz w:val="21"/>
              </w:rPr>
              <w:t>附件：基于玄女月度地理嵌入的海淀区生态系统调节服务价值核算技术试点实施与验收说明</w:t>
            </w:r>
          </w:p>
        </w:tc>
      </w:tr>
      <w:tr>
        <w:tc>
          <w:tcPr>
            <w:tcW w:type="dxa" w:w="4589"/>
            <w:vAlign w:val="center"/>
          </w:tcPr>
          <w:p>
            <w:pPr>
              <w:spacing w:after="0" w:before="0"/>
              <w:jc w:val="center"/>
            </w:pPr>
            <w:r/>
            <w:r>
              <w:rPr>
                <w:rFonts w:ascii="Times New Roman" w:hAnsi="Times New Roman" w:eastAsia="宋体"/>
                <w:b/>
                <w:sz w:val="21"/>
              </w:rPr>
              <w:t>申报部门</w:t>
            </w:r>
          </w:p>
        </w:tc>
        <w:tc>
          <w:tcPr>
            <w:tcW w:type="dxa" w:w="4589"/>
            <w:vAlign w:val="center"/>
          </w:tcPr>
          <w:p>
            <w:pPr>
              <w:spacing w:after="0" w:before="0"/>
              <w:jc w:val="center"/>
            </w:pPr>
            <w:r/>
            <w:r>
              <w:rPr>
                <w:rFonts w:ascii="Times New Roman" w:hAnsi="Times New Roman" w:eastAsia="宋体"/>
                <w:b w:val="0"/>
                <w:sz w:val="21"/>
              </w:rPr>
              <w:t>待填</w:t>
            </w:r>
          </w:p>
        </w:tc>
      </w:tr>
      <w:tr>
        <w:tc>
          <w:tcPr>
            <w:tcW w:type="dxa" w:w="4589"/>
            <w:vAlign w:val="center"/>
          </w:tcPr>
          <w:p>
            <w:pPr>
              <w:spacing w:after="0" w:before="0"/>
              <w:jc w:val="center"/>
            </w:pPr>
            <w:r/>
            <w:r>
              <w:rPr>
                <w:rFonts w:ascii="Times New Roman" w:hAnsi="Times New Roman" w:eastAsia="宋体"/>
                <w:b/>
                <w:sz w:val="21"/>
              </w:rPr>
              <w:t>项目申报人</w:t>
            </w:r>
          </w:p>
        </w:tc>
        <w:tc>
          <w:tcPr>
            <w:tcW w:type="dxa" w:w="4589"/>
            <w:vAlign w:val="center"/>
          </w:tcPr>
          <w:p>
            <w:pPr>
              <w:spacing w:after="0" w:before="0"/>
              <w:jc w:val="center"/>
            </w:pPr>
            <w:r/>
            <w:r>
              <w:rPr>
                <w:rFonts w:ascii="Times New Roman" w:hAnsi="Times New Roman" w:eastAsia="宋体"/>
                <w:b w:val="0"/>
                <w:sz w:val="21"/>
              </w:rPr>
              <w:t>待填</w:t>
            </w:r>
          </w:p>
        </w:tc>
      </w:tr>
      <w:tr>
        <w:tc>
          <w:tcPr>
            <w:tcW w:type="dxa" w:w="4589"/>
            <w:vAlign w:val="center"/>
          </w:tcPr>
          <w:p>
            <w:pPr>
              <w:spacing w:after="0" w:before="0"/>
              <w:jc w:val="center"/>
            </w:pPr>
            <w:r/>
            <w:r>
              <w:rPr>
                <w:rFonts w:ascii="Times New Roman" w:hAnsi="Times New Roman" w:eastAsia="宋体"/>
                <w:b/>
                <w:sz w:val="21"/>
              </w:rPr>
              <w:t>研究周期</w:t>
            </w:r>
          </w:p>
        </w:tc>
        <w:tc>
          <w:tcPr>
            <w:tcW w:type="dxa" w:w="4589"/>
            <w:vAlign w:val="center"/>
          </w:tcPr>
          <w:p>
            <w:pPr>
              <w:spacing w:after="0" w:before="0"/>
              <w:jc w:val="center"/>
            </w:pPr>
            <w:r/>
            <w:r>
              <w:rPr>
                <w:rFonts w:ascii="Times New Roman" w:hAnsi="Times New Roman" w:eastAsia="宋体"/>
                <w:b w:val="0"/>
                <w:sz w:val="21"/>
              </w:rPr>
              <w:t>建议2年（以正式立项文件为准）</w:t>
            </w:r>
          </w:p>
        </w:tc>
      </w:tr>
      <w:tr>
        <w:tc>
          <w:tcPr>
            <w:tcW w:type="dxa" w:w="4589"/>
            <w:vAlign w:val="center"/>
          </w:tcPr>
          <w:p>
            <w:pPr>
              <w:spacing w:after="0" w:before="0"/>
              <w:jc w:val="center"/>
            </w:pPr>
            <w:r/>
            <w:r>
              <w:rPr>
                <w:rFonts w:ascii="Times New Roman" w:hAnsi="Times New Roman" w:eastAsia="宋体"/>
                <w:b/>
                <w:sz w:val="21"/>
              </w:rPr>
              <w:t>成果转化方式</w:t>
            </w:r>
          </w:p>
        </w:tc>
        <w:tc>
          <w:tcPr>
            <w:tcW w:type="dxa" w:w="4589"/>
            <w:vAlign w:val="center"/>
          </w:tcPr>
          <w:p>
            <w:pPr>
              <w:spacing w:after="0" w:before="0"/>
              <w:jc w:val="center"/>
            </w:pPr>
            <w:r/>
            <w:r>
              <w:rPr>
                <w:rFonts w:ascii="Times New Roman" w:hAnsi="Times New Roman" w:eastAsia="宋体"/>
                <w:b w:val="0"/>
                <w:sz w:val="21"/>
              </w:rPr>
              <w:t>业务化、工程化</w:t>
            </w:r>
          </w:p>
        </w:tc>
      </w:tr>
    </w:tbl>
    <w:p>
      <w:r>
        <w:br w:type="page"/>
      </w:r>
    </w:p>
    <w:p>
      <w:pPr>
        <w:spacing w:before="280" w:after="160"/>
      </w:pPr>
      <w:r>
        <w:rPr>
          <w:rFonts w:ascii="Times New Roman" w:hAnsi="Times New Roman" w:eastAsia="宋体"/>
          <w:b/>
          <w:sz w:val="28"/>
        </w:rPr>
        <w:t>一、项目概述</w:t>
      </w:r>
    </w:p>
    <w:p>
      <w:pPr>
        <w:spacing w:after="100" w:line="360" w:lineRule="auto"/>
        <w:ind w:firstLine="420"/>
      </w:pPr>
      <w:r>
        <w:rPr>
          <w:rFonts w:ascii="Times New Roman" w:hAnsi="Times New Roman" w:eastAsia="宋体"/>
          <w:b w:val="0"/>
          <w:sz w:val="24"/>
        </w:rPr>
        <w:t>本附件说明海淀区三类调节服务价值试点的实施与验收要求。玄女以1,280米×1,280米样本单元组织训练，每个样本单元输出128×128×64稠密嵌入，以名义10米等效分析网格表达地表状态；该网格用于面积、覆盖比例和空间分配，不代表10米生态过程观测或过程核算精度。固定二氧化碳、洪水调蓄和局部气候调节的实物量与价值量由国家标准方法、生态过程模型、监测资料、统计资料和价格参数共同核算。</w:t>
      </w:r>
    </w:p>
    <w:p>
      <w:pPr>
        <w:spacing w:before="280" w:after="160"/>
      </w:pPr>
      <w:r>
        <w:rPr>
          <w:rFonts w:ascii="Times New Roman" w:hAnsi="Times New Roman" w:eastAsia="宋体"/>
          <w:b/>
          <w:sz w:val="28"/>
        </w:rPr>
        <w:t>二、项目研究的目的、必要性和可行性</w:t>
      </w:r>
    </w:p>
    <w:p>
      <w:pPr>
        <w:spacing w:before="160" w:after="80"/>
      </w:pPr>
      <w:r>
        <w:rPr>
          <w:rFonts w:ascii="Times New Roman" w:hAnsi="Times New Roman" w:eastAsia="宋体"/>
          <w:b/>
          <w:sz w:val="24"/>
        </w:rPr>
        <w:t>1. 项目目的</w:t>
      </w:r>
    </w:p>
    <w:p>
      <w:pPr>
        <w:spacing w:after="100" w:line="360" w:lineRule="auto"/>
        <w:ind w:firstLine="420"/>
      </w:pPr>
      <w:r>
        <w:rPr>
          <w:rFonts w:ascii="Times New Roman" w:hAnsi="Times New Roman" w:eastAsia="宋体"/>
          <w:b w:val="0"/>
          <w:sz w:val="24"/>
        </w:rPr>
        <w:t>建立以月度地表状态嵌入为辅助数据、以GB/T 46869—2025核算流程为约束的三类调节服务价值试点。嵌入用于生态系统类型、面积、覆盖比例和参数空间化；生态过程与价值量由专题模型、监测资料、统计资料和参数台账完成核算。</w:t>
      </w:r>
    </w:p>
    <w:p>
      <w:pPr>
        <w:spacing w:before="160" w:after="80"/>
      </w:pPr>
      <w:r>
        <w:rPr>
          <w:rFonts w:ascii="Times New Roman" w:hAnsi="Times New Roman" w:eastAsia="宋体"/>
          <w:b/>
          <w:sz w:val="24"/>
        </w:rPr>
        <w:t>2. 项目必要性</w:t>
      </w:r>
    </w:p>
    <w:p>
      <w:pPr>
        <w:spacing w:after="100" w:line="360" w:lineRule="auto"/>
        <w:ind w:firstLine="420"/>
      </w:pPr>
      <w:r>
        <w:rPr>
          <w:rFonts w:ascii="Times New Roman" w:hAnsi="Times New Roman" w:eastAsia="宋体"/>
          <w:b w:val="0"/>
          <w:sz w:val="24"/>
        </w:rPr>
        <w:t>现有GEP工作需要人工整合遥感影像、生态模型、统计年鉴、价格参数和监测资料。不同来源的分辨率、时间和空间参考不一致，导致更新慢、复算成本高。海淀区建设用地、河湖湿地、山地林地和公园绿地交错，生态服务具有显著空间异质性，需要更精细且可持续更新的空间证据。</w:t>
      </w:r>
    </w:p>
    <w:p>
      <w:pPr>
        <w:spacing w:before="160" w:after="80"/>
      </w:pPr>
      <w:r>
        <w:rPr>
          <w:rFonts w:ascii="Times New Roman" w:hAnsi="Times New Roman" w:eastAsia="宋体"/>
          <w:b/>
          <w:sz w:val="24"/>
        </w:rPr>
        <w:t>3. 项目可行性</w:t>
      </w:r>
    </w:p>
    <w:p>
      <w:pPr>
        <w:spacing w:after="100" w:line="360" w:lineRule="auto"/>
        <w:ind w:firstLine="420"/>
      </w:pPr>
      <w:r>
        <w:rPr>
          <w:rFonts w:ascii="Times New Roman" w:hAnsi="Times New Roman" w:eastAsia="宋体"/>
          <w:b w:val="0"/>
          <w:sz w:val="24"/>
        </w:rPr>
        <w:t>项目已有玄女海淀月度嵌入基础作为起点。现有生产权重覆盖2025年12月至2026年5月、320个1,280米×1,280米样本单元；对每个样本单元输出128×128×64的名义10米等效分析网格。建筑、道路、水体结果使用与预训练开放地图弱语义同源的标签，属于内部制图验证，不作为生态服务或GEP核算精度依据。本项目将在此基础上补充数字高程模型（DEM）、气象、土壤、水文、地表温度、生态统计和监测资料，以生态过程模型和国家标准完成服务实物量及价值量试点核算。</w:t>
      </w:r>
    </w:p>
    <w:p>
      <w:pPr>
        <w:spacing w:before="280" w:after="160"/>
      </w:pPr>
      <w:r>
        <w:rPr>
          <w:rFonts w:ascii="Times New Roman" w:hAnsi="Times New Roman" w:eastAsia="宋体"/>
          <w:b/>
          <w:sz w:val="28"/>
        </w:rPr>
        <w:t>三、项目目标与考核要求</w:t>
      </w:r>
    </w:p>
    <w:p>
      <w:pPr>
        <w:spacing w:before="160" w:after="80"/>
      </w:pPr>
      <w:r>
        <w:rPr>
          <w:rFonts w:ascii="Times New Roman" w:hAnsi="Times New Roman" w:eastAsia="宋体"/>
          <w:b/>
          <w:sz w:val="24"/>
        </w:rPr>
        <w:t>1. 总体目标</w:t>
      </w:r>
    </w:p>
    <w:p>
      <w:pPr>
        <w:spacing w:after="100" w:line="360" w:lineRule="auto"/>
        <w:ind w:firstLine="420"/>
      </w:pPr>
      <w:r>
        <w:rPr>
          <w:rFonts w:ascii="Times New Roman" w:hAnsi="Times New Roman" w:eastAsia="宋体"/>
          <w:b w:val="0"/>
          <w:sz w:val="24"/>
        </w:rPr>
        <w:t>构建海淀区10米月度生态证据层和三类调节服务的标准化核算原型，形成从多源数据对齐、嵌入生成、生态服务实物量反演、价值量核算到可追溯核算辅助工具的完整流程。</w:t>
      </w:r>
    </w:p>
    <w:p>
      <w:pPr>
        <w:spacing w:before="160" w:after="80"/>
      </w:pPr>
      <w:r>
        <w:rPr>
          <w:rFonts w:ascii="Times New Roman" w:hAnsi="Times New Roman" w:eastAsia="宋体"/>
          <w:b/>
          <w:sz w:val="24"/>
        </w:rPr>
        <w:t>2. 可考核目标</w:t>
      </w:r>
    </w:p>
    <w:p>
      <w:pPr>
        <w:spacing w:after="100" w:line="360" w:lineRule="auto"/>
        <w:ind w:firstLine="420"/>
      </w:pPr>
      <w:r>
        <w:rPr>
          <w:rFonts w:ascii="Times New Roman" w:hAnsi="Times New Roman" w:eastAsia="宋体"/>
          <w:b w:val="0"/>
          <w:sz w:val="24"/>
        </w:rPr>
        <w:t>1. 建成项目覆盖范围内的名义10米等效分析网格月度产品，包括质量掩膜、月度嵌入、生态状态图和数据血缘记录；每个产品均保留时间、来源、空间参考和质量信息。</w:t>
      </w:r>
    </w:p>
    <w:p>
      <w:pPr>
        <w:spacing w:after="100" w:line="360" w:lineRule="auto"/>
        <w:ind w:firstLine="420"/>
      </w:pPr>
      <w:r>
        <w:rPr>
          <w:rFonts w:ascii="Times New Roman" w:hAnsi="Times New Roman" w:eastAsia="宋体"/>
          <w:b w:val="0"/>
          <w:sz w:val="24"/>
        </w:rPr>
        <w:t>2. 建成GEP样本库，分离保存月度观测、生态状态、服务实物量监督/校准资料和价值参数四类数据；所有栅格按统一网格对齐，原始数据分辨率与重采样方法可追溯。</w:t>
      </w:r>
    </w:p>
    <w:p>
      <w:pPr>
        <w:spacing w:after="100" w:line="360" w:lineRule="auto"/>
        <w:ind w:firstLine="420"/>
      </w:pPr>
      <w:r>
        <w:rPr>
          <w:rFonts w:ascii="Times New Roman" w:hAnsi="Times New Roman" w:eastAsia="宋体"/>
          <w:b w:val="0"/>
          <w:sz w:val="24"/>
        </w:rPr>
        <w:t>3. 完成固定二氧化碳、洪水调蓄、局部气候调节三类服务的实物量反演与价值量核算原型；其合计明确表述为“三类调节服务价值试点合计”，不等同于海淀区完整GEP总值。水质净化、土壤保持、游憩和物质产品仅在形成适用清单、取得资料并完成独立验证后纳入扩展核算。</w:t>
      </w:r>
    </w:p>
    <w:p>
      <w:pPr>
        <w:spacing w:after="100" w:line="360" w:lineRule="auto"/>
        <w:ind w:firstLine="420"/>
      </w:pPr>
      <w:r>
        <w:rPr>
          <w:rFonts w:ascii="Times New Roman" w:hAnsi="Times New Roman" w:eastAsia="宋体"/>
          <w:b w:val="0"/>
          <w:sz w:val="24"/>
        </w:rPr>
        <w:t>4. 示范核算基准年暂定为2026自然年；若立项后数据核查表明该年关键资料不可得，须经项目管理方书面批准后调整基准年，不得自行变更。项目覆盖该自然年12期月度产品，月度质量不足的像元显式标记为无数据，不以插补结果冒充观测。对分类任务报告F1、IoU和总体精度；对连续生态变量报告R²、MAE、RMSE和Bias；对雨洪过程报告NSE、KGE、PBIAS和事件命中率。各指标均采用空间分块、时间留出或独立监测资料验证，校准资料与最终评价资料隔离。</w:t>
      </w:r>
    </w:p>
    <w:p>
      <w:pPr>
        <w:spacing w:after="100" w:line="360" w:lineRule="auto"/>
        <w:ind w:firstLine="420"/>
      </w:pPr>
      <w:r>
        <w:rPr>
          <w:rFonts w:ascii="Times New Roman" w:hAnsi="Times New Roman" w:eastAsia="宋体"/>
          <w:b w:val="0"/>
          <w:sz w:val="24"/>
        </w:rPr>
        <w:t>5. 建成可调用的核算辅助工具。查询结果必须返回数据时间、空间范围、模型版本、参数版本、核算方法和不确定性说明；未完成核算的数据不得生成定量结论。</w:t>
      </w:r>
    </w:p>
    <w:p>
      <w:pPr>
        <w:spacing w:before="160" w:after="80"/>
      </w:pPr>
      <w:r>
        <w:rPr>
          <w:rFonts w:ascii="Times New Roman" w:hAnsi="Times New Roman" w:eastAsia="宋体"/>
          <w:b/>
          <w:sz w:val="24"/>
        </w:rPr>
        <w:t>3. 核心服务数据门槛与验收底线</w:t>
      </w:r>
    </w:p>
    <w:p>
      <w:pPr>
        <w:spacing w:after="100" w:line="360" w:lineRule="auto"/>
        <w:ind w:firstLine="420"/>
      </w:pPr>
      <w:r>
        <w:rPr>
          <w:rFonts w:ascii="Times New Roman" w:hAnsi="Times New Roman" w:eastAsia="宋体"/>
          <w:b w:val="0"/>
          <w:sz w:val="24"/>
        </w:rPr>
        <w:t>固定二氧化碳、洪水调蓄和局部气候调节均为项目必做模块，不允许因资料缺失自动缩减。第2个月的数据核查应形成“服务—实物量定义—主模型—过程单元—校准资料—独立验证资料—数据权属/取得日期—空间与时间代表性—参数来源—缺口处置”矩阵。固碳模块须具有支持年通量、年度增量或长期固碳速率的独立资料；洪水模块须具有同一代表性子汇水区的连续过程线或足够密集事件序列、排水边界和工程设施资料；局部气候模块须具有与正式核算路径一致的温湿度或蒸散发验证资料。未签署变更时，任一核心服务不能完成正式价值试点即判定项目未通过；经项目管理方签署变更后，须同步调整服务范围、成果、指标和经费，不得仍称为三服务价值试点。</w:t>
      </w:r>
    </w:p>
    <w:p>
      <w:pPr>
        <w:spacing w:after="100" w:line="360" w:lineRule="auto"/>
        <w:ind w:firstLine="420"/>
      </w:pPr>
      <w:r>
        <w:rPr>
          <w:rFonts w:ascii="Times New Roman" w:hAnsi="Times New Roman" w:eastAsia="宋体"/>
          <w:b w:val="0"/>
          <w:sz w:val="24"/>
        </w:rPr>
        <w:t>验收时，生态分类使用不少于5个空间分块的独立留出评价，并报告各类别用户精度、生产者精度、面积偏差、边界误差和置信区间；连续变量按服务类型报告R²、MAE、RMSE、偏差、生态系统类型差异和置信区间；洪水模块分别报告事件过程和年度水量闭合。每个产品必须覆盖经批准的基准年，并保留完整的数据血缘字段、缺失值编码、源数据许可、版本保留期和不可复现外部数据处置记录。每项服务均与预先登记的同口径传统基线和统一验证集比较，报告嵌入产品的差异、置信区间和对比分析结果，不预设必须优于基线的结论。</w:t>
      </w:r>
    </w:p>
    <w:p>
      <w:pPr>
        <w:spacing w:before="160" w:after="80"/>
      </w:pPr>
      <w:r>
        <w:rPr>
          <w:rFonts w:ascii="Times New Roman" w:hAnsi="Times New Roman" w:eastAsia="宋体"/>
          <w:b/>
          <w:sz w:val="24"/>
        </w:rPr>
        <w:t>4. 试点边界与完整GEP的关系</w:t>
      </w:r>
    </w:p>
    <w:p>
      <w:pPr>
        <w:spacing w:after="100" w:line="360" w:lineRule="auto"/>
        <w:ind w:firstLine="420"/>
      </w:pPr>
      <w:r>
        <w:rPr>
          <w:rFonts w:ascii="Times New Roman" w:hAnsi="Times New Roman" w:eastAsia="宋体"/>
          <w:b w:val="0"/>
          <w:sz w:val="24"/>
        </w:rPr>
        <w:t>本项目首期交付的是三类调节服务价值试点，不以其合计替代完整GEP。完整GEP需先按GB/T 46869—2025编制海淀区生态产品清单，说明物质产品、调节服务、文化服务的纳入或排除依据，并采用“区域内生态产品价值合计－来自区域外的生态产品价值”规则进行汇总。项目将建立该清单、扣减字段和审计规则；只有在适用科目、数据、参数及独立验证齐备后，才形成完整GEP总值。</w:t>
      </w:r>
    </w:p>
    <w:p>
      <w:pPr>
        <w:spacing w:before="280" w:after="160"/>
      </w:pPr>
      <w:r>
        <w:rPr>
          <w:rFonts w:ascii="Times New Roman" w:hAnsi="Times New Roman" w:eastAsia="宋体"/>
          <w:b/>
          <w:sz w:val="28"/>
        </w:rPr>
        <w:t>四、研究内容</w:t>
      </w:r>
    </w:p>
    <w:p>
      <w:pPr>
        <w:spacing w:before="160" w:after="80"/>
      </w:pPr>
      <w:r>
        <w:rPr>
          <w:rFonts w:ascii="Times New Roman" w:hAnsi="Times New Roman" w:eastAsia="宋体"/>
          <w:b/>
          <w:sz w:val="24"/>
        </w:rPr>
        <w:t>1. 数据对齐与GEP样本库构建</w:t>
      </w:r>
    </w:p>
    <w:p>
      <w:pPr>
        <w:spacing w:after="100" w:line="360" w:lineRule="auto"/>
        <w:ind w:firstLine="420"/>
      </w:pPr>
      <w:r>
        <w:rPr>
          <w:rFonts w:ascii="Times New Roman" w:hAnsi="Times New Roman" w:eastAsia="宋体"/>
          <w:b w:val="0"/>
          <w:sz w:val="24"/>
        </w:rPr>
        <w:t>建立统一的10米分析网格和数据目录。10米网格是生态状态和嵌入产品的表达网格，不意味着所有输入资料原始分辨率均为10米。每个产品必须标明其属性：原始观测、重采样辅助变量或模型推断结果。对于较粗的气象、土壤、DEM、统计和生态产品，保存原始空间分辨率、时间范围与重采样方法，避免把插值结果误表述为新增的10米观测事实。</w:t>
      </w:r>
    </w:p>
    <w:p>
      <w:pPr>
        <w:spacing w:after="100" w:line="360" w:lineRule="auto"/>
        <w:ind w:firstLine="420"/>
      </w:pPr>
      <w:r>
        <w:rPr>
          <w:rFonts w:ascii="Times New Roman" w:hAnsi="Times New Roman" w:eastAsia="宋体"/>
          <w:b w:val="0"/>
          <w:sz w:val="24"/>
        </w:rPr>
        <w:t>样本库由四个相互独立的层次组成。</w:t>
      </w:r>
    </w:p>
    <w:p>
      <w:pPr>
        <w:spacing w:after="100" w:line="360" w:lineRule="auto"/>
        <w:ind w:firstLine="420"/>
      </w:pPr>
      <w:r>
        <w:rPr>
          <w:rFonts w:ascii="Times New Roman" w:hAnsi="Times New Roman" w:eastAsia="宋体"/>
          <w:b w:val="0"/>
          <w:sz w:val="24"/>
        </w:rPr>
        <w:t>1. 月度观测层。包括Sentinel-1、Sentinel-2、Landsat、高分光学和高分合成孔径雷达（SAR）等影像及其云、阴影、缺失和质量掩膜。</w:t>
      </w:r>
    </w:p>
    <w:p>
      <w:pPr>
        <w:spacing w:after="100" w:line="360" w:lineRule="auto"/>
        <w:ind w:firstLine="420"/>
      </w:pPr>
      <w:r>
        <w:rPr>
          <w:rFonts w:ascii="Times New Roman" w:hAnsi="Times New Roman" w:eastAsia="宋体"/>
          <w:b w:val="0"/>
          <w:sz w:val="24"/>
        </w:rPr>
        <w:t>2. 生态状态层。形成与GB/T 46869—2025第4章和表3生态系统类型相衔接的森林、灌丛、草地、湿地、农田和城市生态系统分类；城市生态系统进一步记录城市绿地、城市水体、居住地、工矿交通等子类。对分类图开展面积闭合、边界像元与混合像元处理，并使用独立样本评价。植被覆盖度、地表温度、热环境和变化图均属于本项目拟由专题模型和外部资料生成的产品，不作为现有生产模型已交付能力表述。</w:t>
      </w:r>
    </w:p>
    <w:p>
      <w:pPr>
        <w:spacing w:after="100" w:line="360" w:lineRule="auto"/>
        <w:ind w:firstLine="420"/>
      </w:pPr>
      <w:r>
        <w:rPr>
          <w:rFonts w:ascii="Times New Roman" w:hAnsi="Times New Roman" w:eastAsia="宋体"/>
          <w:b w:val="0"/>
          <w:sz w:val="24"/>
        </w:rPr>
        <w:t>3. 服务实物量层。包括净初级生产力（NPP）/生物量、蒸散发、降雨、辐射、气温、DEM、坡度、土壤、水文、水质、监测站和统计资料。该层用于模型校准与独立验证，不与最终测试资料混用。</w:t>
      </w:r>
    </w:p>
    <w:p>
      <w:pPr>
        <w:spacing w:after="100" w:line="360" w:lineRule="auto"/>
        <w:ind w:firstLine="420"/>
      </w:pPr>
      <w:r>
        <w:rPr>
          <w:rFonts w:ascii="Times New Roman" w:hAnsi="Times New Roman" w:eastAsia="宋体"/>
          <w:b w:val="0"/>
          <w:sz w:val="24"/>
        </w:rPr>
        <w:t>4. 价值核算层。包括价格、影子价格、替代成本、单位服务价值、参数来源和适用年份。价值参数与影像、模型权重分开管理，确保核算过程可复算。</w:t>
      </w:r>
    </w:p>
    <w:p>
      <w:pPr>
        <w:spacing w:before="160" w:after="80"/>
      </w:pPr>
      <w:r>
        <w:rPr>
          <w:rFonts w:ascii="Times New Roman" w:hAnsi="Times New Roman" w:eastAsia="宋体"/>
          <w:b/>
          <w:sz w:val="24"/>
        </w:rPr>
        <w:t>2. 嵌入地球基础模型构建与嵌入生成</w:t>
      </w:r>
    </w:p>
    <w:p>
      <w:pPr>
        <w:spacing w:after="100" w:line="360" w:lineRule="auto"/>
        <w:ind w:firstLine="420"/>
      </w:pPr>
      <w:r>
        <w:rPr>
          <w:rFonts w:ascii="Times New Roman" w:hAnsi="Times New Roman" w:eastAsia="宋体"/>
          <w:b w:val="0"/>
          <w:sz w:val="24"/>
        </w:rPr>
        <w:t>以玄女海淀现有生产模型为初始化底座，保持其多源遥感输入、月度输出、128×128空间网格和64维稠密嵌入能力。模型以六个月时序上下文生成对应月份的嵌入。现有模型已验证范围仅为2025年12月至2026年5月；2026自然年12期产品属于本项目新增数据、时序配置、再训练或适配、导出和独立验证成果。项目启动时需定义月产品的目标月、输入窗口、最短出具滞后、首尾月份处理、有效像元率、最小可用输入组合和降级策略；质量不满足核算要求的区域不进入价值量计算。</w:t>
      </w:r>
    </w:p>
    <w:p>
      <w:pPr>
        <w:spacing w:after="100" w:line="360" w:lineRule="auto"/>
        <w:ind w:firstLine="420"/>
      </w:pPr>
      <w:r>
        <w:rPr>
          <w:rFonts w:ascii="Times New Roman" w:hAnsi="Times New Roman" w:eastAsia="宋体"/>
          <w:b w:val="0"/>
          <w:sz w:val="24"/>
        </w:rPr>
        <w:t>在生态适配阶段引入DEM、坡度、气象、植被指数、地表温度等辅助变量，并设置质量感知的时空对齐和缺失处理机制。项目启动时冻结“特征—标签—过程驱动”数据契约：训练特征不得同时作为独立验证目标；过程模型驱动使用目标期可获得的数据；训练、验证按空间块、年份和数据源隔离。开放地图数据只作为广义弱语义先验，不作为GEP服务真值。</w:t>
      </w:r>
    </w:p>
    <w:p>
      <w:pPr>
        <w:spacing w:after="100" w:line="360" w:lineRule="auto"/>
        <w:ind w:firstLine="420"/>
      </w:pPr>
      <w:r>
        <w:rPr>
          <w:rFonts w:ascii="Times New Roman" w:hAnsi="Times New Roman" w:eastAsia="宋体"/>
          <w:b w:val="0"/>
          <w:sz w:val="24"/>
        </w:rPr>
        <w:t>现有生产模型导出结果为嵌入及其全局元数据，不直接输出逐样本单元、逐月质量信息或生态状态图；现有高分源采用跨可用时相汇聚后逐月重复融合，不属于目标月同期高分观测。项目拟将单帧高分输入改造为按目标月组织的时序高分输入与掩膜，并重新训练、导出和验证，现有权重不能通过后处理直接获得该能力。项目启动时冻结质量数据字典，区分观测质量与模型不确定性，记录逐源云、阴影、无数据掩膜、获取日期、目标月时间差、可用性、降级原因、重采样方法和月产品有效标志；模型不确定性另行说明计算方法、校准资料和适用范围。</w:t>
      </w:r>
    </w:p>
    <w:p>
      <w:pPr>
        <w:spacing w:before="160" w:after="80"/>
      </w:pPr>
      <w:r>
        <w:rPr>
          <w:rFonts w:ascii="Times New Roman" w:hAnsi="Times New Roman" w:eastAsia="宋体"/>
          <w:b/>
          <w:sz w:val="24"/>
        </w:rPr>
        <w:t>3. 三类调节服务核算与受约束查询工具构建</w:t>
      </w:r>
    </w:p>
    <w:p>
      <w:pPr>
        <w:spacing w:after="100" w:line="360" w:lineRule="auto"/>
        <w:ind w:firstLine="420"/>
      </w:pPr>
      <w:r>
        <w:rPr>
          <w:rFonts w:ascii="Times New Roman" w:hAnsi="Times New Roman" w:eastAsia="宋体"/>
          <w:b w:val="0"/>
          <w:sz w:val="24"/>
        </w:rPr>
        <w:t>按照GB/T 46869—2025，GEP核算应依次完成核算区域与生态系统类型确定、生态产品清单确定、数据收集、实物量核算、价值量核算和总值汇总。正式核算前锁定自然年或明确核算期、行政边界版本、边界像元归属和水体范围；月度嵌入只用于状态表达、面积和覆盖比例空间分配，不能把月度状态简单累加为年度实物量。固碳按生态斑块或清查单元、洪水调蓄按子汇水区、局部气候调节按绿地斑块及影响范围计算；嵌入不替代生物量、蒸散发、径流或近地气温观测。</w:t>
      </w:r>
    </w:p>
    <w:p>
      <w:pPr>
        <w:spacing w:after="100" w:line="360" w:lineRule="auto"/>
        <w:ind w:firstLine="420"/>
      </w:pPr>
      <w:r>
        <w:rPr>
          <w:rFonts w:ascii="Times New Roman" w:hAnsi="Times New Roman" w:eastAsia="宋体"/>
          <w:b w:val="0"/>
          <w:sz w:val="24"/>
        </w:rPr>
        <w:t>首期重点建设三类服务模块。</w:t>
      </w:r>
    </w:p>
    <w:p>
      <w:pPr>
        <w:spacing w:after="100" w:line="360" w:lineRule="auto"/>
        <w:ind w:firstLine="420"/>
      </w:pPr>
      <w:r>
        <w:rPr>
          <w:rFonts w:ascii="Times New Roman" w:hAnsi="Times New Roman" w:eastAsia="宋体"/>
          <w:b w:val="0"/>
          <w:sz w:val="24"/>
        </w:rPr>
        <w:t>1. 固碳服务模块。实物量口径为固定二氧化碳量（tCO2/a）。以嵌入产品辅助植被类型、面积和空间分配，不把NPP直接等同于净碳汇。方法按GB/T 46869—2025附录A.7的优先顺序选用：具备相邻年份清查/复测资料时采用生物量法；具备长期本地参数时采用固碳速率法；具备异养呼吸或NPP—净生态系统生产力（NEP）转换资料时采用NEP法。各生态系统类型预先锁定一种主核算路径和相应的年度增量、年通量或长期速率独立验证对象；仅验证NPP或生物量时，不发布年度固定二氧化碳价值量。价值参数明确碳价或替代成本、适用年份、折算方法和版本。</w:t>
      </w:r>
    </w:p>
    <w:p>
      <w:pPr>
        <w:spacing w:after="100" w:line="360" w:lineRule="auto"/>
        <w:ind w:firstLine="420"/>
      </w:pPr>
      <w:r>
        <w:rPr>
          <w:rFonts w:ascii="Times New Roman" w:hAnsi="Times New Roman" w:eastAsia="宋体"/>
          <w:b w:val="0"/>
          <w:sz w:val="24"/>
        </w:rPr>
        <w:t>2. 洪水调蓄服务模块。正式试点量按照GB/T 46869—2025附录A.6核算植被、库区、湖泊、沼泽和水田等生态系统的洪水调蓄量及价值量，明确暴雨降水、暴雨径流量、生态系统面积和参数来源。城市生态覆盖增量雨洪效益采用子汇水区水量平衡和反事实方法单独分析，维持灰色基础设施不变，管网、泵站、调蓄池等工程容量单列并剥离；该补充结果不与标准核算量相加。年度水量按连续过程线或具代表性的事件序列计算并进行年度水量闭合，分别报告体积、峰值、峰现时间和淹没范围；资料不足时仅发布情景减排量，不发布正式年度调蓄价值。</w:t>
      </w:r>
    </w:p>
    <w:p>
      <w:pPr>
        <w:spacing w:after="100" w:line="360" w:lineRule="auto"/>
        <w:ind w:firstLine="420"/>
      </w:pPr>
      <w:r>
        <w:rPr>
          <w:rFonts w:ascii="Times New Roman" w:hAnsi="Times New Roman" w:eastAsia="宋体"/>
          <w:b w:val="0"/>
          <w:sz w:val="24"/>
        </w:rPr>
        <w:t>3. 局部气候调节模块。正式价值量按照GB/T 46869—2025附录A.11，以生态系统内外实测温差或蒸散发消耗能量为实物量口径。优先采用实测温差法；数据不足时采用蒸散发法，分别核算植被蒸腾、水面在空调降温期间的蒸发和加湿期间的蒸发，按标准规定的适用时段和参数处理。地表温度、近地气温、热暴露和建筑节能效益分列为补充观测或协同效益，不替代正式实物量和价值量；其空间化验证采用匹配的生态系统内外温湿度观测、对照样地和气象条件控制。</w:t>
      </w:r>
    </w:p>
    <w:p>
      <w:pPr>
        <w:spacing w:after="100" w:line="360" w:lineRule="auto"/>
        <w:ind w:firstLine="420"/>
      </w:pPr>
      <w:r>
        <w:rPr>
          <w:rFonts w:ascii="Times New Roman" w:hAnsi="Times New Roman" w:eastAsia="宋体"/>
          <w:b w:val="0"/>
          <w:sz w:val="24"/>
        </w:rPr>
        <w:t>每项服务均建立“供给区—受益对象—受益区—核算归属”表。跨街道、跨行政区和跨汇水区服务按预先确定的规则分摊；完整GEP汇总时单列区域外生态产品价值扣减，防止重复计量。</w:t>
      </w:r>
    </w:p>
    <w:p>
      <w:pPr>
        <w:spacing w:after="100" w:line="360" w:lineRule="auto"/>
        <w:ind w:firstLine="420"/>
      </w:pPr>
      <w:r>
        <w:rPr>
          <w:rFonts w:ascii="Times New Roman" w:hAnsi="Times New Roman" w:eastAsia="宋体"/>
          <w:b w:val="0"/>
          <w:sz w:val="24"/>
        </w:rPr>
        <w:t>查询与核算工具采用受约束流程：解析问题后调用注册的数据、嵌入、生态模型、标准参数和制图工具，输出专题图、统计表和文字结论，并返回方法、输入版本、适用条件和不确定性。验收冻结不少于100条测试问题清单，逐条记录用例编号、输入、预期行为（计算、拒答或降级）、必调工具、必备字段和审计记录编号；审计字段完整率应为100%，有工具支持的数值结论必须100%附带调用记录，缺失数据问题必须拒答或降级为定性说明。由生态核算责任人抽检不少于20条，在同一冻结输入、参数和舍入规则下复算并与原记录一致。</w:t>
      </w:r>
    </w:p>
    <w:p>
      <w:pPr>
        <w:spacing w:before="160" w:after="80"/>
      </w:pPr>
      <w:r>
        <w:rPr>
          <w:rFonts w:ascii="Times New Roman" w:hAnsi="Times New Roman" w:eastAsia="宋体"/>
          <w:b/>
          <w:sz w:val="24"/>
        </w:rPr>
        <w:t>4. 海淀区应用示范</w:t>
      </w:r>
    </w:p>
    <w:p>
      <w:pPr>
        <w:spacing w:after="100" w:line="360" w:lineRule="auto"/>
        <w:ind w:firstLine="420"/>
      </w:pPr>
      <w:r>
        <w:rPr>
          <w:rFonts w:ascii="Times New Roman" w:hAnsi="Times New Roman" w:eastAsia="宋体"/>
          <w:b w:val="0"/>
          <w:sz w:val="24"/>
        </w:rPr>
        <w:t>在海淀区开展示范，形成三层成果。</w:t>
      </w:r>
    </w:p>
    <w:p>
      <w:pPr>
        <w:spacing w:after="100" w:line="360" w:lineRule="auto"/>
        <w:ind w:firstLine="420"/>
      </w:pPr>
      <w:r>
        <w:rPr>
          <w:rFonts w:ascii="Times New Roman" w:hAnsi="Times New Roman" w:eastAsia="宋体"/>
          <w:b w:val="0"/>
          <w:sz w:val="24"/>
        </w:rPr>
        <w:t>1. 10米月度生态状态产品。展示植被、水体、绿地、不透水面、热环境和质量掩膜等空间信息，并保留相应月份和数据来源。</w:t>
      </w:r>
    </w:p>
    <w:p>
      <w:pPr>
        <w:spacing w:after="100" w:line="360" w:lineRule="auto"/>
        <w:ind w:firstLine="420"/>
      </w:pPr>
      <w:r>
        <w:rPr>
          <w:rFonts w:ascii="Times New Roman" w:hAnsi="Times New Roman" w:eastAsia="宋体"/>
          <w:b w:val="0"/>
          <w:sz w:val="24"/>
        </w:rPr>
        <w:t>2. 服务实物量产品。按生态斑块、子汇水区、绿地斑块及影响范围等过程单元计算固定二氧化碳、洪水调蓄和局部气候调节服务，再按街道或行政区进行汇总。</w:t>
      </w:r>
    </w:p>
    <w:p>
      <w:pPr>
        <w:spacing w:after="100" w:line="360" w:lineRule="auto"/>
        <w:ind w:firstLine="420"/>
      </w:pPr>
      <w:r>
        <w:rPr>
          <w:rFonts w:ascii="Times New Roman" w:hAnsi="Times New Roman" w:eastAsia="宋体"/>
          <w:b w:val="0"/>
          <w:sz w:val="24"/>
        </w:rPr>
        <w:t>3. GEP核算与决策产品。形成三类调节服务价值试点表、完整GEP生态产品清单草案、逐科目实物量—单位—价值量—单位—方法—数据来源附表、区域外价值扣减字段、参数台账和不确定性说明。对条件不足的服务项目明确列为“待补数据/待验证”，不纳入三类试点合计，更不纳入完整GEP总值。</w:t>
      </w:r>
    </w:p>
    <w:p>
      <w:pPr>
        <w:spacing w:before="280" w:after="160"/>
      </w:pPr>
      <w:r>
        <w:rPr>
          <w:rFonts w:ascii="Times New Roman" w:hAnsi="Times New Roman" w:eastAsia="宋体"/>
          <w:b/>
          <w:sz w:val="28"/>
        </w:rPr>
        <w:t>五、关键技术与技术路线</w:t>
      </w:r>
    </w:p>
    <w:p>
      <w:pPr>
        <w:spacing w:before="160" w:after="80"/>
      </w:pPr>
      <w:r>
        <w:rPr>
          <w:rFonts w:ascii="Times New Roman" w:hAnsi="Times New Roman" w:eastAsia="宋体"/>
          <w:b/>
          <w:sz w:val="24"/>
        </w:rPr>
        <w:t>1. 关键技术一：多源时空对齐与质量可追溯的10米生态证据构建</w:t>
      </w:r>
    </w:p>
    <w:p>
      <w:pPr>
        <w:spacing w:after="100" w:line="360" w:lineRule="auto"/>
        <w:ind w:firstLine="420"/>
      </w:pPr>
      <w:r>
        <w:rPr>
          <w:rFonts w:ascii="Times New Roman" w:hAnsi="Times New Roman" w:eastAsia="宋体"/>
          <w:b w:val="0"/>
          <w:sz w:val="24"/>
        </w:rPr>
        <w:t>建立统一空间参考、统一10米分析网格、传感器质量掩膜、时相匹配规则和数据血缘记录。该技术解决多源影像、生态辅助数据和统计资料在分辨率、时间和空间范围上的不一致问题。</w:t>
      </w:r>
    </w:p>
    <w:p>
      <w:pPr>
        <w:spacing w:before="160" w:after="80"/>
      </w:pPr>
      <w:r>
        <w:rPr>
          <w:rFonts w:ascii="Times New Roman" w:hAnsi="Times New Roman" w:eastAsia="宋体"/>
          <w:b/>
          <w:sz w:val="24"/>
        </w:rPr>
        <w:t>2. 关键技术二：月度地理嵌入与生态服务实物量协同反演</w:t>
      </w:r>
    </w:p>
    <w:p>
      <w:pPr>
        <w:spacing w:after="100" w:line="360" w:lineRule="auto"/>
        <w:ind w:firstLine="420"/>
      </w:pPr>
      <w:r>
        <w:rPr>
          <w:rFonts w:ascii="Times New Roman" w:hAnsi="Times New Roman" w:eastAsia="宋体"/>
          <w:b w:val="0"/>
          <w:sz w:val="24"/>
        </w:rPr>
        <w:t>采用基础模型、专题模型和生态过程模型协同的组合。嵌入用于地表状态、面积、覆盖比例和参数空间化；专题模型和标准过程方法负责实物量计算；价值量依据标准参数和台账完成核算。</w:t>
      </w:r>
    </w:p>
    <w:p>
      <w:pPr>
        <w:spacing w:before="160" w:after="80"/>
      </w:pPr>
      <w:r>
        <w:rPr>
          <w:rFonts w:ascii="Times New Roman" w:hAnsi="Times New Roman" w:eastAsia="宋体"/>
          <w:b/>
          <w:sz w:val="24"/>
        </w:rPr>
        <w:t>3. 关键技术三：标准约束和可追溯的GEP智能服务</w:t>
      </w:r>
    </w:p>
    <w:p>
      <w:pPr>
        <w:spacing w:after="100" w:line="360" w:lineRule="auto"/>
        <w:ind w:firstLine="420"/>
      </w:pPr>
      <w:r>
        <w:rPr>
          <w:rFonts w:ascii="Times New Roman" w:hAnsi="Times New Roman" w:eastAsia="宋体"/>
          <w:b w:val="0"/>
          <w:sz w:val="24"/>
        </w:rPr>
        <w:t>将GB/T 46869—2025的核算顺序、指标定义、输入要求、单位和价值参数版本纳入工具调用规则。每一次核算形成可审计记录，包括数据版本、模型版本、参数版本、空间范围、时间范围、结果及不确定性。</w:t>
      </w:r>
    </w:p>
    <w:p>
      <w:pPr>
        <w:spacing w:after="100" w:line="360" w:lineRule="auto"/>
        <w:ind w:firstLine="420"/>
      </w:pPr>
      <w:r>
        <w:rPr>
          <w:rFonts w:ascii="Times New Roman" w:hAnsi="Times New Roman" w:eastAsia="宋体"/>
          <w:b w:val="0"/>
          <w:sz w:val="24"/>
        </w:rPr>
        <w:t>技术路线如下：多源月度影像与生态辅助数据 → 质量控制、时间匹配和10米网格对齐 → 玄女月度地理嵌入与生态状态图 → 服务实物量模型与独立验证 → 标准化价值量核算 → 三类调节服务价值试点汇总、专题图和可追溯核算辅助工具。完整GEP汇总仅作为全部适用科目条件满足后的扩展成果。</w:t>
      </w:r>
    </w:p>
    <w:p>
      <w:pPr>
        <w:spacing w:before="280" w:after="160"/>
      </w:pPr>
      <w:r>
        <w:rPr>
          <w:rFonts w:ascii="Times New Roman" w:hAnsi="Times New Roman" w:eastAsia="宋体"/>
          <w:b/>
          <w:sz w:val="28"/>
        </w:rPr>
        <w:t>六、创新点</w:t>
      </w:r>
    </w:p>
    <w:p>
      <w:pPr>
        <w:spacing w:before="160" w:after="80"/>
      </w:pPr>
      <w:r>
        <w:rPr>
          <w:rFonts w:ascii="Times New Roman" w:hAnsi="Times New Roman" w:eastAsia="宋体"/>
          <w:b/>
          <w:sz w:val="24"/>
        </w:rPr>
        <w:t>1. 10米月度生态证据层与标准核算链条衔接</w:t>
      </w:r>
    </w:p>
    <w:p>
      <w:pPr>
        <w:spacing w:after="100" w:line="360" w:lineRule="auto"/>
        <w:ind w:firstLine="420"/>
      </w:pPr>
      <w:r>
        <w:rPr>
          <w:rFonts w:ascii="Times New Roman" w:hAnsi="Times New Roman" w:eastAsia="宋体"/>
          <w:b w:val="0"/>
          <w:sz w:val="24"/>
        </w:rPr>
        <w:t>将玄女稠密月度地理嵌入作为生态状态证据层，服务于生态系统类型、植被、水体、不透水面和热环境等精细空间表达；同时保持GEP实物量和价值量核算遵循标准与过程模型，不混淆“表征分辨率”和“核算口径”。该项属于应用与工程创新，不把10米嵌入误述为10米原始生态观测。</w:t>
      </w:r>
    </w:p>
    <w:p>
      <w:pPr>
        <w:spacing w:before="160" w:after="80"/>
      </w:pPr>
      <w:r>
        <w:rPr>
          <w:rFonts w:ascii="Times New Roman" w:hAnsi="Times New Roman" w:eastAsia="宋体"/>
          <w:b/>
          <w:sz w:val="24"/>
        </w:rPr>
        <w:t>2. 面向生态过程的可复用嵌入适配方式</w:t>
      </w:r>
    </w:p>
    <w:p>
      <w:pPr>
        <w:spacing w:after="100" w:line="360" w:lineRule="auto"/>
        <w:ind w:firstLine="420"/>
      </w:pPr>
      <w:r>
        <w:rPr>
          <w:rFonts w:ascii="Times New Roman" w:hAnsi="Times New Roman" w:eastAsia="宋体"/>
          <w:b w:val="0"/>
          <w:sz w:val="24"/>
        </w:rPr>
        <w:t>在通用多源遥感表征基础上，加入质量感知、地形和气象等生态辅助信息，研究“基础模型、生态适配器、服务轻量头和过程模型”协同方式。通过与仅使用原始影像、仅使用嵌入轻量头和全监督任务模型的对比分析，检验生态适配器、质量信息和过程约束的实际贡献。</w:t>
      </w:r>
    </w:p>
    <w:p>
      <w:pPr>
        <w:spacing w:before="160" w:after="80"/>
      </w:pPr>
      <w:r>
        <w:rPr>
          <w:rFonts w:ascii="Times New Roman" w:hAnsi="Times New Roman" w:eastAsia="宋体"/>
          <w:b/>
          <w:sz w:val="24"/>
        </w:rPr>
        <w:t>3. 面向核算审计的受约束查询与核算工具</w:t>
      </w:r>
    </w:p>
    <w:p>
      <w:pPr>
        <w:spacing w:after="100" w:line="360" w:lineRule="auto"/>
        <w:ind w:firstLine="420"/>
      </w:pPr>
      <w:r>
        <w:rPr>
          <w:rFonts w:ascii="Times New Roman" w:hAnsi="Times New Roman" w:eastAsia="宋体"/>
          <w:b w:val="0"/>
          <w:sz w:val="24"/>
        </w:rPr>
        <w:t>将数据、模型、参数和标准条款注册为可调用工具，形成“问—查—算—验—答”的受约束流程；每项结论可追溯、可复算，并能明确表达缺失数据和不确定性。</w:t>
      </w:r>
    </w:p>
    <w:p>
      <w:pPr>
        <w:spacing w:before="280" w:after="160"/>
      </w:pPr>
      <w:r>
        <w:rPr>
          <w:rFonts w:ascii="Times New Roman" w:hAnsi="Times New Roman" w:eastAsia="宋体"/>
          <w:b/>
          <w:sz w:val="28"/>
        </w:rPr>
        <w:t>七、预期成果、考核指标与成果转化</w:t>
      </w:r>
    </w:p>
    <w:p>
      <w:pPr>
        <w:spacing w:before="160" w:after="80"/>
      </w:pPr>
      <w:r>
        <w:rPr>
          <w:rFonts w:ascii="Times New Roman" w:hAnsi="Times New Roman" w:eastAsia="宋体"/>
          <w:b/>
          <w:sz w:val="24"/>
        </w:rPr>
        <w:t>1. 预期成果</w:t>
      </w:r>
    </w:p>
    <w:p>
      <w:pPr>
        <w:spacing w:after="100" w:line="360" w:lineRule="auto"/>
        <w:ind w:firstLine="420"/>
      </w:pPr>
      <w:r>
        <w:rPr>
          <w:rFonts w:ascii="Times New Roman" w:hAnsi="Times New Roman" w:eastAsia="宋体"/>
          <w:b w:val="0"/>
          <w:sz w:val="24"/>
        </w:rPr>
        <w:t>1. 海淀区名义10米等效分析网格的月度地表状态产品和数据字典，包括嵌入、质量掩膜、生态状态图和数据血缘信息。现有生产结果作为基线；逐样本单元、逐月质量元数据和生态状态图为本项目新增交付。</w:t>
      </w:r>
    </w:p>
    <w:p>
      <w:pPr>
        <w:spacing w:after="100" w:line="360" w:lineRule="auto"/>
        <w:ind w:firstLine="420"/>
      </w:pPr>
      <w:r>
        <w:rPr>
          <w:rFonts w:ascii="Times New Roman" w:hAnsi="Times New Roman" w:eastAsia="宋体"/>
          <w:b w:val="0"/>
          <w:sz w:val="24"/>
        </w:rPr>
        <w:t>2. 海淀区GEP样本库与核算数据台账，包括月度观测、生态状态、服务实物量资料和价值参数四类数据。</w:t>
      </w:r>
    </w:p>
    <w:p>
      <w:pPr>
        <w:spacing w:after="100" w:line="360" w:lineRule="auto"/>
        <w:ind w:firstLine="420"/>
      </w:pPr>
      <w:r>
        <w:rPr>
          <w:rFonts w:ascii="Times New Roman" w:hAnsi="Times New Roman" w:eastAsia="宋体"/>
          <w:b w:val="0"/>
          <w:sz w:val="24"/>
        </w:rPr>
        <w:t>3. 固定二氧化碳、洪水调蓄、局部气候调节三类服务的实物量反演及价值量核算原型，成果名称为“三类调节服务价值试点”；扩展服务的纳入条件、数据缺口和验证报告。</w:t>
      </w:r>
    </w:p>
    <w:p>
      <w:pPr>
        <w:spacing w:after="100" w:line="360" w:lineRule="auto"/>
        <w:ind w:firstLine="420"/>
      </w:pPr>
      <w:r>
        <w:rPr>
          <w:rFonts w:ascii="Times New Roman" w:hAnsi="Times New Roman" w:eastAsia="宋体"/>
          <w:b w:val="0"/>
          <w:sz w:val="24"/>
        </w:rPr>
        <w:t>4. 三类调节服务价值试点核算辅助工具，提供数据查询、模型运行、结果制图、试点报告导出和审计记录能力。</w:t>
      </w:r>
    </w:p>
    <w:p>
      <w:pPr>
        <w:spacing w:after="100" w:line="360" w:lineRule="auto"/>
        <w:ind w:firstLine="420"/>
      </w:pPr>
      <w:r>
        <w:rPr>
          <w:rFonts w:ascii="Times New Roman" w:hAnsi="Times New Roman" w:eastAsia="宋体"/>
          <w:b w:val="0"/>
          <w:sz w:val="24"/>
        </w:rPr>
        <w:t>5. 海淀区应用示范报告，包含生态产品清单草案、三类试点实物量与价值量、区域外价值扣减规则、不确定性和方法说明。完整GEP总值仅在全部适用科目满足标准数据与验证条件时另行核算。</w:t>
      </w:r>
    </w:p>
    <w:p>
      <w:pPr>
        <w:spacing w:before="160" w:after="80"/>
      </w:pPr>
      <w:r>
        <w:rPr>
          <w:rFonts w:ascii="Times New Roman" w:hAnsi="Times New Roman" w:eastAsia="宋体"/>
          <w:b/>
          <w:sz w:val="24"/>
        </w:rPr>
        <w:t>2. 评价原则</w:t>
      </w:r>
    </w:p>
    <w:p>
      <w:pPr>
        <w:spacing w:after="100" w:line="360" w:lineRule="auto"/>
        <w:ind w:firstLine="420"/>
      </w:pPr>
      <w:r>
        <w:rPr>
          <w:rFonts w:ascii="Times New Roman" w:hAnsi="Times New Roman" w:eastAsia="宋体"/>
          <w:b w:val="0"/>
          <w:sz w:val="24"/>
        </w:rPr>
        <w:t>所有成果的空间分辨率、时间范围、资料来源、模型版本和适用条件应在产品说明中明确。立项后第2个月完成并冻结《核算边界、样本与验收方案》：分类产品按不少于5个空间块进行留出评价；连续变量按独立站点/样地和时间留出评价；洪水调蓄按预先选定的降雨事件或年度径流资料评价。每项服务均明确验证数据、校准/评价隔离、基线方法、合格判定、不确定性来源和复核责任。分类、连续变量和水文过程分别采用对应指标，不以单一R²或单一总体精度替代全过程评价。</w:t>
      </w:r>
    </w:p>
    <w:p>
      <w:pPr>
        <w:spacing w:after="100" w:line="360" w:lineRule="auto"/>
        <w:ind w:firstLine="420"/>
      </w:pPr>
      <w:r>
        <w:rPr>
          <w:rFonts w:ascii="Times New Roman" w:hAnsi="Times New Roman" w:eastAsia="宋体"/>
          <w:b w:val="0"/>
          <w:sz w:val="24"/>
        </w:rPr>
        <w:t>本技术试点的最低通过线固定如下。生态系统分类总体精度不低于0.80、各基本生态系统类别F1不低于0.60，罕见类别单列样本量与置信区间。固定二氧化碳服务以年度增量、年通量或长期固碳速率为独立验证对象，每类主要生态系统不少于30条独立记录，R²不低于0.50、绝对相对偏差不高于20%。局部气候调节服务以与正式核算路径一致的温湿度或蒸散发资料为独立验证对象，不少于30条独立记录，R²不低于0.50、绝对相对偏差不高于20%。洪水调蓄服务在不少于2个代表性子汇水区开展验证，每个子汇水区不少于5场具有连续过程线的独立降雨事件，事件径流模拟NSE不低于0.50、绝对PBIAS不高于20%，并通过年度水量闭合检查。逐项价值量在同一冻结输入、参数和舍入规则下由独立复核人员复算，差异不高于1%，该指标仅反映计算复现性。任一核心服务未达到其登记门槛，只能以“方法验证结果”呈现，不得作为正式价值试点成果。</w:t>
      </w:r>
    </w:p>
    <w:p>
      <w:pPr>
        <w:spacing w:after="100" w:line="360" w:lineRule="auto"/>
        <w:ind w:firstLine="420"/>
      </w:pPr>
      <w:r>
        <w:rPr>
          <w:rFonts w:ascii="Times New Roman" w:hAnsi="Times New Roman" w:eastAsia="宋体"/>
          <w:b w:val="0"/>
          <w:sz w:val="24"/>
        </w:rPr>
        <w:t>不确定性采用参数、驱动数据、土地覆盖、时相缺失和价值参数的情景分析或蒙特卡洛抽样；默认不少于1,000次，或以区间收敛诊断证明较少抽样次数充分，并保留随机种子、分布假设、参数相关性和空间相关性处理方法。分别报告三项服务实物量、价值量和试点合计的95%区间及主导敏感因子。完整GEP尚未满足条件时，不输出“完整GEP总值区间”。</w:t>
      </w:r>
    </w:p>
    <w:p>
      <w:pPr>
        <w:spacing w:before="160" w:after="80"/>
      </w:pPr>
      <w:r>
        <w:rPr>
          <w:rFonts w:ascii="Times New Roman" w:hAnsi="Times New Roman" w:eastAsia="宋体"/>
          <w:b/>
          <w:sz w:val="24"/>
        </w:rPr>
        <w:t>3. 成果转化路径</w:t>
      </w:r>
    </w:p>
    <w:p>
      <w:pPr>
        <w:spacing w:after="100" w:line="360" w:lineRule="auto"/>
        <w:ind w:firstLine="420"/>
      </w:pPr>
      <w:r>
        <w:rPr>
          <w:rFonts w:ascii="Times New Roman" w:hAnsi="Times New Roman" w:eastAsia="宋体"/>
          <w:b w:val="0"/>
          <w:sz w:val="24"/>
        </w:rPr>
        <w:t>项目成果首先服务于海淀区生态空间精细化监测、生态保护成效评估和GEP核算辅助工作。成熟后，可将数据对齐规范、服务模型组件、核算参数台账和工具接口封装为可部署组件，推广至其他城区或生态功能区。任何跨区域应用均需重新核验生态类型、参数适用性、数据可得性和独立验证资料。</w:t>
      </w:r>
    </w:p>
    <w:p>
      <w:pPr>
        <w:spacing w:before="280" w:after="160"/>
      </w:pPr>
      <w:r>
        <w:rPr>
          <w:rFonts w:ascii="Times New Roman" w:hAnsi="Times New Roman" w:eastAsia="宋体"/>
          <w:b/>
          <w:sz w:val="28"/>
        </w:rPr>
        <w:t>八、现有工作基础与待补条件</w:t>
      </w:r>
    </w:p>
    <w:p>
      <w:pPr>
        <w:spacing w:before="160" w:after="80"/>
      </w:pPr>
      <w:r>
        <w:rPr>
          <w:rFonts w:ascii="Times New Roman" w:hAnsi="Times New Roman" w:eastAsia="宋体"/>
          <w:b/>
          <w:sz w:val="24"/>
        </w:rPr>
        <w:t>1. 已有基础</w:t>
      </w:r>
    </w:p>
    <w:p>
      <w:pPr>
        <w:spacing w:after="100" w:line="360" w:lineRule="auto"/>
        <w:ind w:firstLine="420"/>
      </w:pPr>
      <w:r>
        <w:rPr>
          <w:rFonts w:ascii="Times New Roman" w:hAnsi="Times New Roman" w:eastAsia="宋体"/>
          <w:b w:val="0"/>
          <w:sz w:val="24"/>
        </w:rPr>
        <w:t>玄女海淀现有生产模型已形成月度多源遥感嵌入能力：输入由Sentinel-2、Sentinel-1、Landsat、高分光学和高分SAR等组成；在2025年12月至2026年5月、320个1,280米×1,280米样本单元内输出128×128×64的名义10米等效分析网格。现有建筑、道路、水体结果使用与预训练开放地图弱语义同源的二值标签，属于同源弱标签下的内部可分性和快速制图验证；其只能说明模型对这些开放地图定义类别具有可用表征，不构成独立人工真值、生态状态分类、生态服务反演或GEP核算精度的证据。</w:t>
      </w:r>
    </w:p>
    <w:p>
      <w:pPr>
        <w:spacing w:before="160" w:after="80"/>
      </w:pPr>
      <w:r>
        <w:rPr>
          <w:rFonts w:ascii="Times New Roman" w:hAnsi="Times New Roman" w:eastAsia="宋体"/>
          <w:b/>
          <w:sz w:val="24"/>
        </w:rPr>
        <w:t>2. 待补条件</w:t>
      </w:r>
    </w:p>
    <w:p>
      <w:pPr>
        <w:spacing w:after="100" w:line="360" w:lineRule="auto"/>
        <w:ind w:firstLine="420"/>
      </w:pPr>
      <w:r>
        <w:rPr>
          <w:rFonts w:ascii="Times New Roman" w:hAnsi="Times New Roman" w:eastAsia="宋体"/>
          <w:b w:val="0"/>
          <w:sz w:val="24"/>
        </w:rPr>
        <w:t>项目启动前需完成生态辅助资料和验证资料清单。重点包括气象驱动、DEM与坡度、土壤、水文与排水单元、水质或污染源资料、地表温度、NPP/生物量参考资料、样地/监测站资料、统计年鉴和价值参数。资料到位前，不应承诺相应服务的正式核算精度或价值总量。</w:t>
      </w:r>
    </w:p>
    <w:p>
      <w:pPr>
        <w:spacing w:before="280" w:after="160"/>
      </w:pPr>
      <w:r>
        <w:rPr>
          <w:rFonts w:ascii="Times New Roman" w:hAnsi="Times New Roman" w:eastAsia="宋体"/>
          <w:b/>
          <w:sz w:val="28"/>
        </w:rPr>
        <w:t>九、实施安排</w:t>
      </w:r>
    </w:p>
    <w:p>
      <w:pPr>
        <w:spacing w:before="160" w:after="80"/>
      </w:pPr>
      <w:r>
        <w:rPr>
          <w:rFonts w:ascii="Times New Roman" w:hAnsi="Times New Roman" w:eastAsia="宋体"/>
          <w:b/>
          <w:sz w:val="24"/>
        </w:rPr>
        <w:t>1. 第一阶段：数据、边界与核算口径确认（第1—2个月）</w:t>
      </w:r>
    </w:p>
    <w:p>
      <w:pPr>
        <w:spacing w:after="100" w:line="360" w:lineRule="auto"/>
        <w:ind w:firstLine="420"/>
      </w:pPr>
      <w:r>
        <w:rPr>
          <w:rFonts w:ascii="Times New Roman" w:hAnsi="Times New Roman" w:eastAsia="宋体"/>
          <w:b w:val="0"/>
          <w:sz w:val="24"/>
        </w:rPr>
        <w:t>锁定核算基准年/核算期、海淀区行政边界版本、边界像元归属、生态系统分类、服务清单、数据来源、名义10米等效分析网格和质量控制规则；完成《核算边界、样本与验收方案》。若关键气象、水文、生态监测或价格资料无法取得，由项目管理方书面决定补充数据或同步调整服务范围、成果、指标和经费；不得以未经验证的价值量替代交付。</w:t>
      </w:r>
    </w:p>
    <w:p>
      <w:pPr>
        <w:spacing w:before="160" w:after="80"/>
      </w:pPr>
      <w:r>
        <w:rPr>
          <w:rFonts w:ascii="Times New Roman" w:hAnsi="Times New Roman" w:eastAsia="宋体"/>
          <w:b/>
          <w:sz w:val="24"/>
        </w:rPr>
        <w:t>2. 第二阶段：生态证据与服务实物量模型开发（第3—12个月）</w:t>
      </w:r>
    </w:p>
    <w:p>
      <w:pPr>
        <w:spacing w:after="100" w:line="360" w:lineRule="auto"/>
        <w:ind w:firstLine="420"/>
      </w:pPr>
      <w:r>
        <w:rPr>
          <w:rFonts w:ascii="Times New Roman" w:hAnsi="Times New Roman" w:eastAsia="宋体"/>
          <w:b w:val="0"/>
          <w:sz w:val="24"/>
        </w:rPr>
        <w:t>完成月度生态证据产品包、按目标月匹配的高分融合改造、生态分类与数据台账；研发固定二氧化碳、洪水调蓄和局部气候调节模块，完成原始影像、嵌入和过程模型的对比及空间分块、时间留出验证。</w:t>
      </w:r>
    </w:p>
    <w:p>
      <w:pPr>
        <w:spacing w:before="160" w:after="80"/>
      </w:pPr>
      <w:r>
        <w:rPr>
          <w:rFonts w:ascii="Times New Roman" w:hAnsi="Times New Roman" w:eastAsia="宋体"/>
          <w:b/>
          <w:sz w:val="24"/>
        </w:rPr>
        <w:t>3. 第三阶段：价值量试点与可信服务原型（第13—18个月）</w:t>
      </w:r>
    </w:p>
    <w:p>
      <w:pPr>
        <w:spacing w:after="100" w:line="360" w:lineRule="auto"/>
        <w:ind w:firstLine="420"/>
      </w:pPr>
      <w:r>
        <w:rPr>
          <w:rFonts w:ascii="Times New Roman" w:hAnsi="Times New Roman" w:eastAsia="宋体"/>
          <w:b w:val="0"/>
          <w:sz w:val="24"/>
        </w:rPr>
        <w:t>完成三类服务的参数本地化、价值量计算、受益边界和区域外价值扣减规则；生成按标准附录D、E字段组织的三服务试点报告与附表草案，明确其不是完整GEP正式核算报告；构建可追溯问答原型。</w:t>
      </w:r>
    </w:p>
    <w:p>
      <w:pPr>
        <w:spacing w:before="160" w:after="80"/>
      </w:pPr>
      <w:r>
        <w:rPr>
          <w:rFonts w:ascii="Times New Roman" w:hAnsi="Times New Roman" w:eastAsia="宋体"/>
          <w:b/>
          <w:sz w:val="24"/>
        </w:rPr>
        <w:t>4. 第四阶段：示范验收与成果固化（第19—24个月）</w:t>
      </w:r>
    </w:p>
    <w:p>
      <w:pPr>
        <w:spacing w:after="100" w:line="360" w:lineRule="auto"/>
        <w:ind w:firstLine="420"/>
      </w:pPr>
      <w:r>
        <w:rPr>
          <w:rFonts w:ascii="Times New Roman" w:hAnsi="Times New Roman" w:eastAsia="宋体"/>
          <w:b w:val="0"/>
          <w:sz w:val="24"/>
        </w:rPr>
        <w:t>完成独立复核、不确定性与敏感性分析、示范专题图、数据字典、方法报告和部署文档。项目负责人、数据工程、生态核算、模型研发和平台研发的具体人员及经费由申报单位在正式表格中补充，不在本技术稿中虚构。</w:t>
      </w:r>
    </w:p>
    <w:p>
      <w:pPr>
        <w:spacing w:before="280" w:after="160"/>
      </w:pPr>
      <w:r>
        <w:rPr>
          <w:rFonts w:ascii="Times New Roman" w:hAnsi="Times New Roman" w:eastAsia="宋体"/>
          <w:b/>
          <w:sz w:val="28"/>
        </w:rPr>
        <w:t>十、参考依据</w:t>
      </w:r>
    </w:p>
    <w:p>
      <w:pPr>
        <w:spacing w:after="100" w:line="360" w:lineRule="auto"/>
        <w:ind w:firstLine="420"/>
      </w:pPr>
      <w:r>
        <w:rPr>
          <w:rFonts w:ascii="Times New Roman" w:hAnsi="Times New Roman" w:eastAsia="宋体"/>
          <w:b w:val="0"/>
          <w:sz w:val="24"/>
        </w:rPr>
        <w:t>1. 国家市场监督管理总局、国家标准化管理委员会。GB/T 46869—2025《生态系统评估 陆域生态产品总值核算技术指南》：https://openstd.samr.gov.cn/bzgk/std/newGbInfo?hcno=C1F1C28ADBFD8337DE86C70BD1480613</w:t>
      </w:r>
    </w:p>
    <w:p>
      <w:pPr>
        <w:spacing w:after="100" w:line="360" w:lineRule="auto"/>
        <w:ind w:firstLine="420"/>
      </w:pPr>
      <w:r>
        <w:rPr>
          <w:rFonts w:ascii="Times New Roman" w:hAnsi="Times New Roman" w:eastAsia="宋体"/>
          <w:b w:val="0"/>
          <w:sz w:val="24"/>
        </w:rPr>
        <w:t>2. Ouyang Z. et al. Gross ecosystem product: concept, accounting framework and case study. Proceedings of the National Academy of Sciences, 2020：https://pmc.ncbi.nlm.nih.gov/articles/PMC7322027/</w:t>
      </w:r>
    </w:p>
    <w:p>
      <w:pPr>
        <w:spacing w:after="100" w:line="360" w:lineRule="auto"/>
        <w:ind w:firstLine="420"/>
      </w:pPr>
      <w:r>
        <w:rPr>
          <w:rFonts w:ascii="Times New Roman" w:hAnsi="Times New Roman" w:eastAsia="宋体"/>
          <w:b w:val="0"/>
          <w:sz w:val="24"/>
        </w:rPr>
        <w:t>3. Natural Capital Project. InVEST User Guide, Sediment Delivery Ratio model：https://storage.googleapis.com/releases.naturalcapitalproject.org/invest-userguide/latest/en/sdr.html</w:t>
      </w:r>
    </w:p>
    <w:p>
      <w:pPr>
        <w:spacing w:after="100" w:line="360" w:lineRule="auto"/>
        <w:ind w:firstLine="420"/>
      </w:pPr>
      <w:r>
        <w:rPr>
          <w:rFonts w:ascii="Times New Roman" w:hAnsi="Times New Roman" w:eastAsia="宋体"/>
          <w:b w:val="0"/>
          <w:sz w:val="24"/>
        </w:rPr>
        <w:t>4. Potter C. S. et al. Terrestrial ecosystem production: A process model based on global satellite and surface data. Global Biogeochemical Cycles, 1993：https://doi.org/10.1029/93GB02725</w:t>
      </w:r>
    </w:p>
    <w:p>
      <w:pPr>
        <w:spacing w:after="100" w:line="360" w:lineRule="auto"/>
        <w:ind w:firstLine="420"/>
      </w:pPr>
      <w:r>
        <w:rPr>
          <w:rFonts w:ascii="Times New Roman" w:hAnsi="Times New Roman" w:eastAsia="宋体"/>
          <w:b w:val="0"/>
          <w:sz w:val="24"/>
        </w:rPr>
        <w:t>5. 玄女项目长期记忆与生产模型卡：docs/agent_memory/haidian_embedding_project_memory.md；docs/production/haidian_model_card.md。</w:t>
      </w:r>
    </w:p>
    <w:sectPr w:rsidR="00FC693F" w:rsidRPr="0006063C" w:rsidSect="00034616">
      <w:footerReference w:type="default" r:id="rId9"/>
      <w:pgSz w:w="12240" w:h="15840"/>
      <w:pgMar w:top="1440" w:right="1531" w:bottom="1440" w:left="1531"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海淀区GEP核算与智能服务关键技术研究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