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宋体"/>
          <w:b/>
          <w:sz w:val="32"/>
        </w:rPr>
        <w:t>中国版 Alpha Earth 全国采样方案</w:t>
      </w:r>
    </w:p>
    <w:p>
      <w:pPr>
        <w:ind w:left="397" w:right="397"/>
      </w:pPr>
      <w:r>
        <w:rPr>
          <w:rFonts w:ascii="Times New Roman" w:hAnsi="Times New Roman" w:cs="Times New Roman" w:eastAsia="宋体"/>
          <w:b/>
          <w:sz w:val="24"/>
        </w:rPr>
        <w:t>一句话结论：</w:t>
      </w:r>
      <w:r>
        <w:rPr>
          <w:rFonts w:ascii="Times New Roman" w:hAnsi="Times New Roman" w:cs="Times New Roman" w:eastAsia="宋体"/>
          <w:sz w:val="24"/>
        </w:rPr>
        <w:t xml:space="preserve"> 2020 年和 2021 年八期季度嵌入共用一套 </w:t>
      </w:r>
      <w:r>
        <w:rPr>
          <w:rFonts w:ascii="Times New Roman" w:hAnsi="Times New Roman" w:cs="Times New Roman" w:eastAsia="宋体"/>
          <w:b/>
          <w:sz w:val="24"/>
        </w:rPr>
        <w:t>62,000 个</w:t>
      </w:r>
      <w:r>
        <w:rPr>
          <w:rFonts w:ascii="Times New Roman" w:hAnsi="Times New Roman" w:cs="Times New Roman" w:eastAsia="宋体"/>
          <w:sz w:val="24"/>
        </w:rPr>
        <w:t xml:space="preserve"> 空间 patch 的训练骨架。样本由 57,405 个全国基础 1% 样本、2,595 个空间 均衡样本、500 个海岸样本和 1,500 个城市/稀有地物/困难区域样本组成。 每个 patch 为 1,280 m × 1,280 m，模型输出为 128 × 128 × 64。</w:t>
      </w:r>
    </w:p>
    <w:p>
      <w:r>
        <w:rPr>
          <w:rFonts w:ascii="Times New Roman" w:hAnsi="Times New Roman" w:cs="Times New Roman" w:eastAsia="宋体"/>
          <w:sz w:val="24"/>
        </w:rPr>
        <w:t>版本：2026-07-26 适用产品：2020Q1--2021Q4 全国季度 10 米、64 维地理嵌入 参考文件：《中国版 Alpha Earth：国家级地球嵌入建设方案（现有资源）》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sz w:val="28"/>
        </w:rPr>
        <w:t>一、方案目标</w:t>
      </w:r>
    </w:p>
    <w:p>
      <w:r>
        <w:rPr>
          <w:rFonts w:ascii="Times New Roman" w:hAnsi="Times New Roman" w:cs="Times New Roman" w:eastAsia="宋体"/>
          <w:sz w:val="24"/>
        </w:rPr>
        <w:t>本方案解决两个问题：全国训练样本从哪里取，以及同一套样本怎样支持 2020 年 和 2021 年八个季度的多源训练。</w:t>
      </w:r>
    </w:p>
    <w:p>
      <w:r>
        <w:rPr>
          <w:rFonts w:ascii="Times New Roman" w:hAnsi="Times New Roman" w:cs="Times New Roman" w:eastAsia="宋体"/>
          <w:sz w:val="24"/>
        </w:rPr>
        <w:t>全国陆地完整覆盖约有 586 万个 1,280 米 patch。首版不把全国所有 patch 都 送入训练，而是建立一套约占全国 1.06% 的代表性空间样本。采样首先保证全国 均匀覆盖，再补充容易被均匀采样漏掉的海岸、城市、稀有自然地物、基础设施和 困难观测区。</w:t>
      </w:r>
    </w:p>
    <w:p>
      <w:r>
        <w:rPr>
          <w:rFonts w:ascii="Times New Roman" w:hAnsi="Times New Roman" w:cs="Times New Roman" w:eastAsia="宋体"/>
          <w:sz w:val="24"/>
        </w:rPr>
        <w:t>这 62,000 个位置是固定的空间骨架。Sentinel-2、Sentinel-1、Landsat 和其他 可用数据按相同位置分别整理 2020Q1 至 2021Q4 的季度观测。这样可以同时控制 数据规模、保持全国代表性，并保证八期嵌入在空间上可以直接比较。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sz w:val="28"/>
        </w:rPr>
        <w:t>二、最终样本组成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样本层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占最终样本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主要作用</w:t>
            </w:r>
          </w:p>
        </w:tc>
      </w:tr>
      <w:tr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全国基础 1% 空间样本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57,405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92.59%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建立覆盖全国陆地的空间骨架</w:t>
            </w:r>
          </w:p>
        </w:tc>
      </w:tr>
      <w:tr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UTM 空间均衡补样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2,595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4.19%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补足面积较小或边界复杂的空间分区</w:t>
            </w:r>
          </w:p>
        </w:tc>
      </w:tr>
      <w:tr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海岸线补样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500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0.81%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学习海岸、港口、滩涂、河口和近海水体</w:t>
            </w:r>
          </w:p>
        </w:tc>
      </w:tr>
      <w:tr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城市、稀有地物和困难区域补样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1,500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2.42%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加强低频语义和复杂观测条件</w:t>
            </w:r>
          </w:p>
        </w:tc>
      </w:tr>
      <w:tr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合计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62,000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100%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约占全国完整网格的 1.06%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84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ing_composition_and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8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宋体"/>
          <w:b/>
          <w:sz w:val="24"/>
        </w:rPr>
        <w:t>图 1  62,000 点采样组成与执行流程。</w:t>
      </w:r>
      <w:r>
        <w:rPr>
          <w:rFonts w:ascii="Times New Roman" w:hAnsi="Times New Roman" w:cs="Times New Roman" w:eastAsia="宋体"/>
          <w:sz w:val="24"/>
        </w:rPr>
        <w:t xml:space="preserve"> 上图表示四层样本的数量构成；下图 表示从全国规则网格、基础抽样、三类补样、质量审计到最终注册表的执行顺序。 补样只增加新 patch，不删除或替换已经选中的基础样本。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sz w:val="28"/>
        </w:rPr>
        <w:t>三、全国基础 1% 空间抽样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sz w:val="24"/>
        </w:rPr>
        <w:t>1. 建立全国规则网格</w:t>
      </w:r>
    </w:p>
    <w:p>
      <w:r>
        <w:rPr>
          <w:rFonts w:ascii="Times New Roman" w:hAnsi="Times New Roman" w:cs="Times New Roman" w:eastAsia="宋体"/>
          <w:sz w:val="24"/>
        </w:rPr>
        <w:t>全国陆地按照 UTM 分区建立米制规则网格。每个 patch 的边长为 1,280 米，对应 128 × 128 个 10 米像素，面积为 1.6384 平方千米。</w:t>
      </w:r>
    </w:p>
    <w:p>
      <w:pPr>
        <w:ind w:left="454" w:right="454"/>
      </w:pPr>
      <w:r>
        <w:rPr>
          <w:rFonts w:ascii="Times New Roman" w:hAnsi="Times New Roman" w:cs="Times New Roman" w:eastAsia="宋体"/>
          <w:sz w:val="21"/>
        </w:rPr>
        <w:t>中国陆地面积约 9,600,000 km²</w:t>
        <w:br/>
        <w:t>单个 patch 面积 = 1.28 km × 1.28 km = 1.6384 km²</w:t>
        <w:br/>
        <w:t>全国完整覆盖 patch 数约 = 9,600,000 / 1.6384 = 5,859,375</w:t>
      </w:r>
    </w:p>
    <w:p>
      <w:r>
        <w:rPr>
          <w:rFonts w:ascii="Times New Roman" w:hAnsi="Times New Roman" w:cs="Times New Roman" w:eastAsia="宋体"/>
          <w:sz w:val="24"/>
        </w:rPr>
        <w:t>每个 UTM 分区必须固定投影、网格原点和网格版本。位于分区交界处的 patch 只 保留一个归属，防止重复。patch 中心必须位于项目冻结的中国研究边界内，并保存 WGS84 和 UTM 两套范围。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sz w:val="24"/>
        </w:rPr>
        <w:t>2. 组成 10 × 10 宏网格</w:t>
      </w:r>
    </w:p>
    <w:p>
      <w:r>
        <w:rPr>
          <w:rFonts w:ascii="Times New Roman" w:hAnsi="Times New Roman" w:cs="Times New Roman" w:eastAsia="宋体"/>
          <w:sz w:val="24"/>
        </w:rPr>
        <w:t>相邻 10 × 10 个 patch 组成一个宏网格。完整宏网格包含 100 个候选 patch， 物理范围约为 12.8 km × 12.8 km。每个完整宏网格期望选取一个 patch，因此 全国空间入选概率约为 1%。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sz w:val="24"/>
        </w:rPr>
        <w:t>3. 使用固定哈希选择</w:t>
      </w:r>
    </w:p>
    <w:p>
      <w:r>
        <w:rPr>
          <w:rFonts w:ascii="Times New Roman" w:hAnsi="Times New Roman" w:cs="Times New Roman" w:eastAsia="宋体"/>
          <w:sz w:val="24"/>
        </w:rPr>
        <w:t>采样不依赖文件排列顺序。每个候选 patch 使用固定随机种子、宏网格 ID 和 patch ID 计算 SHA-256 哈希，按哈希值排序，选取排名第一的有效 patch。</w:t>
      </w:r>
    </w:p>
    <w:p>
      <w:r>
        <w:rPr>
          <w:rFonts w:ascii="Times New Roman" w:hAnsi="Times New Roman" w:cs="Times New Roman" w:eastAsia="宋体"/>
          <w:sz w:val="24"/>
        </w:rPr>
        <w:t>同一份边界、网格原点、随机种子和输入清单会得到完全相同的结果。新增影像或 改变文件名不会改变空间采样位置。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sz w:val="24"/>
        </w:rPr>
        <w:t>4. 修正海岸和国界宏网格</w:t>
      </w:r>
    </w:p>
    <w:p>
      <w:r>
        <w:rPr>
          <w:rFonts w:ascii="Times New Roman" w:hAnsi="Times New Roman" w:cs="Times New Roman" w:eastAsia="宋体"/>
          <w:sz w:val="24"/>
        </w:rPr>
        <w:t xml:space="preserve">海岸、岛屿和国界附近的宏网格可能只有 </w:t>
      </w:r>
      <w:r>
        <w:rPr>
          <w:rFonts w:ascii="Times New Roman" w:hAnsi="Times New Roman" w:cs="Times New Roman" w:eastAsia="宋体"/>
          <w:sz w:val="24"/>
        </w:rPr>
        <w:t>n</w:t>
      </w:r>
      <w:r>
        <w:rPr>
          <w:rFonts w:ascii="Times New Roman" w:hAnsi="Times New Roman" w:cs="Times New Roman" w:eastAsia="宋体"/>
          <w:sz w:val="24"/>
        </w:rPr>
        <w:t xml:space="preserve"> 个有效 patch。若仍然每个宏网格 固定取一个，就会让边界地区的入选概率高于 1%。</w:t>
      </w:r>
    </w:p>
    <w:p>
      <w:r>
        <w:rPr>
          <w:rFonts w:ascii="Times New Roman" w:hAnsi="Times New Roman" w:cs="Times New Roman" w:eastAsia="宋体"/>
          <w:sz w:val="24"/>
        </w:rPr>
        <w:t xml:space="preserve">本方案先以 </w:t>
      </w:r>
      <w:r>
        <w:rPr>
          <w:rFonts w:ascii="Times New Roman" w:hAnsi="Times New Roman" w:cs="Times New Roman" w:eastAsia="宋体"/>
          <w:sz w:val="24"/>
        </w:rPr>
        <w:t>n / 100</w:t>
      </w:r>
      <w:r>
        <w:rPr>
          <w:rFonts w:ascii="Times New Roman" w:hAnsi="Times New Roman" w:cs="Times New Roman" w:eastAsia="宋体"/>
          <w:sz w:val="24"/>
        </w:rPr>
        <w:t xml:space="preserve"> 的概率接纳该宏网格。宏网格被接纳后，再从其中选择 SHA-256 哈希排名第一的有效 patch。这样每个有效 patch 的期望入选概率仍为 1%。</w:t>
      </w:r>
    </w:p>
    <w:p>
      <w:r>
        <w:rPr>
          <w:rFonts w:ascii="Times New Roman" w:hAnsi="Times New Roman" w:cs="Times New Roman" w:eastAsia="宋体"/>
          <w:sz w:val="24"/>
        </w:rPr>
        <w:t>经过边界和完整 patch 检查后，现有基础空间样本为 57,405 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72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onal_static_1pct_sampling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7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宋体"/>
          <w:b/>
          <w:sz w:val="24"/>
        </w:rPr>
        <w:t>图 2  全国基础 1% 空间抽样分布。</w:t>
      </w:r>
      <w:r>
        <w:rPr>
          <w:rFonts w:ascii="Times New Roman" w:hAnsi="Times New Roman" w:cs="Times New Roman" w:eastAsia="宋体"/>
          <w:sz w:val="24"/>
        </w:rPr>
        <w:t xml:space="preserve"> 红点表示 57,405 个通过静态国界几何 检查的基础候选 patch 中心。该图是基础空间层预览，尚未加入 2,595 个空间 均衡样本、500 个海岸样本和 1,500 个语义/困难区域样本，也没有替代季度影像 质量审计，因此不能标注为最终训练样本分布。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sz w:val="28"/>
        </w:rPr>
        <w:t>四、三类补采样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sz w:val="24"/>
        </w:rPr>
        <w:t>1. UTM 空间均衡补样：2,595 个</w:t>
      </w:r>
    </w:p>
    <w:p>
      <w:r>
        <w:rPr>
          <w:rFonts w:ascii="Times New Roman" w:hAnsi="Times New Roman" w:cs="Times New Roman" w:eastAsia="宋体"/>
          <w:sz w:val="24"/>
        </w:rPr>
        <w:t>基础 1% 抽样完成后，将样本补到 60,000 个。新增数量按照各 UTM 分区有效面积 的平方根分配：</w:t>
      </w:r>
    </w:p>
    <w:p>
      <w:pPr>
        <w:ind w:left="454" w:right="454"/>
      </w:pPr>
      <w:r>
        <w:rPr>
          <w:rFonts w:ascii="Times New Roman" w:hAnsi="Times New Roman" w:cs="Times New Roman" w:eastAsia="宋体"/>
          <w:sz w:val="21"/>
        </w:rPr>
        <w:t>分区配额 = 2,595 × sqrt(分区有效面积) / Σsqrt(各分区有效面积)</w:t>
      </w:r>
    </w:p>
    <w:p>
      <w:r>
        <w:rPr>
          <w:rFonts w:ascii="Times New Roman" w:hAnsi="Times New Roman" w:cs="Times New Roman" w:eastAsia="宋体"/>
          <w:sz w:val="24"/>
        </w:rPr>
        <w:t>使用平方根而不是直接按面积分配，可以让大区域获得更多样本，同时避免面积较小 的 UTM 分区没有补样。分配整数配额时使用最大余数法。每个分区至少保留基本 配额，剩余名额按小数余数从大到小补齐。</w:t>
      </w:r>
    </w:p>
    <w:p>
      <w:r>
        <w:rPr>
          <w:rFonts w:ascii="Times New Roman" w:hAnsi="Times New Roman" w:cs="Times New Roman" w:eastAsia="宋体"/>
          <w:sz w:val="24"/>
        </w:rPr>
        <w:t>补样候选必须满足以下条件：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1. 不在 57,405 个基础样本中。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2. patch ID 和 geometry hash 均不重复。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3. 每个宏网格原则上最多新增一个 patch。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4. 使用固定哈希在同等候选中确定顺序。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sz w:val="24"/>
        </w:rPr>
        <w:t>2. 海岸线补样：500 个</w:t>
      </w:r>
    </w:p>
    <w:p>
      <w:r>
        <w:rPr>
          <w:rFonts w:ascii="Times New Roman" w:hAnsi="Times New Roman" w:cs="Times New Roman" w:eastAsia="宋体"/>
          <w:sz w:val="24"/>
        </w:rPr>
        <w:t>海岸样本只识别真实陆海交界。判断时同时使用中国陆地边界和独立海洋面数据， 不能直接把行政边界当作海岸。</w:t>
      </w:r>
    </w:p>
    <w:p>
      <w:r>
        <w:rPr>
          <w:rFonts w:ascii="Times New Roman" w:hAnsi="Times New Roman" w:cs="Times New Roman" w:eastAsia="宋体"/>
          <w:sz w:val="24"/>
        </w:rPr>
        <w:t>候选 patch 需要同时接近陆地和海洋面，建议初始搜索距离为海洋面 3--4 km 以内。500 个名额按沿海 UTM 分区分配，并检查省域分布。河流两岸、湖泊边缘、 省界和陆地国界全部排除。</w:t>
      </w:r>
    </w:p>
    <w:p>
      <w:r>
        <w:rPr>
          <w:rFonts w:ascii="Times New Roman" w:hAnsi="Times New Roman" w:cs="Times New Roman" w:eastAsia="宋体"/>
          <w:sz w:val="24"/>
        </w:rPr>
        <w:t>海岸补样重点覆盖：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1. 港口和码头。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2. 滩涂和潮间带。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3. 养殖区和近海水体。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4. 河口、三角洲和岛屿。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5. 城市海岸和自然海岸。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sz w:val="24"/>
        </w:rPr>
        <w:t>3. 城市、稀有地物和困难区域补样：1,500 个</w:t>
      </w:r>
    </w:p>
    <w:p>
      <w:r>
        <w:rPr>
          <w:rFonts w:ascii="Times New Roman" w:hAnsi="Times New Roman" w:cs="Times New Roman" w:eastAsia="宋体"/>
          <w:sz w:val="24"/>
        </w:rPr>
        <w:t>这 1,500 个样本在前 60,500 个样本基础上直接增加，不删除、不替换已有样本。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子类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选择依据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城市和建成区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500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建成比例、道路和建筑密度、行政区均衡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稀有自然地物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400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湿地、雪地、高原、裸地、绿洲、河湖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稀有基础设施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300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铁路、机场、港口、工业、教育和体育设施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困难观测区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300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长期多云、缺测、复杂地形、跨传感器差异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合计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1,500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与前 60,500 个样本去重</w:t>
            </w:r>
          </w:p>
        </w:tc>
      </w:tr>
    </w:tbl>
    <w:p>
      <w:r>
        <w:rPr>
          <w:rFonts w:ascii="Times New Roman" w:hAnsi="Times New Roman" w:cs="Times New Roman" w:eastAsia="宋体"/>
          <w:sz w:val="24"/>
        </w:rPr>
        <w:t>语义候选可以使用 WorldCover、Dynamic World、GLC_FCS30D、OSM 和 DEM 等 粗粒度信息评分，但不能使用最后用于下游评测的人工建筑、道路、水体等测试标签。 OSM 空白区域只表示“未知”，不能当作“没有该地物”的负样本。</w:t>
      </w:r>
    </w:p>
    <w:p>
      <w:r>
        <w:rPr>
          <w:rFonts w:ascii="Times New Roman" w:hAnsi="Times New Roman" w:cs="Times New Roman" w:eastAsia="宋体"/>
          <w:sz w:val="24"/>
        </w:rPr>
        <w:t>同一子类中，任何单一省域或区域组原则上不超过 40%。候选不足时，先扩大同类 覆盖阈值，再按“困难观测区、稀有自然地物、城市和建成区”的顺序回填剩余名额， 但最终总量仍必须为 1,500。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sz w:val="28"/>
        </w:rPr>
        <w:t>五、八个季度如何使用同一套样本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产品期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时间范围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主要光学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主要 SAR</w:t>
            </w:r>
          </w:p>
        </w:tc>
      </w:tr>
      <w:tr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2020Q1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2020-01-01 至 2020-03-31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Sentinel-2、Landsat-8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Sentinel-1</w:t>
            </w:r>
          </w:p>
        </w:tc>
      </w:tr>
      <w:tr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2020Q2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2020-04-01 至 2020-06-30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Sentinel-2、Landsat-8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Sentinel-1</w:t>
            </w:r>
          </w:p>
        </w:tc>
      </w:tr>
      <w:tr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2020Q3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2020-07-01 至 2020-09-30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Sentinel-2、Landsat-8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Sentinel-1</w:t>
            </w:r>
          </w:p>
        </w:tc>
      </w:tr>
      <w:tr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2020Q4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2020-10-01 至 2020-12-31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Sentinel-2、Landsat-8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Sentinel-1</w:t>
            </w:r>
          </w:p>
        </w:tc>
      </w:tr>
      <w:tr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2021Q1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2021-01-01 至 2021-03-31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Sentinel-2、Landsat-8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Sentinel-1</w:t>
            </w:r>
          </w:p>
        </w:tc>
      </w:tr>
      <w:tr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2021Q2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2021-04-01 至 2021-06-30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Sentinel-2、Landsat-8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Sentinel-1</w:t>
            </w:r>
          </w:p>
        </w:tc>
      </w:tr>
      <w:tr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2021Q3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2021-07-01 至 2021-09-30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Sentinel-2、Landsat-8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Sentinel-1</w:t>
            </w:r>
          </w:p>
        </w:tc>
      </w:tr>
      <w:tr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2021Q4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2021-10-01 至 2021-12-31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Sentinel-2、Landsat-8/9</w:t>
            </w:r>
          </w:p>
        </w:tc>
        <w:tc>
          <w:tcPr>
            <w:tcW w:type="dxa" w:w="23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Sentinel-1</w:t>
            </w:r>
          </w:p>
        </w:tc>
      </w:tr>
    </w:tbl>
    <w:p>
      <w:r>
        <w:rPr>
          <w:rFonts w:ascii="Times New Roman" w:hAnsi="Times New Roman" w:cs="Times New Roman" w:eastAsia="宋体"/>
          <w:sz w:val="24"/>
        </w:rPr>
        <w:t>空间位置不随季度改变。每个季度单独选择质量最好的有效观测并进行像素级合成。 国产高分影像、HJ、ZY、吉林一号和 Hi-GLASS 等数据按照本地实际覆盖作为可选 辅助模态，不要求每个 patch、每个季度都齐全。</w:t>
      </w:r>
    </w:p>
    <w:p>
      <w:r>
        <w:rPr>
          <w:rFonts w:ascii="Times New Roman" w:hAnsi="Times New Roman" w:cs="Times New Roman" w:eastAsia="宋体"/>
          <w:sz w:val="24"/>
        </w:rPr>
        <w:t>一年一期的土地覆盖、高程或指数产品不复制成虚假的季度变化。静态 DEM 作为 稳定物理条件输入；年度土地覆盖作为对应年份的弱语义；粗时间分辨率指数只在 其真实支持的季度参与训练，并带有效掩膜。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sz w:val="28"/>
        </w:rPr>
        <w:t>六、数据质量门槛</w:t>
      </w:r>
    </w:p>
    <w:p>
      <w:r>
        <w:rPr>
          <w:rFonts w:ascii="Times New Roman" w:hAnsi="Times New Roman" w:cs="Times New Roman" w:eastAsia="宋体"/>
          <w:sz w:val="24"/>
        </w:rPr>
        <w:t>空间抽样和影像质量审计分两步执行。先冻结 62,000 个空间位置，再检查每个位置 八个季度的数据。不能为了追求 62,000 个“看起来完整”的样本，静默把多云或 缺测位置换成容易下载的位置。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sz w:val="24"/>
        </w:rPr>
        <w:t>1. 核心数据源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1. Sentinel-2：主要光学输入。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2. Sentinel-1：全天候结构和散射信息。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3. Landsat-8：独立光学、热红外和质量信息。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4. Landsat-9：仅补充 2021Q4，不能写入此前季度。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sz w:val="24"/>
        </w:rPr>
        <w:t>2. 像素级掩膜</w:t>
      </w:r>
    </w:p>
    <w:p>
      <w:r>
        <w:rPr>
          <w:rFonts w:ascii="Times New Roman" w:hAnsi="Times New Roman" w:cs="Times New Roman" w:eastAsia="宋体"/>
          <w:sz w:val="24"/>
        </w:rPr>
        <w:t>每景光学影像必须保存并应用云、云影、雪、无效值、饱和和几何无效区域掩膜。 被掩膜的像素不参与重建损失。模型不能被要求把云雾当作真实地表进行重建。</w:t>
      </w:r>
    </w:p>
    <w:p>
      <w:r>
        <w:rPr>
          <w:rFonts w:ascii="Times New Roman" w:hAnsi="Times New Roman" w:cs="Times New Roman" w:eastAsia="宋体"/>
          <w:sz w:val="24"/>
        </w:rPr>
        <w:t>同一季度有多景影像时，先按有效像素比例、云影比例、辐射质量和配准质量排序， 仅使用通过门槛的观测进行合成。质量掩膜缺失时按不合格处理，不使用低质量影像 填满数据。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sz w:val="24"/>
        </w:rPr>
        <w:t>3. 缺失数据处理</w:t>
      </w:r>
    </w:p>
    <w:p>
      <w:r>
        <w:rPr>
          <w:rFonts w:ascii="Times New Roman" w:hAnsi="Times New Roman" w:cs="Times New Roman" w:eastAsia="宋体"/>
          <w:sz w:val="24"/>
        </w:rPr>
        <w:t xml:space="preserve">缺失某个可选模态时，保存 </w:t>
      </w:r>
      <w:r>
        <w:rPr>
          <w:rFonts w:ascii="Times New Roman" w:hAnsi="Times New Roman" w:cs="Times New Roman" w:eastAsia="宋体"/>
          <w:sz w:val="24"/>
        </w:rPr>
        <w:t>valid_mask=0</w:t>
      </w:r>
      <w:r>
        <w:rPr>
          <w:rFonts w:ascii="Times New Roman" w:hAnsi="Times New Roman" w:cs="Times New Roman" w:eastAsia="宋体"/>
          <w:sz w:val="24"/>
        </w:rPr>
        <w:t>，该模态不计算重建损失。缺少核心 数据或某季度有效像素不足时，样本进入补片队列，记录 patch、季度、数据源和 失败原因。补片必须从同一空间位置寻找其他日期影像；只有确认该位置无法获取 合格数据后，才允许按预先冻结的替补规则更换空间样本。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sz w:val="24"/>
        </w:rPr>
        <w:t>4. 配准检查</w:t>
      </w:r>
    </w:p>
    <w:p>
      <w:r>
        <w:rPr>
          <w:rFonts w:ascii="Times New Roman" w:hAnsi="Times New Roman" w:cs="Times New Roman" w:eastAsia="宋体"/>
          <w:sz w:val="24"/>
        </w:rPr>
        <w:t>所有输入统一到对应 UTM 分区的 10 米网格。抽查道路交叉口、河岸、建筑边缘和 海岸等高对比目标。明显错位的数据不能进入正式训练包。配准误差、有效像素比例 和重采样方法都写入质量统计。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sz w:val="28"/>
        </w:rPr>
        <w:t>七、训练集、验证集和最终全量训练</w:t>
      </w:r>
    </w:p>
    <w:p>
      <w:r>
        <w:rPr>
          <w:rFonts w:ascii="Times New Roman" w:hAnsi="Times New Roman" w:cs="Times New Roman" w:eastAsia="宋体"/>
          <w:sz w:val="24"/>
        </w:rPr>
        <w:t>开发阶段采用空间分块的 90%/5%/5% 划分：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集合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数量参考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训练集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55,800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更新模型参数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验证集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3,100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选择 checkpoint、检查重建和固定 probe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测试集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3,100</w:t>
            </w:r>
          </w:p>
        </w:tc>
        <w:tc>
          <w:tcPr>
            <w:tcW w:type="dxa" w:w="31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协议冻结后一次性报告</w:t>
            </w:r>
          </w:p>
        </w:tc>
      </w:tr>
    </w:tbl>
    <w:p>
      <w:r>
        <w:rPr>
          <w:rFonts w:ascii="Times New Roman" w:hAnsi="Times New Roman" w:cs="Times New Roman" w:eastAsia="宋体"/>
          <w:sz w:val="24"/>
        </w:rPr>
        <w:t>不能随机打散相邻 patch。相邻空间块必须进入同一集合，降低空间泄露。划分同时 保持省域、生态区和四层采样来源的比例基本一致。</w:t>
      </w:r>
    </w:p>
    <w:p>
      <w:r>
        <w:rPr>
          <w:rFonts w:ascii="Times New Roman" w:hAnsi="Times New Roman" w:cs="Times New Roman" w:eastAsia="宋体"/>
          <w:sz w:val="24"/>
        </w:rPr>
        <w:t>完成模型结构、损失权重和训练轮数选择后，可以使用全部 62,000 个 patch 进行 生产版最终训练。此时性能报告仍使用开发阶段已冻结的独立标签、外部区域或时间 留出数据，不能把全量训练后的模型再用原测试位置调参数。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sz w:val="28"/>
        </w:rPr>
        <w:t>八、样本注册表</w:t>
      </w:r>
    </w:p>
    <w:p>
      <w:r>
        <w:rPr>
          <w:rFonts w:ascii="Times New Roman" w:hAnsi="Times New Roman" w:cs="Times New Roman" w:eastAsia="宋体"/>
          <w:sz w:val="24"/>
        </w:rPr>
        <w:t>最终采样清单建议保存为 Parquet 和 JSONL 两种格式。Parquet 用于高效处理， JSONL 用于抽查和跨系统交换。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patch_id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全局唯一 patch 编号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geometry_hash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空间几何校验值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grid_id / grid_epsg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所属网格和 UTM 投影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grid_row / grid_col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规则网格行列号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macro_id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10 × 10 宏网格编号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wgs84_bounds / utm_bounds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两套空间范围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longitude / latitude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patch 中心点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admin1 / ecoregion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省域和生态区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sampling_layer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四层采样来源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sampling_reasons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具体入选原因，可多值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sampling_seed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固定随机种子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boundary_version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国界和岛屿边界版本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source_coverage_by_quarter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八季度各数据源覆盖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quality_summary_by_quarter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云、缺测、配准等质量统计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split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开发阶段 train/validation/test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registry_version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注册表版本</w:t>
            </w:r>
          </w:p>
        </w:tc>
      </w:tr>
    </w:tbl>
    <w:p>
      <w:r>
        <w:rPr>
          <w:rFonts w:ascii="Times New Roman" w:hAnsi="Times New Roman" w:cs="Times New Roman" w:eastAsia="宋体"/>
          <w:sz w:val="24"/>
        </w:rPr>
        <w:t>每次发布注册表同时保存配置文件、输入数据校验值、输出文件 SHA-256、脚本 Git commit 和生成日志。任何样本增删都必须升级 registry version，不能覆盖 已经用于训练或论文实验的旧清单。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sz w:val="28"/>
        </w:rPr>
        <w:t>九、执行步骤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1. 冻结中国研究边界、岛屿范围、UTM 网格原点和随机种子。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2. 生成全国约 586 万个候选 patch 及 10 × 10 宏网格清单。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3. 执行边界修正后的 1% 基础抽样，核对 57,405 个基础位置。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4. 按 UTM 分区面积平方根增加 2,595 个空间均衡样本。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5. 使用独立海洋面增加 500 个真实海岸样本。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6. 建立 WorldCover、OSM、DEM 和影像质量候选池，增加 1,500 个重点样本。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7. 对 62,000 个样本执行唯一性、边界、区域分布和人工地图抽查。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8. 按相同位置建立 2020Q1--2021Q4 八季度数据目录和质量统计。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9. 对核心源、掩膜和配准执行质量门槛，生成补片清单。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10. 冻结 registry、checksum 和 Git commit 后，才开始正式数据裁窗和训练。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sz w:val="28"/>
        </w:rPr>
        <w:t>十、验收标准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宋体"/>
                <w:b/>
                <w:sz w:val="21"/>
              </w:rPr>
              <w:t>通过条件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样本数量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四层合计严格等于 62,000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唯一性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patch_id 和 geometry_hash 均无重复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空间边界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所有中心位于冻结研究边界内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层级配额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57,405 + 2,595 + 500 + 1,500 全部满足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海岸真实性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不包含河流、湖泊、省界和陆地国界伪海岸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区域均衡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各 UTM 分区、省域和生态区无异常空洞或过密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季度覆盖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八季度逐源覆盖和质量统计齐全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掩膜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云、云影、雪、无效值和饱和像素不计入重建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可复现性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相同输入和配置重跑，输出 checksum 一致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人工抽查</w:t>
            </w:r>
          </w:p>
        </w:tc>
        <w:tc>
          <w:tcPr>
            <w:tcW w:type="dxa" w:w="47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宋体"/>
                <w:sz w:val="21"/>
              </w:rPr>
              <w:t>分省、分层、分季度随机可视化无明显错误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sz w:val="28"/>
        </w:rPr>
        <w:t>十一、当前状态与边界</w:t>
      </w:r>
    </w:p>
    <w:p>
      <w:r>
        <w:rPr>
          <w:rFonts w:ascii="Times New Roman" w:hAnsi="Times New Roman" w:cs="Times New Roman" w:eastAsia="宋体"/>
          <w:sz w:val="24"/>
        </w:rPr>
        <w:t>目前仓库中已有 57,405 个基础 1% 静态抽样点及全国分布预览，已有空间均衡和 海岸补样脚本。本文冻结的是最终 62,000 点的实施口径和配置，不代表 2,595、 500 和 1,500 个补样已经全部完成数据质量筛选。</w:t>
      </w:r>
    </w:p>
    <w:p>
      <w:r>
        <w:rPr>
          <w:rFonts w:ascii="Times New Roman" w:hAnsi="Times New Roman" w:cs="Times New Roman" w:eastAsia="宋体"/>
          <w:sz w:val="24"/>
        </w:rPr>
        <w:t>在最终 62,000 点注册表物化完成前，所有图表和汇报必须明确区分：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1. 基础 1% 静态预览。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2. 补样候选清单。</w:t>
      </w:r>
    </w:p>
    <w:p>
      <w:pPr>
        <w:ind w:left="340"/>
      </w:pPr>
      <w:r>
        <w:rPr>
          <w:rFonts w:ascii="Times New Roman" w:hAnsi="Times New Roman" w:cs="Times New Roman" w:eastAsia="宋体"/>
          <w:sz w:val="24"/>
        </w:rPr>
        <w:t>3. 通过八季度质量门槛的最终训练注册表。</w:t>
      </w:r>
    </w:p>
    <w:p>
      <w:r>
        <w:rPr>
          <w:rFonts w:ascii="Times New Roman" w:hAnsi="Times New Roman" w:cs="Times New Roman" w:eastAsia="宋体"/>
          <w:sz w:val="24"/>
        </w:rPr>
        <w:t>只有第三类清单可以作为正式训练数据数量和最终全国分布的依据。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sz w:val="28"/>
        </w:rPr>
        <w:t>十二、项目文件</w:t>
      </w:r>
    </w:p>
    <w:p>
      <w:r>
        <w:rPr>
          <w:rFonts w:ascii="Times New Roman" w:hAnsi="Times New Roman" w:cs="Times New Roman" w:eastAsia="宋体"/>
          <w:sz w:val="24"/>
        </w:rPr>
        <w:t xml:space="preserve">采样策略配置： </w:t>
      </w:r>
      <w:r>
        <w:rPr>
          <w:rFonts w:ascii="Times New Roman" w:hAnsi="Times New Roman" w:cs="Times New Roman" w:eastAsia="宋体"/>
          <w:sz w:val="24"/>
        </w:rPr>
        <w:t>configs/national/china_quarterly_2020_2021_sampling_policy_20260726.json</w:t>
      </w:r>
    </w:p>
    <w:p>
      <w:r>
        <w:rPr>
          <w:rFonts w:ascii="Times New Roman" w:hAnsi="Times New Roman" w:cs="Times New Roman" w:eastAsia="宋体"/>
          <w:sz w:val="24"/>
        </w:rPr>
        <w:t xml:space="preserve">基础抽样脚本： </w:t>
      </w:r>
      <w:r>
        <w:rPr>
          <w:rFonts w:ascii="Times New Roman" w:hAnsi="Times New Roman" w:cs="Times New Roman" w:eastAsia="宋体"/>
          <w:sz w:val="24"/>
        </w:rPr>
        <w:t>scripts/data/visualize_national_sampling.py</w:t>
      </w:r>
    </w:p>
    <w:p>
      <w:r>
        <w:rPr>
          <w:rFonts w:ascii="Times New Roman" w:hAnsi="Times New Roman" w:cs="Times New Roman" w:eastAsia="宋体"/>
          <w:sz w:val="24"/>
        </w:rPr>
        <w:t xml:space="preserve">空间均衡补样脚本： </w:t>
      </w:r>
      <w:r>
        <w:rPr>
          <w:rFonts w:ascii="Times New Roman" w:hAnsi="Times New Roman" w:cs="Times New Roman" w:eastAsia="宋体"/>
          <w:sz w:val="24"/>
        </w:rPr>
        <w:t>scripts/data/build_national_spatial_supplement.py</w:t>
      </w:r>
    </w:p>
    <w:p>
      <w:r>
        <w:rPr>
          <w:rFonts w:ascii="Times New Roman" w:hAnsi="Times New Roman" w:cs="Times New Roman" w:eastAsia="宋体"/>
          <w:sz w:val="24"/>
        </w:rPr>
        <w:t xml:space="preserve">海岸补样脚本： </w:t>
      </w:r>
      <w:r>
        <w:rPr>
          <w:rFonts w:ascii="Times New Roman" w:hAnsi="Times New Roman" w:cs="Times New Roman" w:eastAsia="宋体"/>
          <w:sz w:val="24"/>
        </w:rPr>
        <w:t>scripts/data/build_national_coastal_supplement.py</w:t>
      </w:r>
    </w:p>
    <w:p>
      <w:r>
        <w:rPr>
          <w:rFonts w:ascii="Times New Roman" w:hAnsi="Times New Roman" w:cs="Times New Roman" w:eastAsia="宋体"/>
          <w:sz w:val="24"/>
        </w:rPr>
        <w:t xml:space="preserve">语义与困难区域注册脚本： </w:t>
      </w:r>
      <w:r>
        <w:rPr>
          <w:rFonts w:ascii="Times New Roman" w:hAnsi="Times New Roman" w:cs="Times New Roman" w:eastAsia="宋体"/>
          <w:sz w:val="24"/>
        </w:rPr>
        <w:t>scripts/data/build_national_sampling_registry.py</w:t>
      </w:r>
    </w:p>
    <w:p>
      <w:r>
        <w:rPr>
          <w:rFonts w:ascii="Times New Roman" w:hAnsi="Times New Roman" w:cs="Times New Roman" w:eastAsia="宋体"/>
          <w:sz w:val="24"/>
        </w:rPr>
        <w:t xml:space="preserve">基础样本预览图： </w:t>
      </w:r>
      <w:r>
        <w:rPr>
          <w:rFonts w:ascii="Times New Roman" w:hAnsi="Times New Roman" w:cs="Times New Roman" w:eastAsia="宋体"/>
          <w:sz w:val="24"/>
        </w:rPr>
        <w:t>docs/plans/assets/china_v1_2021_multisource/national_static_1pct_sampling_preview.png</w:t>
      </w:r>
    </w:p>
    <w:p>
      <w:pPr>
        <w:sectPr>
          <w:footerReference w:type="default" r:id="rId9"/>
          <w:pgSz w:w="12240" w:h="15840"/>
          <w:pgMar w:top="1247" w:right="1417" w:bottom="1134" w:left="1417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sz w:val="18"/>
      </w:rPr>
      <w:t xml:space="preserve">第 </w:t>
    </w:r>
    <w:fldSimple w:instr="PAGE"/>
    <w:r>
      <w:rPr>
        <w:rFonts w:ascii="Times New Roman" w:hAnsi="Times New Roman" w:cs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中国版 Alpha Earth 全国采样方案</dc:title>
  <dc:subject>2020 年和 2021 年季度 10 米全国地理嵌入</dc:subject>
  <dc:creator>玄女 Embedding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