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基于玄女月度地理嵌入的海淀区生态系统生产总值（GEP）核算技术试点与智能服务研究</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基于玄女月度地理嵌入的海淀区生态系统生产总值（GEP）核算技术试点与智能服务研究</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项目面向海淀区GEP核算中数据分散、生态状态更新不及时和结果难以追溯等问题，建设“10米月度生态证据层—服务实物量反演—标准化价值量核算—可信服务”链条。玄女以1,280米×1,280米范围组织训练，每个patch输出128×128×64稠密embedding，实际对应10米网格，1,280米不是产品分辨率。项目依据GB/T 46869—2025，先开展固碳、洪水调蓄、局部气候调节三类调节服务价值试点；模型不直接预测货币，实物量和价值量由生态过程模型、监测资料、统计资料与标准参数共同核算，形成可追溯、可复算的示范成果。</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建立以10米月度生态状态embedding为证据层、以GB/T 46869—2025核算流程为约束的海淀区GEP核算技术试点。项目重点不是用人工智能端到端“预测人民币”，而是提高生态状态制图、服务实物量反演、数据对齐和过程调度的效率，使每项核算结果均可追溯到影像、模型、参数和统计资料。</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项目已有玄女海淀月度embedding底座作为起点。P10C生产权重覆盖2025年12月至2026年5月、320个patch；对每个1,280米×1,280米patch输出128×128×64 embedding map，提供10米输出网格和64维表征。建筑、道路、水体仅在与预训练OSM弱语义同源的少样本基准上完成初步评测，尚未完成独立人工标注、生态监测或GEP服务变量验证。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构建海淀区10米月度生态证据层和三类调节服务的标准化核算原型，形成从多源数据对齐、embedding生成、生态服务实物量反演、价值量核算到可信问答的完整流程。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建成项目覆盖范围内的10米月度生态证据产品，包括质量掩膜、月度embedding、生态状态图和数据血缘记录；每个产品均保留时间、来源、空间参考和质量信息。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建成可调用的GEP核算工具链和问答原型。问答结果必须返回数据时间、空间范围、模型版本、参数版本、核算方法和不确定性说明；未完成核算的数据不得生成定量结论。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必须确认：固碳模块具备生态系统类型、气象、样地/清查或同等独立资料；洪水模块具备降雨、DEM、土壤、排水/汇水边界及不少于3场独立降雨—径流或积水事件资料；局部气候模块具备地表温度、气象、植被/不透水面资料和不少于3个季节的独立温湿度或能耗验证资料。资料不能满足时，项目管理方须作出“补充数据后继续”或“书面调整任务及验收”的决策，不能以无验证结果的价值量替代交付。</w:t>
      </w:r>
    </w:p>
    <w:p>
      <w:pPr>
        <w:spacing w:after="100" w:line="360" w:lineRule="auto"/>
        <w:ind w:firstLine="420"/>
      </w:pPr>
      <w:r>
        <w:rPr>
          <w:rFonts w:ascii="Times New Roman" w:hAnsi="Times New Roman" w:eastAsia="宋体"/>
          <w:b w:val="0"/>
          <w:sz w:val="24"/>
        </w:rPr>
        <w:t>验收时，生态分类使用不少于5个空间分块的独立留出评价；连续变量每个服务模块至少使用30条独立观测或样地记录，并报告空间/时间代表性；洪水模块至少报告3场独立事件及年度水量平衡。每个产品必须覆盖经批准的基准年、保留100%完整的数据血缘字段；每项服务均与预先登记的传统过程模型或原始影像基线比较。数据不足时可交付“数据缺口与方法验证报告”，但不得命名为该服务的正式价值量成果。</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embedding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附录B生态系统分类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用头和外部资料生成的产品，不作为现有P10C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P10C生产模型为初始化底座，保持其多源遥感输入、月度输出、128×128空间网格和64维稠密embedding能力。模型以六个月时序上下文生成对应月份的嵌入，因此应表述为“月度输出、具有时序上下文”，而非“每月只使用单月影像”。项目启动时需定义月产品采用回看窗口、居中窗口或其他规则，明确最短出具滞后、首尾月份处理、云缺失阈值和降级策略。</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预训练和适配训练仍以多源重建、困难重建、质量掩膜和广义弱语义为主；不得将最终GEP金额、最终核算结果、价格参数或最终独立评价标签作为基础模型训练目标。OSM等开放数据只作为广义弱语义先验，不作为GEP服务的唯一真值。</w:t>
      </w:r>
    </w:p>
    <w:p>
      <w:pPr>
        <w:spacing w:after="100" w:line="360" w:lineRule="auto"/>
        <w:ind w:firstLine="420"/>
      </w:pPr>
      <w:r>
        <w:rPr>
          <w:rFonts w:ascii="Times New Roman" w:hAnsi="Times New Roman" w:eastAsia="宋体"/>
          <w:b w:val="0"/>
          <w:sz w:val="24"/>
        </w:rPr>
        <w:t>现有P10C导出结果为embedding及其全局元数据，不直接输出逐patch、逐月质量信息或生态状态图；现有高分源还采用跨可用时相汇聚后逐月重复融合，不能称为同期高分观测。项目拟改造为按目标月匹配的高分融合，并发布独立的月度产品包：embedding、输入可用性、云/阴影等质量掩膜、源数据日期、空间参考、处理版本和不确定性字段。无同期高分观测时应按规则降级并记录，不以相邻月份影像冒充同期观测。</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embedding只作为状态证据，不能把月度存量或状态简单累加为年度实物量。玄女embedding的角色是提高生态状态表达与空间细化能力，不取代生态过程模型、标准公式、统计口径和价值参数。</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固碳服务模块。实物量口径为固定二氧化碳量（tCO2/a）。以10米生态状态证据辅助植被类型与空间化，但不把NPP直接等同于净碳汇。方法按GB/T 46869—2025附录A的优先顺序选用：具备清查/样地资料时采用生物量法；具备长期本地参数时采用固碳速率法；具备呼吸项资料时采用NEP法。若仅具备NPP，只能作为过程代理变量，不进入正式固碳价值量。不同生态系统类型分别建模，避免重复计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实物量口径为调蓄水量（m3/a）。以不透水面、绿地、水体和地形为精细空间证据，结合降雨、土壤、管网边界、排水分区和子汇水区，采用水量平衡模型计算。年度量按经质量控制的降雨时段逐场计算后累加；设计暴雨及其重现期只用于极端情景检验，不直接替代年度量。以“维持现有灰色基础设施不变、将生态覆盖替换为相应非生态反事实”的差值定义生态系统贡献，管网、泵站、调蓄池等工程容量单列并剥离。模型须通过水量平衡、参数本地化和径流/积水资料验证。水文过程先在子汇水区或明确的排水单元计算，再汇总到海淀区，不能把像元结果简单相加。价值参数采用单位库容建设与运维替代成本，记录来源、价格年份和适用范围。</w:t>
      </w:r>
    </w:p>
    <w:p>
      <w:pPr>
        <w:spacing w:after="100" w:line="360" w:lineRule="auto"/>
        <w:ind w:firstLine="420"/>
      </w:pPr>
      <w:r>
        <w:rPr>
          <w:rFonts w:ascii="Times New Roman" w:hAnsi="Times New Roman" w:eastAsia="宋体"/>
          <w:b w:val="0"/>
          <w:sz w:val="24"/>
        </w:rPr>
        <w:t>3. 局部气候调节模块。以蒸散发调节温湿度所消耗的能量作为正式实物量口径，采用潜热通量与蒸散发的能量换算关系计算。基准情景固定为“相同气象条件下，将绿地/水体替换为对应不透水面或裸地参考覆盖”；区分地表温度、近地气温与热暴露，热暴露缓解只作为补充效益。实物量通过独立温湿度站点或经校准的地表温度—气温关系验证；价值量按等效制冷能耗=热量/设备能效比换算，并采用当地生活电价，记录服务对象、受益范围、价格年份和参数版本。</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智能体采用“问—查—算—验—答”流程：解析问题后调用注册的数据、embedding、生态模型、标准参数和制图工具；输出专题图、统计表和文字结论；同时返回方法、输入版本、适用条件和不确定性。智能体不直接编造GEP数值，也不得绕过核算工具调用。验收设置不少于100条覆盖数据缺失、超出核算期、参数缺失和正常核算的测试问题：审计字段完整率应为100%，有工具支持的数值结论必须100%附带调用记录，缺失数据问题必须拒答或降级为定性说明；由生态核算责任人抽检不少于20条，复算结果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服务实物量产品。按像元或适当的子汇水区、绿地斑块等过程单元计算固碳、雨洪调蓄和热环境调节服务，再按街道或行政区进行汇总。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关键技术二：月度地理embedding与生态服务实物量协同反演</w:t>
      </w:r>
    </w:p>
    <w:p>
      <w:pPr>
        <w:spacing w:after="100" w:line="360" w:lineRule="auto"/>
        <w:ind w:firstLine="420"/>
      </w:pPr>
      <w:r>
        <w:rPr>
          <w:rFonts w:ascii="Times New Roman" w:hAnsi="Times New Roman" w:eastAsia="宋体"/>
          <w:b w:val="0"/>
          <w:sz w:val="24"/>
        </w:rPr>
        <w:t>采用“冻结或轻量适配的embedding底座＋服务专用轻量头＋生态过程模型”的组合，而非以黑盒网络直接预测价值量。embedding负责可迁移地表语义和精细边界表达；服务头负责从生态状态映射至过程变量；CASA、InVEST或经验证的本地模型负责实物量计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玄女月度embedding与生态状态图 → 服务实物量模型与独立验证 → 标准化价值量核算 → 三类调节服务价值试点汇总、专题图和可信问答。完整GEP汇总仅作为全部适用科目条件满足后的扩展成果。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embedding作为生态状态证据层，服务于生态系统类型、植被、水体、不透水面和热环境等精细空间表达；同时保持GEP实物量和价值量核算遵循标准与过程模型，不混淆“表征分辨率”和“核算口径”。该项属于应用与工程创新，不把10米embedding误述为10米原始生态观测。</w:t>
      </w:r>
    </w:p>
    <w:p>
      <w:pPr>
        <w:spacing w:before="160" w:after="80"/>
      </w:pPr>
      <w:r>
        <w:rPr>
          <w:rFonts w:ascii="Times New Roman" w:hAnsi="Times New Roman" w:eastAsia="宋体"/>
          <w:b/>
          <w:sz w:val="24"/>
        </w:rPr>
        <w:t>2. 面向生态过程的可复用embedding适配方式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冻结底座＋生态适配器＋服务轻量头＋过程模型”的协同方式。通过与仅使用原始影像、仅使用embedding轻量头和全监督任务模型的对比及消融，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海淀区10米月度生态证据产品和数据字典，包括embedding、质量掩膜、生态状态图和数据血缘信息。现有P10C结果将作为基线；逐patch、逐月质量元数据和生态状态图为本项目新增交付。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三类调节服务价值试点核算工具链和可信问答原型，提供数据查询、模型运行、结果制图、试点报告导出和审计记录能力。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不确定性采用参数、驱动数据、土地覆盖、时相缺失和价值参数的情景分析或不少于1,000次蒙特卡洛抽样；分别报告三项服务实物量、价值量和试点合计的95%区间、主导敏感因子及空间相关性处理方法。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玄女海淀P10C生产模型已形成月度多源遥感embedding能力：输入由Sentinel-2、Sentinel-1、Landsat、高分光学和高分SAR等组成；在2025年12月至2026年5月、320个patch范围内输出128×128×64的10米稠密embedding map。现有建筑、道路、水体结果来自与预训练OSM弱语义同源的少样本基准，说明其具有地表表征和快速适配潜力，但不能作为独立生态服务反演精度或GEP核算能力的证据。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10米网格和质量控制规则；完成《核算边界、样本与验收方案》。若关键气象、水文、生态监测或价格资料无法取得，则触发Go/No-Go评审：补齐资料后继续，或经项目管理方书面调整任务与验收；不得自行缩减三项核心服务，也不得用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完成月度生态证据产品包、按目标月匹配的高分融合改造、生态分类与数据台账；研发固定二氧化碳、洪水调蓄和局部气候调节模块，完成原始影像、embedding和过程模型的对比及空间分块、时间留出验证。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Xuannv项目长期记忆与生产模型卡：docs/agent_memory/haidian_embedding_project_memory.md；docs/production/haidian_model_card.md。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