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ns0:Relationships xmlns:ns0="http://schemas.openxmlformats.org/package/2006/relationships"><ns0:Relationship Id="rId4" Type="http://schemas.openxmlformats.org/officeDocument/2006/relationships/officeDocument" Target="word/document.xml" /><ns0:Relationship Id="rId2" Type="http://schemas.openxmlformats.org/package/2006/relationships/metadata/core-properties" Target="docProps/core.xml" /><ns0:Relationship Id="rId1" Type="http://schemas.openxmlformats.org/officeDocument/2006/relationships/extended-properties" Target="docProps/app.xml" /><ns0:Relationship Id="rId3" Type="http://schemas.openxmlformats.org/officeDocument/2006/relationships/custom-properties" Target="docProps/custom.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91010">
      <w:pPr>
        <w:rPr>
          <w:rFonts w:ascii="Calibri" w:hAnsi="Calibri" w:eastAsia="宋体" w:cs="Times New Roman"/>
          <w:szCs w:val="20"/>
        </w:rPr>
      </w:pPr>
    </w:p>
    <w:p w14:paraId="08EBD00C">
      <w:pPr>
        <w:rPr>
          <w:rFonts w:ascii="Calibri" w:hAnsi="Calibri" w:eastAsia="宋体" w:cs="Times New Roman"/>
          <w:szCs w:val="20"/>
        </w:rPr>
      </w:pPr>
    </w:p>
    <w:p w14:paraId="3CD3F3C6">
      <w:pPr>
        <w:rPr>
          <w:rFonts w:ascii="Calibri" w:hAnsi="Calibri" w:eastAsia="宋体" w:cs="Times New Roman"/>
          <w:szCs w:val="20"/>
        </w:rPr>
      </w:pPr>
    </w:p>
    <w:p w14:paraId="04AF4326">
      <w:pPr>
        <w:spacing w:line="1200" w:lineRule="exact"/>
        <w:jc w:val="center"/>
        <w:rPr>
          <w:rFonts w:ascii="Calibri" w:hAnsi="Calibri" w:eastAsia="宋体" w:cs="Times New Roman"/>
          <w:b/>
          <w:spacing w:val="30"/>
          <w:sz w:val="56"/>
          <w:szCs w:val="56"/>
        </w:rPr>
      </w:pPr>
      <w:r>
        <w:rPr>
          <w:rFonts w:hint="eastAsia" w:ascii="Calibri" w:hAnsi="Calibri" w:eastAsia="宋体" w:cs="Times New Roman"/>
          <w:b/>
          <w:spacing w:val="30"/>
          <w:sz w:val="56"/>
          <w:szCs w:val="56"/>
        </w:rPr>
        <w:t>中国城市建设研究院有限公司</w:t>
      </w:r>
    </w:p>
    <w:p w14:paraId="1485493A">
      <w:pPr>
        <w:spacing w:line="1200" w:lineRule="exact"/>
        <w:jc w:val="center"/>
        <w:rPr>
          <w:rFonts w:ascii="Calibri" w:hAnsi="Calibri" w:eastAsia="宋体" w:cs="Times New Roman"/>
          <w:b/>
          <w:spacing w:val="30"/>
          <w:sz w:val="56"/>
          <w:szCs w:val="56"/>
        </w:rPr>
      </w:pPr>
      <w:r>
        <w:rPr>
          <w:rFonts w:hint="eastAsia" w:ascii="Calibri" w:hAnsi="Calibri" w:eastAsia="宋体" w:cs="Times New Roman"/>
          <w:b/>
          <w:spacing w:val="30"/>
          <w:sz w:val="56"/>
          <w:szCs w:val="56"/>
        </w:rPr>
        <w:t>自立科研项目申报书</w:t>
      </w:r>
    </w:p>
    <w:p w14:paraId="2A74C1DA">
      <w:pPr>
        <w:jc w:val="center"/>
        <w:rPr>
          <w:rFonts w:ascii="Calibri" w:hAnsi="Calibri" w:eastAsia="宋体" w:cs="Times New Roman"/>
          <w:b/>
          <w:sz w:val="36"/>
        </w:rPr>
      </w:pPr>
    </w:p>
    <w:p w14:paraId="688E58AF">
      <w:pPr>
        <w:jc w:val="center"/>
        <w:rPr>
          <w:rFonts w:ascii="Calibri" w:hAnsi="Calibri" w:eastAsia="宋体" w:cs="Times New Roman"/>
          <w:b/>
          <w:sz w:val="36"/>
        </w:rPr>
      </w:pPr>
    </w:p>
    <w:p w14:paraId="43E2DC33">
      <w:pPr>
        <w:jc w:val="center"/>
        <w:rPr>
          <w:rFonts w:ascii="Calibri" w:hAnsi="Calibri" w:eastAsia="宋体" w:cs="Times New Roman"/>
          <w:b/>
          <w:sz w:val="36"/>
        </w:rPr>
      </w:pPr>
    </w:p>
    <w:p w14:paraId="4A2F82E2">
      <w:pPr>
        <w:jc w:val="center"/>
        <w:rPr>
          <w:rFonts w:ascii="Calibri" w:hAnsi="Calibri" w:eastAsia="宋体" w:cs="Times New Roman"/>
          <w:b/>
          <w:sz w:val="36"/>
        </w:rPr>
      </w:pPr>
    </w:p>
    <w:p w14:paraId="5C802406">
      <w:pPr>
        <w:spacing w:line="300" w:lineRule="auto" w:after="60"/>
        <w:jc w:val="left"/>
        <w:rPr>
          <w:rFonts w:ascii="Calibri" w:hAnsi="Calibri" w:eastAsia="宋体" w:cs="Times New Roman"/>
          <w:b/>
          <w:sz w:val="32"/>
        </w:rPr>
      </w:pPr>
      <w:r>
        <w:rPr>
          <w:rFonts w:ascii="Times New Roman" w:hAnsi="Times New Roman" w:eastAsia="宋体"/>
          <w:b w:val="0"/>
          <w:sz w:val="24"/>
        </w:rPr>
        <w:t>申报项目名称： 基于玄女月度地理嵌入的海淀区生态系统调节服务价值核算技术试点研究</w:t>
      </w:r>
    </w:p>
    <w:p w14:paraId="2E7C10F2">
      <w:pPr>
        <w:spacing w:line="360" w:lineRule="auto"/>
        <w:rPr>
          <w:rFonts w:ascii="Calibri" w:hAnsi="Calibri" w:eastAsia="宋体" w:cs="Times New Roman"/>
          <w:b/>
          <w:sz w:val="32"/>
        </w:rPr>
      </w:pPr>
      <w:r>
        <w:rPr>
          <w:rFonts w:hint="eastAsia" w:ascii="Calibri" w:hAnsi="Calibri" w:eastAsia="宋体" w:cs="Times New Roman"/>
          <w:b/>
          <w:sz w:val="32"/>
        </w:rPr>
        <w:t xml:space="preserve">    申  报 部 门： </w:t>
      </w:r>
      <w:r>
        <w:rPr>
          <w:rFonts w:hint="eastAsia" w:ascii="Calibri" w:hAnsi="Calibri" w:eastAsia="宋体" w:cs="Times New Roman"/>
          <w:sz w:val="32"/>
          <w:u w:val="single"/>
        </w:rPr>
        <w:t xml:space="preserve">                                  </w:t>
      </w:r>
    </w:p>
    <w:p w14:paraId="4EAF207A">
      <w:pPr>
        <w:spacing w:line="360" w:lineRule="auto"/>
        <w:rPr>
          <w:rFonts w:ascii="Calibri" w:hAnsi="Calibri" w:eastAsia="宋体" w:cs="Times New Roman"/>
          <w:b/>
          <w:sz w:val="32"/>
        </w:rPr>
      </w:pPr>
      <w:r>
        <w:rPr>
          <w:rFonts w:hint="eastAsia" w:ascii="Calibri" w:hAnsi="Calibri" w:eastAsia="宋体" w:cs="Times New Roman"/>
          <w:b/>
          <w:sz w:val="32"/>
        </w:rPr>
        <w:t xml:space="preserve">    项目申报人：  </w:t>
      </w:r>
      <w:r>
        <w:rPr>
          <w:rFonts w:hint="eastAsia" w:ascii="Calibri" w:hAnsi="Calibri" w:eastAsia="宋体" w:cs="Times New Roman"/>
          <w:sz w:val="32"/>
          <w:u w:val="single"/>
        </w:rPr>
        <w:t xml:space="preserve">                                      </w:t>
      </w:r>
    </w:p>
    <w:p w14:paraId="5025B05C">
      <w:pPr>
        <w:spacing w:line="300" w:lineRule="auto" w:after="60"/>
        <w:jc w:val="left"/>
        <w:rPr>
          <w:rFonts w:ascii="Calibri" w:hAnsi="Calibri" w:eastAsia="宋体" w:cs="Times New Roman"/>
          <w:sz w:val="30"/>
        </w:rPr>
      </w:pPr>
      <w:r>
        <w:rPr>
          <w:rFonts w:ascii="Times New Roman" w:hAnsi="Times New Roman" w:eastAsia="宋体"/>
          <w:b w:val="0"/>
          <w:sz w:val="24"/>
        </w:rPr>
        <w:t>预计研究时间：2026年9月1日 至 2028年8月31日</w:t>
      </w:r>
    </w:p>
    <w:p w14:paraId="56786512">
      <w:pPr>
        <w:rPr>
          <w:rFonts w:ascii="Calibri" w:hAnsi="Calibri" w:eastAsia="宋体" w:cs="Times New Roman"/>
          <w:sz w:val="28"/>
        </w:rPr>
      </w:pPr>
    </w:p>
    <w:p w14:paraId="1AE1A3C5">
      <w:pPr>
        <w:spacing w:after="163" w:afterLines="50"/>
        <w:jc w:val="center"/>
        <w:rPr>
          <w:rFonts w:ascii="仿宋_GB2312" w:hAnsi="Calibri" w:eastAsia="仿宋_GB2312" w:cs="Times New Roman"/>
          <w:b/>
          <w:color w:val="000000"/>
          <w:sz w:val="36"/>
        </w:rPr>
      </w:pPr>
    </w:p>
    <w:p w14:paraId="696A2AD9">
      <w:pPr>
        <w:spacing w:after="163" w:afterLines="50"/>
        <w:jc w:val="center"/>
        <w:rPr>
          <w:rFonts w:ascii="仿宋_GB2312" w:hAnsi="Calibri" w:eastAsia="仿宋_GB2312" w:cs="Times New Roman"/>
          <w:b/>
          <w:color w:val="000000"/>
          <w:sz w:val="36"/>
        </w:rPr>
      </w:pPr>
    </w:p>
    <w:p w14:paraId="76D915D6">
      <w:pPr>
        <w:spacing w:after="163" w:afterLines="50"/>
        <w:jc w:val="center"/>
        <w:rPr>
          <w:rFonts w:ascii="仿宋_GB2312" w:hAnsi="Calibri" w:eastAsia="仿宋_GB2312" w:cs="Times New Roman"/>
          <w:b/>
          <w:color w:val="000000"/>
          <w:sz w:val="36"/>
        </w:rPr>
      </w:pPr>
    </w:p>
    <w:p w14:paraId="063BAFA6">
      <w:pPr>
        <w:spacing w:after="60" w:line="300" w:lineRule="auto"/>
        <w:jc w:val="left"/>
        <w:rPr>
          <w:rFonts w:ascii="Calibri" w:hAnsi="Calibri" w:eastAsia="宋体" w:cs="Times New Roman"/>
          <w:b/>
          <w:sz w:val="32"/>
        </w:rPr>
      </w:pPr>
      <w:r>
        <w:rPr>
          <w:rFonts w:ascii="Times New Roman" w:hAnsi="Times New Roman" w:eastAsia="宋体"/>
          <w:b w:val="0"/>
          <w:sz w:val="24"/>
        </w:rPr>
        <w:t>二〇二六年七月</w:t>
      </w:r>
    </w:p>
    <w:p w14:paraId="4D72ECE9">
      <w:pPr>
        <w:spacing w:after="163" w:afterLines="50"/>
        <w:jc w:val="center"/>
        <w:rPr>
          <w:rFonts w:ascii="仿宋_GB2312" w:hAnsi="Calibri" w:eastAsia="仿宋_GB2312" w:cs="Times New Roman"/>
          <w:b/>
          <w:color w:val="000000"/>
          <w:sz w:val="36"/>
        </w:rPr>
      </w:pPr>
      <w:r>
        <w:rPr>
          <w:rFonts w:ascii="仿宋_GB2312" w:hAnsi="Calibri" w:eastAsia="仿宋_GB2312" w:cs="Times New Roman"/>
          <w:b/>
          <w:color w:val="000000"/>
          <w:sz w:val="36"/>
        </w:rPr>
        <w:br w:type="page"/>
      </w:r>
      <w:r>
        <w:rPr>
          <w:rFonts w:hint="eastAsia" w:ascii="仿宋_GB2312" w:hAnsi="Calibri" w:eastAsia="仿宋_GB2312" w:cs="Times New Roman"/>
          <w:b/>
          <w:color w:val="000000"/>
          <w:sz w:val="36"/>
        </w:rPr>
        <w:t>项目信息表</w:t>
      </w:r>
    </w:p>
    <w:tbl>
      <w:tblPr>
        <w:tblStyle w:val="3"/>
        <w:tblW w:w="85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20"/>
        <w:gridCol w:w="900"/>
        <w:gridCol w:w="81"/>
        <w:gridCol w:w="1719"/>
        <w:gridCol w:w="1957"/>
        <w:gridCol w:w="1144"/>
        <w:gridCol w:w="2059"/>
      </w:tblGrid>
      <w:tr w14:paraId="180E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541C7A22">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项目名称</w:t>
            </w:r>
          </w:p>
        </w:tc>
        <w:tc>
          <w:tcPr>
            <w:tcW w:w="6879" w:type="dxa"/>
            <w:gridSpan w:val="4"/>
          </w:tcPr>
          <w:p>
            <w:pPr>
              <w:spacing w:after="0" w:line="264" w:lineRule="auto"/>
              <w:jc w:val="center"/>
            </w:pPr>
            <w:r/>
            <w:r>
              <w:rPr>
                <w:rFonts w:ascii="Times New Roman" w:hAnsi="Times New Roman" w:eastAsia="宋体"/>
                <w:b w:val="0"/>
                <w:sz w:val="21"/>
              </w:rPr>
              <w:t>基于玄女月度地理嵌入的海淀区生态系统调节服务价值核算技术试点研究</w:t>
            </w:r>
          </w:p>
        </w:tc>
      </w:tr>
      <w:tr w14:paraId="4959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2F11ACAD">
            <w:pPr>
              <w:spacing w:before="60" w:line="360" w:lineRule="auto"/>
              <w:ind w:right="28"/>
              <w:jc w:val="center"/>
              <w:rPr>
                <w:rFonts w:ascii="仿宋" w:hAnsi="仿宋" w:eastAsia="仿宋" w:cs="Times New Roman"/>
                <w:color w:val="000000"/>
                <w:spacing w:val="-20"/>
                <w:sz w:val="24"/>
              </w:rPr>
            </w:pPr>
            <w:r>
              <w:rPr>
                <w:rFonts w:hint="eastAsia" w:ascii="仿宋" w:hAnsi="仿宋" w:eastAsia="仿宋" w:cs="Times New Roman"/>
                <w:color w:val="000000"/>
                <w:sz w:val="24"/>
              </w:rPr>
              <w:t>成果</w:t>
            </w:r>
            <w:r>
              <w:rPr>
                <w:rFonts w:ascii="仿宋" w:hAnsi="仿宋" w:eastAsia="仿宋" w:cs="Times New Roman"/>
                <w:color w:val="000000"/>
                <w:sz w:val="24"/>
              </w:rPr>
              <w:t>转化方式</w:t>
            </w:r>
          </w:p>
        </w:tc>
        <w:tc>
          <w:tcPr>
            <w:tcW w:w="6879" w:type="dxa"/>
            <w:gridSpan w:val="4"/>
            <w:vAlign w:val="center"/>
          </w:tcPr>
          <w:p>
            <w:pPr>
              <w:spacing w:after="0" w:line="264" w:lineRule="auto"/>
              <w:jc w:val="left"/>
            </w:pPr>
            <w:r/>
            <w:r>
              <w:rPr>
                <w:rFonts w:ascii="Times New Roman" w:hAnsi="Times New Roman" w:eastAsia="宋体"/>
                <w:b w:val="0"/>
                <w:sz w:val="21"/>
              </w:rPr>
              <w:t>■1.业务化；■2.工程化；□3.产业化；□4.资本化</w:t>
            </w:r>
          </w:p>
        </w:tc>
      </w:tr>
      <w:tr w14:paraId="629C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6BEF05FB">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对应规划方向</w:t>
            </w:r>
          </w:p>
        </w:tc>
        <w:tc>
          <w:tcPr>
            <w:tcW w:w="6879" w:type="dxa"/>
            <w:gridSpan w:val="4"/>
          </w:tcPr>
          <w:p>
            <w:pPr>
              <w:spacing w:after="0" w:line="264" w:lineRule="auto"/>
              <w:jc w:val="left"/>
            </w:pPr>
            <w:r/>
            <w:r>
              <w:rPr>
                <w:rFonts w:ascii="Times New Roman" w:hAnsi="Times New Roman" w:eastAsia="宋体"/>
                <w:b w:val="0"/>
                <w:sz w:val="21"/>
              </w:rPr>
              <w:t>生态环境治理与数字化</w:t>
            </w:r>
          </w:p>
        </w:tc>
      </w:tr>
      <w:tr w14:paraId="3689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069DBF1B">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对应指南</w:t>
            </w:r>
            <w:r>
              <w:rPr>
                <w:rFonts w:ascii="仿宋" w:hAnsi="仿宋" w:eastAsia="仿宋" w:cs="Times New Roman"/>
                <w:color w:val="000000"/>
                <w:sz w:val="24"/>
              </w:rPr>
              <w:t>方向</w:t>
            </w:r>
          </w:p>
        </w:tc>
        <w:tc>
          <w:tcPr>
            <w:tcW w:w="6879" w:type="dxa"/>
            <w:gridSpan w:val="4"/>
          </w:tcPr>
          <w:p>
            <w:pPr>
              <w:spacing w:after="0" w:line="264" w:lineRule="auto"/>
              <w:jc w:val="left"/>
            </w:pPr>
            <w:r/>
            <w:r>
              <w:rPr>
                <w:rFonts w:ascii="Times New Roman" w:hAnsi="Times New Roman" w:eastAsia="宋体"/>
                <w:b w:val="0"/>
                <w:sz w:val="21"/>
              </w:rPr>
              <w:t>生态系统服务核算与遥感智能分析</w:t>
            </w:r>
          </w:p>
        </w:tc>
      </w:tr>
      <w:tr w14:paraId="0CFA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30C3B77F">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项目研究周期</w:t>
            </w:r>
          </w:p>
        </w:tc>
        <w:tc>
          <w:tcPr>
            <w:tcW w:w="6879" w:type="dxa"/>
            <w:gridSpan w:val="4"/>
            <w:vAlign w:val="center"/>
          </w:tcPr>
          <w:p>
            <w:pPr>
              <w:spacing w:after="0" w:line="264" w:lineRule="auto"/>
              <w:jc w:val="left"/>
            </w:pPr>
            <w:r/>
            <w:r>
              <w:rPr>
                <w:rFonts w:ascii="Times New Roman" w:hAnsi="Times New Roman" w:eastAsia="宋体"/>
                <w:b w:val="0"/>
                <w:sz w:val="21"/>
              </w:rPr>
              <w:t>□1年；■2年</w:t>
            </w:r>
          </w:p>
        </w:tc>
      </w:tr>
      <w:tr w14:paraId="20D9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773" w:hRule="atLeast"/>
        </w:trPr>
        <w:tc>
          <w:tcPr>
            <w:tcW w:w="1701" w:type="dxa"/>
            <w:gridSpan w:val="3"/>
            <w:vAlign w:val="center"/>
          </w:tcPr>
          <w:p w14:paraId="7B1E7388">
            <w:pPr>
              <w:snapToGrid w:val="0"/>
              <w:spacing w:before="60" w:line="264" w:lineRule="auto"/>
              <w:ind w:right="28"/>
              <w:jc w:val="center"/>
              <w:rPr>
                <w:rFonts w:ascii="仿宋" w:hAnsi="仿宋" w:eastAsia="仿宋" w:cs="Times New Roman"/>
                <w:color w:val="000000"/>
                <w:spacing w:val="-10"/>
                <w:sz w:val="24"/>
              </w:rPr>
            </w:pPr>
            <w:r>
              <w:rPr>
                <w:rFonts w:hint="eastAsia" w:ascii="仿宋" w:hAnsi="仿宋" w:eastAsia="仿宋" w:cs="Times New Roman"/>
                <w:color w:val="000000"/>
                <w:spacing w:val="-10"/>
                <w:sz w:val="24"/>
              </w:rPr>
              <w:t>项目概述</w:t>
            </w:r>
          </w:p>
          <w:p w14:paraId="55553E6C">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pacing w:val="-10"/>
                <w:sz w:val="24"/>
              </w:rPr>
              <w:t>（300字）</w:t>
            </w:r>
          </w:p>
        </w:tc>
        <w:tc>
          <w:tcPr>
            <w:tcW w:w="6879" w:type="dxa"/>
            <w:gridSpan w:val="4"/>
          </w:tcPr>
          <w:p>
            <w:pPr>
              <w:spacing w:after="0" w:line="264" w:lineRule="auto"/>
              <w:jc w:val="left"/>
            </w:pPr>
            <w:r/>
            <w:r>
              <w:rPr>
                <w:rFonts w:ascii="Times New Roman" w:hAnsi="Times New Roman" w:eastAsia="宋体"/>
                <w:b w:val="0"/>
                <w:sz w:val="21"/>
              </w:rPr>
              <w:t>本项目面向海淀区生态系统服务核算中遥感数据分散、生态状态更新不及时、服务模型与核算口径衔接不足等问题，开展调节服务价值核算技术试点。依托现有玄女月度地理嵌入基础，构建多源遥感与生态辅助数据协同处理、生态状态空间化、服务实物量反演、价值量核算和结果查询的技术流程。玄女产品以名义10米等效分析网格输出，用于生态系统面积、覆盖比例和空间分配，不替代生物量、蒸散发、径流和近地气温等过程观测。项目依据GB/T 46869—2025，优先完成固定二氧化碳、洪水调蓄和局部气候调节三类服务的实物量和价值量试点，形成海淀区应用成果、数据台账和可追溯核算工具，为后续完善生态产品清单和开展完整GEP核算提供基础。</w:t>
            </w:r>
          </w:p>
        </w:tc>
      </w:tr>
      <w:tr w14:paraId="0793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210" w:hRule="atLeast"/>
        </w:trPr>
        <w:tc>
          <w:tcPr>
            <w:tcW w:w="720" w:type="dxa"/>
            <w:vMerge w:val="restart"/>
            <w:shd w:val="clear" w:color="auto" w:fill="auto"/>
            <w:textDirection w:val="tbRlV"/>
            <w:vAlign w:val="center"/>
          </w:tcPr>
          <w:p w14:paraId="54E583D2">
            <w:pPr>
              <w:snapToGrid w:val="0"/>
              <w:spacing w:before="60" w:line="264" w:lineRule="auto"/>
              <w:ind w:left="113" w:right="28"/>
              <w:jc w:val="center"/>
              <w:rPr>
                <w:rFonts w:ascii="仿宋" w:hAnsi="仿宋" w:eastAsia="仿宋" w:cs="Times New Roman"/>
                <w:color w:val="000000"/>
                <w:sz w:val="24"/>
              </w:rPr>
            </w:pPr>
            <w:r>
              <w:rPr>
                <w:rFonts w:hint="eastAsia" w:ascii="仿宋" w:hAnsi="仿宋" w:eastAsia="仿宋" w:cs="Times New Roman"/>
                <w:color w:val="000000"/>
                <w:sz w:val="24"/>
              </w:rPr>
              <w:t>项目预期成果与效益</w:t>
            </w:r>
          </w:p>
        </w:tc>
        <w:tc>
          <w:tcPr>
            <w:tcW w:w="7860" w:type="dxa"/>
            <w:gridSpan w:val="6"/>
          </w:tcPr>
          <w:p>
            <w:pPr>
              <w:spacing w:after="0" w:line="264" w:lineRule="auto"/>
              <w:jc w:val="left"/>
            </w:pPr>
            <w:r/>
            <w:r>
              <w:rPr>
                <w:rFonts w:ascii="Times New Roman" w:hAnsi="Times New Roman" w:eastAsia="宋体"/>
                <w:b w:val="0"/>
                <w:sz w:val="21"/>
              </w:rPr>
              <w:t>主要科技成果及形式：数据台账、三类调节服务价值试点、核算辅助工具、试点报告与技术附件。</w:t>
            </w:r>
          </w:p>
        </w:tc>
      </w:tr>
      <w:tr w14:paraId="6A6D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4" w:hRule="atLeast"/>
        </w:trPr>
        <w:tc>
          <w:tcPr>
            <w:tcW w:w="720" w:type="dxa"/>
            <w:vMerge w:val="continue"/>
            <w:shd w:val="clear" w:color="auto" w:fill="auto"/>
            <w:textDirection w:val="tbRlV"/>
            <w:vAlign w:val="center"/>
          </w:tcPr>
          <w:p w14:paraId="2D1552BE">
            <w:pPr>
              <w:snapToGrid w:val="0"/>
              <w:spacing w:before="60" w:line="264" w:lineRule="auto"/>
              <w:ind w:left="113" w:right="28"/>
              <w:jc w:val="center"/>
              <w:rPr>
                <w:rFonts w:ascii="仿宋" w:hAnsi="仿宋" w:eastAsia="仿宋" w:cs="Times New Roman"/>
                <w:color w:val="000000"/>
                <w:sz w:val="24"/>
              </w:rPr>
            </w:pPr>
          </w:p>
        </w:tc>
        <w:tc>
          <w:tcPr>
            <w:tcW w:w="7860" w:type="dxa"/>
            <w:gridSpan w:val="6"/>
          </w:tcPr>
          <w:p>
            <w:pPr>
              <w:spacing w:after="0" w:line="264" w:lineRule="auto"/>
              <w:jc w:val="left"/>
            </w:pPr>
            <w:r/>
            <w:r>
              <w:rPr>
                <w:rFonts w:ascii="Times New Roman" w:hAnsi="Times New Roman" w:eastAsia="宋体"/>
                <w:b w:val="0"/>
                <w:sz w:val="21"/>
              </w:rPr>
              <w:t>重点技术突破及产品：月度地理嵌入与服务专题模型协同；标准化实物量与价值量核算；可追溯核算辅助工具。</w:t>
            </w:r>
          </w:p>
        </w:tc>
      </w:tr>
      <w:tr w14:paraId="4A40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00" w:hRule="atLeast"/>
        </w:trPr>
        <w:tc>
          <w:tcPr>
            <w:tcW w:w="720" w:type="dxa"/>
            <w:vMerge w:val="continue"/>
            <w:shd w:val="clear" w:color="auto" w:fill="auto"/>
            <w:textDirection w:val="tbRlV"/>
            <w:vAlign w:val="center"/>
          </w:tcPr>
          <w:p w14:paraId="3BA2D224">
            <w:pPr>
              <w:snapToGrid w:val="0"/>
              <w:spacing w:before="60" w:line="264" w:lineRule="auto"/>
              <w:ind w:left="113" w:right="28"/>
              <w:jc w:val="center"/>
              <w:rPr>
                <w:rFonts w:ascii="仿宋" w:hAnsi="仿宋" w:eastAsia="仿宋" w:cs="Times New Roman"/>
                <w:color w:val="000000"/>
                <w:sz w:val="24"/>
              </w:rPr>
            </w:pPr>
          </w:p>
        </w:tc>
        <w:tc>
          <w:tcPr>
            <w:tcW w:w="7860" w:type="dxa"/>
            <w:gridSpan w:val="6"/>
          </w:tcPr>
          <w:p>
            <w:pPr>
              <w:spacing w:after="0" w:line="264" w:lineRule="auto"/>
              <w:jc w:val="left"/>
            </w:pPr>
            <w:r/>
            <w:r>
              <w:rPr>
                <w:rFonts w:ascii="Times New Roman" w:hAnsi="Times New Roman" w:eastAsia="宋体"/>
                <w:b w:val="0"/>
                <w:sz w:val="21"/>
              </w:rPr>
              <w:t>效益预期：支撑海淀区生态空间监测、服务核算、年度更新和结果复核，提升数据整理和成果审查效率。</w:t>
            </w:r>
          </w:p>
        </w:tc>
      </w:tr>
      <w:tr w14:paraId="2363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13" w:hRule="atLeast"/>
        </w:trPr>
        <w:tc>
          <w:tcPr>
            <w:tcW w:w="1620" w:type="dxa"/>
            <w:gridSpan w:val="2"/>
            <w:vAlign w:val="center"/>
          </w:tcPr>
          <w:p w14:paraId="05D1D1E3">
            <w:pPr>
              <w:spacing w:before="60" w:line="360" w:lineRule="auto"/>
              <w:ind w:right="28"/>
              <w:jc w:val="center"/>
              <w:rPr>
                <w:rFonts w:ascii="仿宋" w:hAnsi="仿宋" w:eastAsia="仿宋" w:cs="Times New Roman"/>
                <w:color w:val="000000"/>
                <w:spacing w:val="-20"/>
                <w:sz w:val="24"/>
              </w:rPr>
            </w:pPr>
            <w:r>
              <w:rPr>
                <w:rFonts w:hint="eastAsia" w:ascii="仿宋" w:hAnsi="仿宋" w:eastAsia="仿宋" w:cs="Times New Roman"/>
                <w:color w:val="000000"/>
                <w:spacing w:val="-20"/>
                <w:sz w:val="24"/>
              </w:rPr>
              <w:t>申报项目经费</w:t>
            </w:r>
          </w:p>
        </w:tc>
        <w:tc>
          <w:tcPr>
            <w:tcW w:w="6960" w:type="dxa"/>
            <w:gridSpan w:val="5"/>
            <w:vAlign w:val="center"/>
          </w:tcPr>
          <w:p w14:paraId="4774D524">
            <w:pPr>
              <w:spacing w:before="60" w:line="360" w:lineRule="auto"/>
              <w:ind w:right="28" w:firstLine="100" w:firstLineChars="50"/>
              <w:rPr>
                <w:rFonts w:ascii="仿宋" w:hAnsi="仿宋" w:eastAsia="仿宋" w:cs="Times New Roman"/>
                <w:color w:val="000000"/>
                <w:spacing w:val="-20"/>
                <w:sz w:val="24"/>
              </w:rPr>
            </w:pPr>
            <w:r>
              <w:rPr>
                <w:rFonts w:hint="eastAsia" w:ascii="仿宋" w:hAnsi="仿宋" w:eastAsia="仿宋" w:cs="Times New Roman"/>
                <w:color w:val="000000"/>
                <w:spacing w:val="-20"/>
                <w:sz w:val="24"/>
                <w:u w:val="single"/>
              </w:rPr>
              <w:t xml:space="preserve">     </w:t>
            </w:r>
            <w:r>
              <w:rPr>
                <w:rFonts w:ascii="仿宋" w:hAnsi="仿宋" w:eastAsia="仿宋" w:cs="Times New Roman"/>
                <w:color w:val="000000"/>
                <w:spacing w:val="-20"/>
                <w:sz w:val="24"/>
                <w:u w:val="single"/>
              </w:rPr>
              <w:t xml:space="preserve">                   </w:t>
            </w:r>
            <w:r>
              <w:rPr>
                <w:rFonts w:hint="eastAsia" w:ascii="仿宋" w:hAnsi="仿宋" w:eastAsia="仿宋" w:cs="Times New Roman"/>
                <w:color w:val="000000"/>
                <w:spacing w:val="-20"/>
                <w:sz w:val="24"/>
              </w:rPr>
              <w:t xml:space="preserve">万元 </w:t>
            </w:r>
          </w:p>
        </w:tc>
      </w:tr>
      <w:tr w14:paraId="3271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restart"/>
            <w:shd w:val="clear" w:color="auto" w:fill="auto"/>
            <w:vAlign w:val="center"/>
          </w:tcPr>
          <w:p w14:paraId="286023BF">
            <w:pPr>
              <w:snapToGrid w:val="0"/>
              <w:spacing w:before="60" w:line="264" w:lineRule="auto"/>
              <w:ind w:right="28"/>
              <w:jc w:val="center"/>
              <w:rPr>
                <w:rFonts w:ascii="仿宋" w:hAnsi="仿宋" w:eastAsia="仿宋" w:cs="Times New Roman"/>
                <w:color w:val="000000"/>
                <w:spacing w:val="-10"/>
                <w:sz w:val="24"/>
              </w:rPr>
            </w:pPr>
            <w:r>
              <w:rPr>
                <w:rFonts w:hint="eastAsia" w:ascii="仿宋" w:hAnsi="仿宋" w:eastAsia="仿宋" w:cs="Times New Roman"/>
                <w:color w:val="000000"/>
                <w:spacing w:val="-10"/>
                <w:sz w:val="24"/>
              </w:rPr>
              <w:t>项目申报负责人</w:t>
            </w:r>
          </w:p>
        </w:tc>
        <w:tc>
          <w:tcPr>
            <w:tcW w:w="1800" w:type="dxa"/>
            <w:gridSpan w:val="2"/>
            <w:vAlign w:val="center"/>
          </w:tcPr>
          <w:p w14:paraId="1770D90C">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姓名</w:t>
            </w:r>
          </w:p>
        </w:tc>
        <w:tc>
          <w:tcPr>
            <w:tcW w:w="1957" w:type="dxa"/>
            <w:vAlign w:val="center"/>
          </w:tcPr>
          <w:p w14:paraId="6386F51E">
            <w:pPr>
              <w:snapToGrid w:val="0"/>
              <w:spacing w:before="60" w:line="264" w:lineRule="auto"/>
              <w:ind w:right="28"/>
              <w:jc w:val="center"/>
              <w:rPr>
                <w:rFonts w:ascii="仿宋" w:hAnsi="仿宋" w:eastAsia="仿宋" w:cs="Times New Roman"/>
                <w:color w:val="000000"/>
                <w:sz w:val="24"/>
              </w:rPr>
            </w:pPr>
          </w:p>
        </w:tc>
        <w:tc>
          <w:tcPr>
            <w:tcW w:w="1144" w:type="dxa"/>
            <w:vAlign w:val="center"/>
          </w:tcPr>
          <w:p w14:paraId="36BB04AC">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出生年月</w:t>
            </w:r>
          </w:p>
        </w:tc>
        <w:tc>
          <w:tcPr>
            <w:tcW w:w="2059" w:type="dxa"/>
            <w:vAlign w:val="center"/>
          </w:tcPr>
          <w:p w14:paraId="5C7E6E24">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年 月</w:t>
            </w:r>
          </w:p>
        </w:tc>
      </w:tr>
      <w:tr w14:paraId="46FF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04A98E2F">
            <w:pPr>
              <w:snapToGrid w:val="0"/>
              <w:spacing w:before="60" w:line="264" w:lineRule="auto"/>
              <w:ind w:right="28"/>
              <w:jc w:val="center"/>
              <w:rPr>
                <w:rFonts w:ascii="仿宋" w:hAnsi="仿宋" w:eastAsia="仿宋" w:cs="Times New Roman"/>
                <w:color w:val="000000"/>
                <w:spacing w:val="-10"/>
                <w:sz w:val="24"/>
              </w:rPr>
            </w:pPr>
          </w:p>
        </w:tc>
        <w:tc>
          <w:tcPr>
            <w:tcW w:w="1800" w:type="dxa"/>
            <w:gridSpan w:val="2"/>
            <w:vAlign w:val="center"/>
          </w:tcPr>
          <w:p w14:paraId="64CF7BF1">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学 位</w:t>
            </w:r>
          </w:p>
        </w:tc>
        <w:tc>
          <w:tcPr>
            <w:tcW w:w="5160" w:type="dxa"/>
            <w:gridSpan w:val="3"/>
            <w:vAlign w:val="center"/>
          </w:tcPr>
          <w:p w14:paraId="28EE5661">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□博士  □硕士 □学士 □其他</w:t>
            </w:r>
          </w:p>
        </w:tc>
      </w:tr>
      <w:tr w14:paraId="7D9B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5BEB880A">
            <w:pPr>
              <w:snapToGrid w:val="0"/>
              <w:spacing w:before="60" w:line="264" w:lineRule="auto"/>
              <w:ind w:right="28"/>
              <w:jc w:val="center"/>
              <w:rPr>
                <w:rFonts w:ascii="仿宋" w:hAnsi="仿宋" w:eastAsia="仿宋" w:cs="Times New Roman"/>
                <w:color w:val="000000"/>
                <w:spacing w:val="-10"/>
                <w:sz w:val="24"/>
              </w:rPr>
            </w:pPr>
          </w:p>
        </w:tc>
        <w:tc>
          <w:tcPr>
            <w:tcW w:w="1800" w:type="dxa"/>
            <w:gridSpan w:val="2"/>
            <w:vAlign w:val="center"/>
          </w:tcPr>
          <w:p w14:paraId="363168B4">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职 称</w:t>
            </w:r>
          </w:p>
        </w:tc>
        <w:tc>
          <w:tcPr>
            <w:tcW w:w="5160" w:type="dxa"/>
            <w:gridSpan w:val="3"/>
            <w:vAlign w:val="center"/>
          </w:tcPr>
          <w:p w14:paraId="3F84D0EA">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□正高  □副高  □中级 □初级 □其他</w:t>
            </w:r>
          </w:p>
        </w:tc>
      </w:tr>
      <w:tr w14:paraId="56EB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018B10AB">
            <w:pPr>
              <w:snapToGrid w:val="0"/>
              <w:spacing w:before="60" w:line="264" w:lineRule="auto"/>
              <w:ind w:right="28"/>
              <w:jc w:val="center"/>
              <w:rPr>
                <w:rFonts w:ascii="仿宋" w:hAnsi="仿宋" w:eastAsia="仿宋" w:cs="Times New Roman"/>
                <w:color w:val="000000"/>
                <w:spacing w:val="-10"/>
                <w:sz w:val="24"/>
              </w:rPr>
            </w:pPr>
          </w:p>
        </w:tc>
        <w:tc>
          <w:tcPr>
            <w:tcW w:w="1800" w:type="dxa"/>
            <w:gridSpan w:val="2"/>
            <w:vAlign w:val="center"/>
          </w:tcPr>
          <w:p w14:paraId="4685C9CF">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电话（座机）</w:t>
            </w:r>
          </w:p>
        </w:tc>
        <w:tc>
          <w:tcPr>
            <w:tcW w:w="1957" w:type="dxa"/>
            <w:vAlign w:val="center"/>
          </w:tcPr>
          <w:p w14:paraId="018713C7">
            <w:pPr>
              <w:snapToGrid w:val="0"/>
              <w:spacing w:before="60" w:line="264" w:lineRule="auto"/>
              <w:ind w:right="28"/>
              <w:jc w:val="center"/>
              <w:rPr>
                <w:rFonts w:ascii="仿宋" w:hAnsi="仿宋" w:eastAsia="仿宋" w:cs="Times New Roman"/>
                <w:color w:val="000000"/>
                <w:sz w:val="24"/>
              </w:rPr>
            </w:pPr>
          </w:p>
        </w:tc>
        <w:tc>
          <w:tcPr>
            <w:tcW w:w="1144" w:type="dxa"/>
            <w:vAlign w:val="center"/>
          </w:tcPr>
          <w:p w14:paraId="57942903">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手机</w:t>
            </w:r>
          </w:p>
        </w:tc>
        <w:tc>
          <w:tcPr>
            <w:tcW w:w="2059" w:type="dxa"/>
            <w:vAlign w:val="center"/>
          </w:tcPr>
          <w:p w14:paraId="5A83FE1E">
            <w:pPr>
              <w:snapToGrid w:val="0"/>
              <w:spacing w:before="60" w:line="264" w:lineRule="auto"/>
              <w:ind w:right="28"/>
              <w:jc w:val="center"/>
              <w:rPr>
                <w:rFonts w:ascii="仿宋" w:hAnsi="仿宋" w:eastAsia="仿宋" w:cs="Times New Roman"/>
                <w:color w:val="000000"/>
                <w:sz w:val="24"/>
              </w:rPr>
            </w:pPr>
          </w:p>
        </w:tc>
      </w:tr>
      <w:tr w14:paraId="2687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6F6E2644">
            <w:pPr>
              <w:snapToGrid w:val="0"/>
              <w:spacing w:before="60" w:line="264" w:lineRule="auto"/>
              <w:ind w:right="28"/>
              <w:jc w:val="center"/>
              <w:rPr>
                <w:rFonts w:ascii="仿宋" w:hAnsi="仿宋" w:eastAsia="仿宋" w:cs="Times New Roman"/>
                <w:color w:val="000000"/>
                <w:sz w:val="24"/>
              </w:rPr>
            </w:pPr>
          </w:p>
        </w:tc>
        <w:tc>
          <w:tcPr>
            <w:tcW w:w="1800" w:type="dxa"/>
            <w:gridSpan w:val="2"/>
            <w:vAlign w:val="center"/>
          </w:tcPr>
          <w:p w14:paraId="542504C3">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E-mail</w:t>
            </w:r>
          </w:p>
        </w:tc>
        <w:tc>
          <w:tcPr>
            <w:tcW w:w="1957" w:type="dxa"/>
            <w:vAlign w:val="center"/>
          </w:tcPr>
          <w:p w14:paraId="2CC9ED1D">
            <w:pPr>
              <w:snapToGrid w:val="0"/>
              <w:spacing w:before="60" w:line="264" w:lineRule="auto"/>
              <w:ind w:right="28"/>
              <w:jc w:val="center"/>
              <w:rPr>
                <w:rFonts w:ascii="仿宋" w:hAnsi="仿宋" w:eastAsia="仿宋" w:cs="Times New Roman"/>
                <w:color w:val="000000"/>
                <w:sz w:val="24"/>
              </w:rPr>
            </w:pPr>
          </w:p>
        </w:tc>
        <w:tc>
          <w:tcPr>
            <w:tcW w:w="1144" w:type="dxa"/>
            <w:vAlign w:val="center"/>
          </w:tcPr>
          <w:p w14:paraId="26465B8A">
            <w:pPr>
              <w:snapToGrid w:val="0"/>
              <w:spacing w:before="60" w:line="264" w:lineRule="auto"/>
              <w:ind w:right="28"/>
              <w:jc w:val="center"/>
              <w:rPr>
                <w:rFonts w:ascii="仿宋" w:hAnsi="仿宋" w:eastAsia="仿宋" w:cs="Times New Roman"/>
                <w:color w:val="000000"/>
                <w:sz w:val="24"/>
              </w:rPr>
            </w:pPr>
          </w:p>
        </w:tc>
        <w:tc>
          <w:tcPr>
            <w:tcW w:w="2059" w:type="dxa"/>
            <w:vAlign w:val="center"/>
          </w:tcPr>
          <w:p w14:paraId="212A33CF">
            <w:pPr>
              <w:snapToGrid w:val="0"/>
              <w:spacing w:before="60" w:line="264" w:lineRule="auto"/>
              <w:ind w:right="28"/>
              <w:jc w:val="center"/>
              <w:rPr>
                <w:rFonts w:ascii="仿宋" w:hAnsi="仿宋" w:eastAsia="仿宋" w:cs="Times New Roman"/>
                <w:color w:val="000000"/>
                <w:sz w:val="24"/>
              </w:rPr>
            </w:pPr>
          </w:p>
        </w:tc>
      </w:tr>
    </w:tbl>
    <w:p w14:paraId="1B9A5EAC">
      <w:pPr>
        <w:tabs>
          <w:tab w:val="left" w:pos="5115"/>
        </w:tabs>
        <w:spacing w:line="360" w:lineRule="auto"/>
        <w:ind w:right="567"/>
        <w:outlineLvl w:val="0"/>
        <w:rPr>
          <w:rFonts w:ascii="Calibri" w:hAnsi="Calibri" w:eastAsia="黑体" w:cs="Times New Roman"/>
          <w:sz w:val="32"/>
        </w:rPr>
      </w:pPr>
      <w:r>
        <w:rPr>
          <w:rFonts w:ascii="仿宋_GB2312" w:hAnsi="Calibri" w:eastAsia="仿宋_GB2312" w:cs="Times New Roman"/>
          <w:color w:val="000000"/>
          <w:sz w:val="28"/>
        </w:rPr>
        <w:br w:type="page"/>
      </w:r>
      <w:r>
        <w:rPr>
          <w:rFonts w:hint="eastAsia" w:ascii="Calibri" w:hAnsi="Calibri" w:eastAsia="黑体" w:cs="Times New Roman"/>
          <w:sz w:val="32"/>
        </w:rPr>
        <w:t>一</w:t>
      </w:r>
      <w:r>
        <w:rPr>
          <w:rFonts w:ascii="Calibri" w:hAnsi="Calibri" w:eastAsia="黑体" w:cs="Times New Roman"/>
          <w:sz w:val="32"/>
        </w:rPr>
        <w:t>、</w:t>
      </w:r>
      <w:r>
        <w:rPr>
          <w:rFonts w:hint="eastAsia" w:ascii="Calibri" w:hAnsi="Calibri" w:eastAsia="黑体" w:cs="Times New Roman"/>
          <w:sz w:val="32"/>
        </w:rPr>
        <w:t>目标与研究任务</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2710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2" w:hRule="atLeast"/>
        </w:trPr>
        <w:tc>
          <w:tcPr>
            <w:tcW w:w="9061" w:type="dxa"/>
          </w:tcPr>
          <w:p>
            <w:pPr>
              <w:spacing w:after="60" w:line="300" w:lineRule="auto"/>
              <w:jc w:val="left"/>
            </w:pPr>
            <w:r>
              <w:rPr>
                <w:rFonts w:ascii="Times New Roman" w:hAnsi="Times New Roman" w:eastAsia="宋体"/>
                <w:b/>
                <w:sz w:val="21"/>
              </w:rPr>
              <w:t>1. 项目研究的目的、必要性和可行性（500字以内）</w:t>
            </w:r>
          </w:p>
          <w:p>
            <w:pPr>
              <w:spacing w:after="60" w:line="300" w:lineRule="auto"/>
              <w:jc w:val="left"/>
            </w:pPr>
            <w:r>
              <w:rPr>
                <w:rFonts w:ascii="Times New Roman" w:hAnsi="Times New Roman" w:eastAsia="宋体"/>
                <w:b w:val="0"/>
                <w:sz w:val="19"/>
              </w:rPr>
              <w:t>生态系统生产总值核算需要统筹生态系统类型、遥感监测、生态过程、统计资料和价值参数。现有工作中，多源数据的时间、空间和质量信息不统一，生态状态制图与服务实物量核算之间衔接不足，难以支撑细尺度、可追溯的城市生态服务评估。</w:t>
            </w:r>
          </w:p>
          <w:p>
            <w:pPr>
              <w:spacing w:after="60" w:line="300" w:lineRule="auto"/>
              <w:jc w:val="left"/>
            </w:pPr>
            <w:r>
              <w:rPr>
                <w:rFonts w:ascii="Times New Roman" w:hAnsi="Times New Roman" w:eastAsia="宋体"/>
                <w:b w:val="0"/>
                <w:sz w:val="19"/>
              </w:rPr>
              <w:t>海淀区具有城市建成区、河湖湿地、公园绿地和西部山地林地等多类生态空间，固碳、洪水调蓄和局部气候调节服务需求突出。本项目以GB/T 46869—2025为依据，以三类调节服务为首期试点，建立统一的数据组织、过程核算和价值量计算方法。</w:t>
            </w:r>
          </w:p>
          <w:p>
            <w:pPr>
              <w:spacing w:after="60" w:line="300" w:lineRule="auto"/>
              <w:jc w:val="left"/>
            </w:pPr>
            <w:r>
              <w:rPr>
                <w:rFonts w:ascii="Times New Roman" w:hAnsi="Times New Roman" w:eastAsia="宋体"/>
                <w:b w:val="0"/>
                <w:sz w:val="19"/>
              </w:rPr>
              <w:t>项目已形成玄女月度地理嵌入基础。现有模型以1,280米×1,280米范围组织数据，每个范围输出128×128×64的名义10米等效分析网格，用于地表状态表达和空间分配。本项目将补充生态系统分类、气象、水文、土壤、清查、监测、统计和价格资料，采用国家标准方法及经验证的专题模型完成服务核算。</w:t>
            </w:r>
          </w:p>
          <w:p>
            <w:pPr>
              <w:spacing w:after="60" w:line="300" w:lineRule="auto"/>
              <w:jc w:val="left"/>
            </w:pPr>
            <w:r>
              <w:rPr>
                <w:rFonts w:ascii="Times New Roman" w:hAnsi="Times New Roman" w:eastAsia="宋体"/>
                <w:b/>
                <w:sz w:val="21"/>
              </w:rPr>
              <w:t>2. 项目目标</w:t>
            </w:r>
          </w:p>
          <w:p>
            <w:pPr>
              <w:spacing w:after="60" w:line="300" w:lineRule="auto"/>
              <w:jc w:val="left"/>
            </w:pPr>
            <w:r>
              <w:rPr>
                <w:rFonts w:ascii="Times New Roman" w:hAnsi="Times New Roman" w:eastAsia="宋体"/>
                <w:b w:val="0"/>
                <w:sz w:val="19"/>
              </w:rPr>
              <w:t>1. 建立海淀区生态系统调节服务数据台账和月度生态状态基础数据产品，统一空间参考、时间范围、质量标识和版本管理。</w:t>
            </w:r>
          </w:p>
          <w:p>
            <w:pPr>
              <w:spacing w:after="60" w:line="300" w:lineRule="auto"/>
              <w:jc w:val="left"/>
            </w:pPr>
            <w:r>
              <w:rPr>
                <w:rFonts w:ascii="Times New Roman" w:hAnsi="Times New Roman" w:eastAsia="宋体"/>
                <w:b w:val="0"/>
                <w:sz w:val="19"/>
              </w:rPr>
              <w:t>2. 建立固定二氧化碳、洪水调蓄、局部气候调节三类服务的实物量与价值量核算方法，形成与GB/T 46869—2025衔接的试点成果。</w:t>
            </w:r>
          </w:p>
          <w:p>
            <w:pPr>
              <w:spacing w:after="60" w:line="300" w:lineRule="auto"/>
              <w:jc w:val="left"/>
            </w:pPr>
            <w:r>
              <w:rPr>
                <w:rFonts w:ascii="Times New Roman" w:hAnsi="Times New Roman" w:eastAsia="宋体"/>
                <w:b w:val="0"/>
                <w:sz w:val="19"/>
              </w:rPr>
              <w:t>3. 建立数据、模型、参数和结果可追溯的核算辅助工具，支持专题制图、统计汇总、结果查询和报告生成。</w:t>
            </w:r>
          </w:p>
          <w:p>
            <w:pPr>
              <w:spacing w:after="60" w:line="300" w:lineRule="auto"/>
              <w:jc w:val="left"/>
            </w:pPr>
            <w:r>
              <w:rPr>
                <w:rFonts w:ascii="Times New Roman" w:hAnsi="Times New Roman" w:eastAsia="宋体"/>
                <w:b w:val="0"/>
                <w:sz w:val="19"/>
              </w:rPr>
              <w:t>4. 建立完整GEP核算所需的生态产品清单、数据缺口和扩展路径。三类服务试点合计不作为海淀区完整GEP总值发布。</w:t>
            </w:r>
          </w:p>
          <w:p>
            <w:pPr>
              <w:spacing w:after="60" w:line="300" w:lineRule="auto"/>
              <w:jc w:val="left"/>
            </w:pPr>
            <w:r>
              <w:rPr>
                <w:rFonts w:ascii="Times New Roman" w:hAnsi="Times New Roman" w:eastAsia="宋体"/>
                <w:b/>
                <w:sz w:val="21"/>
              </w:rPr>
              <w:t>3. 研究内容</w:t>
            </w:r>
          </w:p>
          <w:p>
            <w:pPr>
              <w:spacing w:after="60" w:line="300" w:lineRule="auto"/>
              <w:jc w:val="left"/>
            </w:pPr>
            <w:r>
              <w:rPr>
                <w:rFonts w:ascii="Times New Roman" w:hAnsi="Times New Roman" w:eastAsia="宋体"/>
                <w:b w:val="0"/>
                <w:sz w:val="19"/>
              </w:rPr>
              <w:t>1. 数据对齐与样本库构建。形成观测数据、生态状态数据、服务实物量数据和价值参数数据四类台账；其中包括遥感影像、生态系统类型、地形、气象、土壤、水文、监测、统计和价格参数。明确原始观测、重采样辅助变量和模型推断结果的属性，建立质量控制与版本记录机制。</w:t>
            </w:r>
          </w:p>
          <w:p>
            <w:pPr>
              <w:spacing w:after="60" w:line="300" w:lineRule="auto"/>
              <w:jc w:val="left"/>
            </w:pPr>
            <w:r>
              <w:rPr>
                <w:rFonts w:ascii="Times New Roman" w:hAnsi="Times New Roman" w:eastAsia="宋体"/>
                <w:b w:val="0"/>
                <w:sz w:val="19"/>
              </w:rPr>
              <w:t>2. 月度地理嵌入与生态状态产品构建。以玄女模型为基础，形成月度地表状态嵌入和生态系统分类、覆盖比例等基础产品。10米网格仅用于面积、覆盖比例和空间分配；固碳按生态斑块或清查单元、洪水调蓄按子汇水区、局部气候调节按绿地斑块及影响范围开展过程核算。</w:t>
            </w:r>
          </w:p>
          <w:p>
            <w:pPr>
              <w:spacing w:after="60" w:line="300" w:lineRule="auto"/>
              <w:jc w:val="left"/>
            </w:pPr>
            <w:r>
              <w:rPr>
                <w:rFonts w:ascii="Times New Roman" w:hAnsi="Times New Roman" w:eastAsia="宋体"/>
                <w:b w:val="0"/>
                <w:sz w:val="19"/>
              </w:rPr>
              <w:t>3. 三类调节服务核算。固定二氧化碳服务按照GB/T 46869—2025附录A.7，根据资料条件采用生物量法、固碳速率法或净生态系统生产力（NEP）法；洪水调蓄服务按照附录A.6完成标准核算，同时将城市生态覆盖增量雨洪效益作为补充分析并与标准核算结果分表；局部气候调节按照附录A.11完成蒸散发能量或实测温差核算。三项服务均采用独立资料开展验证。</w:t>
            </w:r>
          </w:p>
          <w:p>
            <w:pPr>
              <w:spacing w:after="60" w:line="300" w:lineRule="auto"/>
              <w:jc w:val="left"/>
            </w:pPr>
            <w:r>
              <w:rPr>
                <w:rFonts w:ascii="Times New Roman" w:hAnsi="Times New Roman" w:eastAsia="宋体"/>
                <w:b w:val="0"/>
                <w:sz w:val="19"/>
              </w:rPr>
              <w:t>4. 核算工具与海淀区示范。构建受约束的查询与核算流程，形成三类服务价值试点表、专题图、数据字典、参数台账和方法报告；建立完整GEP核算的生态产品清单和后续扩展建议。</w:t>
            </w:r>
          </w:p>
          <w:p>
            <w:pPr>
              <w:spacing w:after="60" w:line="300" w:lineRule="auto"/>
              <w:jc w:val="left"/>
            </w:pPr>
            <w:r>
              <w:rPr>
                <w:rFonts w:ascii="Times New Roman" w:hAnsi="Times New Roman" w:eastAsia="宋体"/>
                <w:b/>
                <w:sz w:val="21"/>
              </w:rPr>
              <w:t>4. 创新点</w:t>
            </w:r>
          </w:p>
          <w:p>
            <w:pPr>
              <w:spacing w:after="60" w:line="300" w:lineRule="auto"/>
              <w:jc w:val="left"/>
            </w:pPr>
            <w:r>
              <w:rPr>
                <w:rFonts w:ascii="Times New Roman" w:hAnsi="Times New Roman" w:eastAsia="宋体"/>
                <w:b w:val="0"/>
                <w:sz w:val="19"/>
              </w:rPr>
              <w:t>1. 建立月度地理嵌入与生态服务核算衔接方法。以统一的地表状态表征支撑生态系统类型、面积和覆盖比例空间化，同时保持生态过程模型和标准核算口径的独立性。</w:t>
            </w:r>
          </w:p>
          <w:p>
            <w:pPr>
              <w:spacing w:after="60" w:line="300" w:lineRule="auto"/>
              <w:jc w:val="left"/>
            </w:pPr>
            <w:r>
              <w:rPr>
                <w:rFonts w:ascii="Times New Roman" w:hAnsi="Times New Roman" w:eastAsia="宋体"/>
                <w:b w:val="0"/>
                <w:sz w:val="19"/>
              </w:rPr>
              <w:t>2. 建立基础模型与专题过程模型协同方法。将月度遥感表征、生态辅助数据和服务专题模型结合，比较原始影像、嵌入产品与传统过程模型在同一验证集上的作用，为多服务复用提供依据。</w:t>
            </w:r>
          </w:p>
          <w:p>
            <w:pPr>
              <w:spacing w:after="60" w:line="300" w:lineRule="auto"/>
              <w:jc w:val="left"/>
            </w:pPr>
            <w:r>
              <w:rPr>
                <w:rFonts w:ascii="Times New Roman" w:hAnsi="Times New Roman" w:eastAsia="宋体"/>
                <w:b w:val="0"/>
                <w:sz w:val="19"/>
              </w:rPr>
              <w:t>3. 建立可追溯的核算辅助机制。将数据来源、处理方法、模型版本、参数版本和结果记录纳入统一台账，支持核算结果复算和审计。</w:t>
            </w:r>
          </w:p>
          <w:p>
            <w:pPr>
              <w:spacing w:after="60" w:line="300" w:lineRule="auto"/>
              <w:jc w:val="left"/>
            </w:pPr>
            <w:r>
              <w:rPr>
                <w:rFonts w:ascii="Times New Roman" w:hAnsi="Times New Roman" w:eastAsia="宋体"/>
                <w:b/>
                <w:sz w:val="21"/>
              </w:rPr>
              <w:t>5. 关键技术及技术路线</w:t>
            </w:r>
          </w:p>
          <w:p>
            <w:pPr>
              <w:spacing w:after="60" w:line="300" w:lineRule="auto"/>
              <w:jc w:val="left"/>
            </w:pPr>
            <w:r>
              <w:rPr>
                <w:rFonts w:ascii="Times New Roman" w:hAnsi="Times New Roman" w:eastAsia="宋体"/>
                <w:b w:val="0"/>
                <w:sz w:val="19"/>
              </w:rPr>
              <w:t>关键技术一：多源数据时空对齐与质量管理。统一空间参考、时间基准、质量标识和数据版本，形成可用于生态服务核算的基础数据产品。</w:t>
            </w:r>
          </w:p>
          <w:p>
            <w:pPr>
              <w:spacing w:after="60" w:line="300" w:lineRule="auto"/>
              <w:jc w:val="left"/>
            </w:pPr>
            <w:r>
              <w:rPr>
                <w:rFonts w:ascii="Times New Roman" w:hAnsi="Times New Roman" w:eastAsia="宋体"/>
                <w:b w:val="0"/>
                <w:sz w:val="19"/>
              </w:rPr>
              <w:t>关键技术二：月度地理嵌入与服务专题模型协同。以嵌入产品为空间状态证据，结合服务专题模型完成生态斑块、子汇水区和绿地影响范围等过程单元的实物量核算。</w:t>
            </w:r>
          </w:p>
          <w:p>
            <w:pPr>
              <w:spacing w:after="60" w:line="300" w:lineRule="auto"/>
              <w:jc w:val="left"/>
            </w:pPr>
            <w:r>
              <w:rPr>
                <w:rFonts w:ascii="Times New Roman" w:hAnsi="Times New Roman" w:eastAsia="宋体"/>
                <w:b w:val="0"/>
                <w:sz w:val="19"/>
              </w:rPr>
              <w:t>关键技术三：标准化价值量核算与可追溯工具。依据GB/T 46869—2025完成实物量、价值量、参数和结果记录，形成受约束的查询、制图和报告工具。</w:t>
            </w:r>
          </w:p>
          <w:p>
            <w:pPr>
              <w:spacing w:after="60" w:line="300" w:lineRule="auto"/>
              <w:jc w:val="left"/>
            </w:pPr>
            <w:r>
              <w:rPr>
                <w:rFonts w:ascii="Times New Roman" w:hAnsi="Times New Roman" w:eastAsia="宋体"/>
                <w:b w:val="0"/>
                <w:sz w:val="19"/>
              </w:rPr>
              <w:t>图1 技术路线：多源遥感与生态辅助数据经质量控制和时空对齐后，形成月度生态状态基础产品；以生态斑块、子汇水区和绿地影响范围为过程单元，开展三类服务实物量核算、独立验证和标准化价值量计算，最终形成试点报告、专题图和核算辅助工具。</w:t>
            </w:r>
          </w:p>
          <w:p>
            <w:pPr>
              <w:spacing w:after="60" w:line="300" w:lineRule="auto"/>
              <w:jc w:val="left"/>
            </w:pPr>
            <w:r>
              <w:rPr>
                <w:rFonts w:ascii="Times New Roman" w:hAnsi="Times New Roman" w:eastAsia="宋体"/>
                <w:b/>
                <w:sz w:val="21"/>
              </w:rPr>
              <w:t>技术路线图</w:t>
            </w:r>
          </w:p>
          <w:tbl>
            <w:tblPr>
              <w:tblW w:type="auto" w:w="0"/>
              <w:tblLook w:firstColumn="1" w:firstRow="1" w:lastColumn="0" w:lastRow="0" w:noHBand="0" w:noVBand="1" w:val="04A0"/>
            </w:tblPr>
            <w:tblGrid>
              <w:gridCol w:w="1510"/>
              <w:gridCol w:w="1510"/>
              <w:gridCol w:w="1510"/>
              <w:gridCol w:w="1510"/>
              <w:gridCol w:w="1510"/>
              <w:gridCol w:w="1510"/>
            </w:tblGrid>
            <w:tr>
              <w:tc>
                <w:tcPr>
                  <w:tcW w:type="dxa" w:w="1510"/>
                  <w:shd w:fill="F2F2F2"/>
                </w:tcPr>
                <w:p>
                  <w:pPr>
                    <w:spacing w:after="0" w:line="264" w:lineRule="auto"/>
                    <w:jc w:val="center"/>
                  </w:pPr>
                  <w:r/>
                  <w:r>
                    <w:rPr>
                      <w:rFonts w:ascii="Times New Roman" w:hAnsi="Times New Roman" w:eastAsia="宋体"/>
                      <w:b/>
                      <w:sz w:val="21"/>
                    </w:rPr>
                    <w:t>多源遥感与生态辅助数据</w:t>
                  </w:r>
                </w:p>
              </w:tc>
              <w:tc>
                <w:tcPr>
                  <w:tcW w:type="dxa" w:w="1510"/>
                  <w:shd w:fill="F2F2F2"/>
                </w:tcPr>
                <w:p>
                  <w:pPr>
                    <w:spacing w:after="0" w:line="264" w:lineRule="auto"/>
                    <w:jc w:val="center"/>
                  </w:pPr>
                  <w:r/>
                  <w:r>
                    <w:rPr>
                      <w:rFonts w:ascii="Times New Roman" w:hAnsi="Times New Roman" w:eastAsia="宋体"/>
                      <w:b/>
                      <w:sz w:val="21"/>
                    </w:rPr>
                    <w:t>质量控制与时空对齐</w:t>
                  </w:r>
                </w:p>
              </w:tc>
              <w:tc>
                <w:tcPr>
                  <w:tcW w:type="dxa" w:w="1510"/>
                  <w:shd w:fill="F2F2F2"/>
                </w:tcPr>
                <w:p>
                  <w:pPr>
                    <w:spacing w:after="0" w:line="264" w:lineRule="auto"/>
                    <w:jc w:val="center"/>
                  </w:pPr>
                  <w:r/>
                  <w:r>
                    <w:rPr>
                      <w:rFonts w:ascii="Times New Roman" w:hAnsi="Times New Roman" w:eastAsia="宋体"/>
                      <w:b/>
                      <w:sz w:val="21"/>
                    </w:rPr>
                    <w:t>月度生态状态基础产品</w:t>
                  </w:r>
                </w:p>
              </w:tc>
              <w:tc>
                <w:tcPr>
                  <w:tcW w:type="dxa" w:w="1510"/>
                  <w:shd w:fill="F2F2F2"/>
                </w:tcPr>
                <w:p>
                  <w:pPr>
                    <w:spacing w:after="0" w:line="264" w:lineRule="auto"/>
                    <w:jc w:val="center"/>
                  </w:pPr>
                  <w:r/>
                  <w:r>
                    <w:rPr>
                      <w:rFonts w:ascii="Times New Roman" w:hAnsi="Times New Roman" w:eastAsia="宋体"/>
                      <w:b/>
                      <w:sz w:val="21"/>
                    </w:rPr>
                    <w:t>过程单元核算与独立验证</w:t>
                  </w:r>
                </w:p>
              </w:tc>
              <w:tc>
                <w:tcPr>
                  <w:tcW w:type="dxa" w:w="1510"/>
                  <w:shd w:fill="F2F2F2"/>
                </w:tcPr>
                <w:p>
                  <w:pPr>
                    <w:spacing w:after="0" w:line="264" w:lineRule="auto"/>
                    <w:jc w:val="center"/>
                  </w:pPr>
                  <w:r/>
                  <w:r>
                    <w:rPr>
                      <w:rFonts w:ascii="Times New Roman" w:hAnsi="Times New Roman" w:eastAsia="宋体"/>
                      <w:b/>
                      <w:sz w:val="21"/>
                    </w:rPr>
                    <w:t>标准价值量核算</w:t>
                  </w:r>
                </w:p>
              </w:tc>
              <w:tc>
                <w:tcPr>
                  <w:tcW w:type="dxa" w:w="1510"/>
                  <w:shd w:fill="F2F2F2"/>
                </w:tcPr>
                <w:p>
                  <w:pPr>
                    <w:spacing w:after="0" w:line="264" w:lineRule="auto"/>
                    <w:jc w:val="center"/>
                  </w:pPr>
                  <w:r/>
                  <w:r>
                    <w:rPr>
                      <w:rFonts w:ascii="Times New Roman" w:hAnsi="Times New Roman" w:eastAsia="宋体"/>
                      <w:b/>
                      <w:sz w:val="21"/>
                    </w:rPr>
                    <w:t>试点报告、专题图与核算工具</w:t>
                  </w:r>
                </w:p>
              </w:tc>
            </w:tr>
          </w:tbl>
          <w:p/>
        </w:tc>
      </w:tr>
    </w:tbl>
    <w:p w14:paraId="52E03140">
      <w:pPr>
        <w:spacing w:line="280" w:lineRule="atLeast"/>
        <w:ind w:right="326"/>
        <w:rPr>
          <w:rFonts w:ascii="仿宋_GB2312" w:hAnsi="Calibri" w:eastAsia="仿宋_GB2312" w:cs="Times New Roman"/>
          <w:color w:val="000000"/>
          <w:sz w:val="24"/>
        </w:rPr>
      </w:pPr>
    </w:p>
    <w:p w14:paraId="0C6B0436">
      <w:pPr>
        <w:spacing w:after="163" w:afterLines="50" w:line="360" w:lineRule="auto"/>
        <w:ind w:right="567"/>
        <w:rPr>
          <w:rFonts w:ascii="Calibri" w:hAnsi="Calibri" w:eastAsia="黑体" w:cs="Times New Roman"/>
          <w:sz w:val="32"/>
        </w:rPr>
      </w:pPr>
      <w:r>
        <w:rPr>
          <w:rFonts w:ascii="Calibri" w:hAnsi="Calibri" w:eastAsia="黑体" w:cs="Times New Roman"/>
          <w:sz w:val="32"/>
        </w:rPr>
        <w:br w:type="page"/>
      </w:r>
      <w:r>
        <w:rPr>
          <w:rFonts w:hint="eastAsia" w:ascii="Calibri" w:hAnsi="Calibri" w:eastAsia="黑体" w:cs="Times New Roman"/>
          <w:sz w:val="32"/>
        </w:rPr>
        <w:t>二、项目成果、考核指标及成果转化分析</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2E2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4" w:hRule="atLeast"/>
        </w:trPr>
        <w:tc>
          <w:tcPr>
            <w:tcW w:w="9061" w:type="dxa"/>
          </w:tcPr>
          <w:p>
            <w:pPr>
              <w:spacing w:after="60" w:line="300" w:lineRule="auto"/>
              <w:jc w:val="left"/>
            </w:pPr>
            <w:r>
              <w:rPr>
                <w:rFonts w:ascii="Times New Roman" w:hAnsi="Times New Roman" w:eastAsia="宋体"/>
                <w:b/>
                <w:sz w:val="21"/>
              </w:rPr>
              <w:t>1. 项目预期成果</w:t>
            </w:r>
          </w:p>
          <w:p>
            <w:pPr>
              <w:spacing w:after="60" w:line="300" w:lineRule="auto"/>
              <w:jc w:val="left"/>
            </w:pPr>
            <w:r>
              <w:rPr>
                <w:rFonts w:ascii="Times New Roman" w:hAnsi="Times New Roman" w:eastAsia="宋体"/>
                <w:b w:val="0"/>
                <w:sz w:val="19"/>
              </w:rPr>
              <w:t>1. 数据类成果。形成海淀区生态系统调节服务数据台账、月度生态状态基础数据产品、质量记录和数据字典。</w:t>
            </w:r>
          </w:p>
          <w:p>
            <w:pPr>
              <w:spacing w:after="60" w:line="300" w:lineRule="auto"/>
              <w:jc w:val="left"/>
            </w:pPr>
            <w:r>
              <w:rPr>
                <w:rFonts w:ascii="Times New Roman" w:hAnsi="Times New Roman" w:eastAsia="宋体"/>
                <w:b w:val="0"/>
                <w:sz w:val="19"/>
              </w:rPr>
              <w:t>2. 模型与方法类成果。形成三类调节服务专题模型、参数台账、核算流程和验证方案；形成完整GEP生态产品清单与数据缺口说明。</w:t>
            </w:r>
          </w:p>
          <w:p>
            <w:pPr>
              <w:spacing w:after="60" w:line="300" w:lineRule="auto"/>
              <w:jc w:val="left"/>
            </w:pPr>
            <w:r>
              <w:rPr>
                <w:rFonts w:ascii="Times New Roman" w:hAnsi="Times New Roman" w:eastAsia="宋体"/>
                <w:b w:val="0"/>
                <w:sz w:val="19"/>
              </w:rPr>
              <w:t>3. 软件与报告类成果。形成可追溯核算辅助工具原型、三类服务价值试点报告、专题图和附表。</w:t>
            </w:r>
          </w:p>
          <w:p>
            <w:pPr>
              <w:spacing w:after="60" w:line="300" w:lineRule="auto"/>
              <w:jc w:val="left"/>
            </w:pPr>
            <w:r>
              <w:rPr>
                <w:rFonts w:ascii="Times New Roman" w:hAnsi="Times New Roman" w:eastAsia="宋体"/>
                <w:b w:val="0"/>
                <w:sz w:val="19"/>
              </w:rPr>
              <w:t>4. 知识产权与成果沉淀。根据项目实施情况形成软件著作权、专利或论文等成果，具体数量由申报单位结合项目管理要求确定。</w:t>
            </w:r>
          </w:p>
          <w:p>
            <w:pPr>
              <w:spacing w:after="60" w:line="300" w:lineRule="auto"/>
              <w:jc w:val="left"/>
            </w:pPr>
            <w:r>
              <w:rPr>
                <w:rFonts w:ascii="Times New Roman" w:hAnsi="Times New Roman" w:eastAsia="宋体"/>
                <w:b/>
                <w:sz w:val="21"/>
              </w:rPr>
              <w:t>2. 考核指标</w:t>
            </w:r>
          </w:p>
          <w:p>
            <w:pPr>
              <w:spacing w:after="60" w:line="300" w:lineRule="auto"/>
              <w:jc w:val="left"/>
            </w:pPr>
            <w:r>
              <w:rPr>
                <w:rFonts w:ascii="Times New Roman" w:hAnsi="Times New Roman" w:eastAsia="宋体"/>
                <w:b w:val="0"/>
                <w:sz w:val="19"/>
              </w:rPr>
              <w:t>1. 完成经批准核算年度的月度生态状态基础数据产品，产品具有完整的数据来源、时间、空间参考、处理版本和质量标识。</w:t>
            </w:r>
          </w:p>
          <w:p>
            <w:pPr>
              <w:spacing w:after="60" w:line="300" w:lineRule="auto"/>
              <w:jc w:val="left"/>
            </w:pPr>
            <w:r>
              <w:rPr>
                <w:rFonts w:ascii="Times New Roman" w:hAnsi="Times New Roman" w:eastAsia="宋体"/>
                <w:b w:val="0"/>
                <w:sz w:val="19"/>
              </w:rPr>
              <w:t>2. 完成固定二氧化碳、洪水调蓄和局部气候调节三类服务试点。每项服务明确实物量定义、单位、过程单元、价值参数、独立验证资料和核算范围。</w:t>
            </w:r>
          </w:p>
          <w:p>
            <w:pPr>
              <w:spacing w:after="60" w:line="300" w:lineRule="auto"/>
              <w:jc w:val="left"/>
            </w:pPr>
            <w:r>
              <w:rPr>
                <w:rFonts w:ascii="Times New Roman" w:hAnsi="Times New Roman" w:eastAsia="宋体"/>
                <w:b w:val="0"/>
                <w:sz w:val="19"/>
              </w:rPr>
              <w:t>3. 生态系统分类采用空间分块的独立样本评价，并报告总体精度、各类别精度、面积偏差和置信区间；连续变量及水文过程按服务类型报告相应精度、偏差和不确定性。</w:t>
            </w:r>
          </w:p>
          <w:p>
            <w:pPr>
              <w:spacing w:after="60" w:line="300" w:lineRule="auto"/>
              <w:jc w:val="left"/>
            </w:pPr>
            <w:r>
              <w:rPr>
                <w:rFonts w:ascii="Times New Roman" w:hAnsi="Times New Roman" w:eastAsia="宋体"/>
                <w:b w:val="0"/>
                <w:sz w:val="19"/>
              </w:rPr>
              <w:t>4. 核算结果可通过冻结的数据、参数和处理流程复算；工具输出具备数据时间、空间范围、模型版本、参数版本、方法和不确定性字段。</w:t>
            </w:r>
          </w:p>
          <w:p>
            <w:pPr>
              <w:spacing w:after="60" w:line="300" w:lineRule="auto"/>
              <w:jc w:val="left"/>
            </w:pPr>
            <w:r>
              <w:rPr>
                <w:rFonts w:ascii="Times New Roman" w:hAnsi="Times New Roman" w:eastAsia="宋体"/>
                <w:b w:val="0"/>
                <w:sz w:val="19"/>
              </w:rPr>
              <w:t>5. 形成三类调节服务价值试点成果。完整GEP总值仅在生态产品清单、适用科目、数据、参数和独立验证条件齐备后另行核算。</w:t>
            </w:r>
          </w:p>
          <w:p>
            <w:pPr>
              <w:spacing w:after="60" w:line="300" w:lineRule="auto"/>
              <w:jc w:val="left"/>
            </w:pPr>
            <w:r>
              <w:rPr>
                <w:rFonts w:ascii="Times New Roman" w:hAnsi="Times New Roman" w:eastAsia="宋体"/>
                <w:b w:val="0"/>
                <w:sz w:val="19"/>
              </w:rPr>
              <w:t>6. 完成一个核算年度12期月度生态状态基础产品、三类服务专题成果和一套试点报告；全部产品均具备数据来源、时间、空间参考、处理版本和质量标识。每项服务形成独立验证记录和计算复现记录，具体服务精度与样本判定要求按照随申报书提交的技术实施与验收说明执行。</w:t>
            </w:r>
          </w:p>
          <w:p>
            <w:pPr>
              <w:spacing w:after="60" w:line="300" w:lineRule="auto"/>
              <w:jc w:val="left"/>
            </w:pPr>
            <w:r>
              <w:rPr>
                <w:rFonts w:ascii="Times New Roman" w:hAnsi="Times New Roman" w:eastAsia="宋体"/>
                <w:b/>
                <w:sz w:val="21"/>
              </w:rPr>
              <w:t>3. 成果转化分析</w:t>
            </w:r>
          </w:p>
          <w:p>
            <w:pPr>
              <w:spacing w:after="60" w:line="300" w:lineRule="auto"/>
              <w:jc w:val="left"/>
            </w:pPr>
            <w:r>
              <w:rPr>
                <w:rFonts w:ascii="Times New Roman" w:hAnsi="Times New Roman" w:eastAsia="宋体"/>
                <w:b w:val="0"/>
                <w:sz w:val="19"/>
              </w:rPr>
              <w:t>业务化方面，项目成果可服务于海淀区生态空间监测、生态保护成效评估和GEP核算辅助工作，为专题核算、年度更新和成果审查提供数据与工具支持。</w:t>
            </w:r>
          </w:p>
          <w:p>
            <w:pPr>
              <w:spacing w:after="60" w:line="300" w:lineRule="auto"/>
              <w:jc w:val="left"/>
            </w:pPr>
            <w:r>
              <w:rPr>
                <w:rFonts w:ascii="Times New Roman" w:hAnsi="Times New Roman" w:eastAsia="宋体"/>
                <w:b w:val="0"/>
                <w:sz w:val="19"/>
              </w:rPr>
              <w:t>工程化方面，数据台账、服务专题模型、参数管理和报告工具可按模块部署，并与既有遥感、自然资源和生态环境数据平台衔接。跨区域应用前需重新核验生态类型、数据可得性、参数适用性和独立验证资料。</w:t>
            </w:r>
          </w:p>
          <w:p>
            <w:pPr>
              <w:spacing w:after="60" w:line="300" w:lineRule="auto"/>
              <w:jc w:val="left"/>
            </w:pPr>
            <w:r>
              <w:rPr>
                <w:rFonts w:ascii="Times New Roman" w:hAnsi="Times New Roman" w:eastAsia="宋体"/>
                <w:b/>
                <w:sz w:val="21"/>
              </w:rPr>
              <w:t>4. 效益预期</w:t>
            </w:r>
          </w:p>
          <w:p>
            <w:pPr>
              <w:spacing w:after="60" w:line="300" w:lineRule="auto"/>
              <w:jc w:val="left"/>
            </w:pPr>
            <w:r>
              <w:rPr>
                <w:rFonts w:ascii="Times New Roman" w:hAnsi="Times New Roman" w:eastAsia="宋体"/>
                <w:b w:val="0"/>
                <w:sz w:val="19"/>
              </w:rPr>
              <w:t>项目将形成统一的数据台账、过程核算和结果复核流程，支撑核算年度的专题更新、服务结果汇总和审查复算，减少多源资料重复整理与人工核对工作。通过数据、模型、参数和结果的关联记录，提高试点成果的可追溯性，为海淀区生态空间精细化管理和后续完整GEP核算提供可复用的技术基础。</w:t>
            </w:r>
          </w:p>
        </w:tc>
      </w:tr>
    </w:tbl>
    <w:p w14:paraId="0DFA4B9C">
      <w:pPr>
        <w:keepNext/>
        <w:keepLines/>
        <w:spacing w:before="163" w:beforeLines="50" w:after="163" w:afterLines="50" w:line="360" w:lineRule="auto"/>
        <w:outlineLvl w:val="0"/>
        <w:rPr>
          <w:rFonts w:ascii="黑体" w:hAnsi="Times New Roman" w:eastAsia="黑体" w:cs="Times New Roman"/>
          <w:b/>
          <w:bCs/>
          <w:kern w:val="44"/>
          <w:sz w:val="32"/>
          <w:szCs w:val="44"/>
        </w:rPr>
      </w:pPr>
      <w:r>
        <w:rPr>
          <w:rFonts w:ascii="Times New Roman" w:hAnsi="Times New Roman" w:eastAsia="黑体" w:cs="Times New Roman"/>
          <w:b/>
          <w:bCs/>
          <w:kern w:val="44"/>
          <w:sz w:val="32"/>
          <w:szCs w:val="44"/>
        </w:rPr>
        <w:br w:type="page"/>
      </w:r>
      <w:r>
        <w:rPr>
          <w:rFonts w:hint="eastAsia" w:ascii="黑体" w:hAnsi="Times New Roman" w:eastAsia="黑体" w:cs="Times New Roman"/>
          <w:b/>
          <w:bCs/>
          <w:kern w:val="44"/>
          <w:sz w:val="32"/>
          <w:szCs w:val="44"/>
        </w:rPr>
        <w:t>三、现有工作基础与优势</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C4E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43" w:hRule="atLeast"/>
        </w:trPr>
        <w:tc>
          <w:tcPr>
            <w:tcW w:w="9061" w:type="dxa"/>
          </w:tcPr>
          <w:p>
            <w:pPr>
              <w:spacing w:after="60" w:line="300" w:lineRule="auto"/>
              <w:jc w:val="left"/>
            </w:pPr>
            <w:r>
              <w:rPr>
                <w:rFonts w:ascii="Times New Roman" w:hAnsi="Times New Roman" w:eastAsia="宋体"/>
                <w:b/>
                <w:sz w:val="21"/>
              </w:rPr>
              <w:t>1. 国内外发展现状与趋势</w:t>
            </w:r>
          </w:p>
          <w:p>
            <w:pPr>
              <w:spacing w:after="60" w:line="300" w:lineRule="auto"/>
              <w:jc w:val="left"/>
            </w:pPr>
            <w:r>
              <w:rPr>
                <w:rFonts w:ascii="Times New Roman" w:hAnsi="Times New Roman" w:eastAsia="宋体"/>
                <w:b w:val="0"/>
                <w:sz w:val="19"/>
              </w:rPr>
              <w:t>国际上，遥感基础模型与生态系统服务模型的结合正在发展，重点在于多源地表状态表征和生态过程模型输入准备；国内已形成以国家标准为基础、结合遥感监测、统计和过程模型开展生态产品核算的技术路径。生态系统服务核算仍以生态过程模型、监测和统计资料为核心，遥感产品主要用于生态系统面积、植被状态、水体和土地覆盖等空间化。本项目采用“遥感表征支撑空间状态、专题模型完成过程核算、标准方法完成价值量核算”的路径，服务海淀区城市尺度试点。</w:t>
            </w:r>
          </w:p>
          <w:p>
            <w:pPr>
              <w:spacing w:after="60" w:line="300" w:lineRule="auto"/>
              <w:jc w:val="left"/>
            </w:pPr>
            <w:r>
              <w:rPr>
                <w:rFonts w:ascii="Times New Roman" w:hAnsi="Times New Roman" w:eastAsia="宋体"/>
                <w:b/>
                <w:sz w:val="21"/>
              </w:rPr>
              <w:t>2. 现有技术基础</w:t>
            </w:r>
          </w:p>
          <w:p>
            <w:pPr>
              <w:spacing w:after="60" w:line="300" w:lineRule="auto"/>
              <w:jc w:val="left"/>
            </w:pPr>
            <w:r>
              <w:rPr>
                <w:rFonts w:ascii="Times New Roman" w:hAnsi="Times New Roman" w:eastAsia="宋体"/>
                <w:b w:val="0"/>
                <w:sz w:val="19"/>
              </w:rPr>
              <w:t>项目已形成玄女海淀月度地理嵌入基础。现有生产模型在2025年12月至2026年5月、320个1,280米×1,280米样本单元内完成多源遥感表征试验，输入包括Sentinel-1、Sentinel-2、Landsat、高分光学和高分SAR等数据，输出为128×128×64的名义10米等效分析网格。现有建筑、道路和水体结果使用与预训练开放地图弱语义同源的标签，属于内部制图验证，不作为生态服务或GEP核算精度依据。</w:t>
            </w:r>
          </w:p>
          <w:p>
            <w:pPr>
              <w:spacing w:after="60" w:line="300" w:lineRule="auto"/>
              <w:jc w:val="left"/>
            </w:pPr>
            <w:r>
              <w:rPr>
                <w:rFonts w:ascii="Times New Roman" w:hAnsi="Times New Roman" w:eastAsia="宋体"/>
                <w:b w:val="0"/>
                <w:sz w:val="19"/>
              </w:rPr>
              <w:t>项目已形成多源遥感数据处理、月度嵌入生成、专题制图、数据版本管理、下游模型评测和多卡训练环境等技术基础；现有海淀生产模型、训练配置、数据处理脚本和评测流程可直接作为项目研发起点。生态系统类型、气象、水文、监测、统计和价值参数资料将在项目启动阶段与相关数据责任方对接，形成数据取得清单和时间安排。</w:t>
            </w:r>
          </w:p>
          <w:p>
            <w:pPr>
              <w:spacing w:after="60" w:line="300" w:lineRule="auto"/>
              <w:jc w:val="left"/>
            </w:pPr>
            <w:r>
              <w:rPr>
                <w:rFonts w:ascii="Times New Roman" w:hAnsi="Times New Roman" w:eastAsia="宋体"/>
                <w:b w:val="0"/>
                <w:sz w:val="19"/>
              </w:rPr>
              <w:t>申报单位具备城市规划、生态评估、遥感地理信息与工程咨询相关的业务基础，可组织遥感数据处理、生态核算、专题模型、软件开发和成果复核等专业力量参与项目实施。项目相关单位的既有项目经历、平台条件、参与人员及分工由申报单位在正式申报表中据实补充。</w:t>
            </w:r>
          </w:p>
          <w:p>
            <w:pPr>
              <w:spacing w:after="60" w:line="300" w:lineRule="auto"/>
              <w:jc w:val="left"/>
            </w:pPr>
            <w:r>
              <w:rPr>
                <w:rFonts w:ascii="Times New Roman" w:hAnsi="Times New Roman" w:eastAsia="宋体"/>
                <w:b/>
                <w:sz w:val="21"/>
              </w:rPr>
              <w:t>1. 组织分工</w:t>
            </w:r>
          </w:p>
          <w:p>
            <w:pPr>
              <w:spacing w:after="60" w:line="300" w:lineRule="auto"/>
              <w:jc w:val="left"/>
            </w:pPr>
            <w:r>
              <w:rPr>
                <w:rFonts w:ascii="Times New Roman" w:hAnsi="Times New Roman" w:eastAsia="宋体"/>
                <w:b w:val="0"/>
                <w:sz w:val="19"/>
              </w:rPr>
              <w:t>项目设置项目统筹、遥感与数据工程、生态核算、水文与气候专题模型、平台与软件、质量控制与独立复核等岗位。项目负责人、参与人员、投入比例、数据责任方和经费由申报单位在正式申报表中明确。</w:t>
            </w:r>
          </w:p>
          <w:p>
            <w:pPr>
              <w:spacing w:after="60" w:line="300" w:lineRule="auto"/>
              <w:jc w:val="left"/>
            </w:pPr>
            <w:r>
              <w:rPr>
                <w:rFonts w:ascii="Times New Roman" w:hAnsi="Times New Roman" w:eastAsia="宋体"/>
                <w:b/>
                <w:sz w:val="21"/>
              </w:rPr>
              <w:t>2. 实施安排</w:t>
            </w:r>
          </w:p>
          <w:p>
            <w:pPr>
              <w:spacing w:after="60" w:line="300" w:lineRule="auto"/>
              <w:jc w:val="left"/>
            </w:pPr>
            <w:r>
              <w:rPr>
                <w:rFonts w:ascii="Times New Roman" w:hAnsi="Times New Roman" w:eastAsia="宋体"/>
                <w:b w:val="0"/>
                <w:sz w:val="19"/>
              </w:rPr>
              <w:t>第一阶段：完成核算边界、生态产品清单、数据来源、质量规范和验证方案确认。</w:t>
            </w:r>
          </w:p>
          <w:p>
            <w:pPr>
              <w:spacing w:after="60" w:line="300" w:lineRule="auto"/>
              <w:jc w:val="left"/>
            </w:pPr>
            <w:r>
              <w:rPr>
                <w:rFonts w:ascii="Times New Roman" w:hAnsi="Times New Roman" w:eastAsia="宋体"/>
                <w:b w:val="0"/>
                <w:sz w:val="19"/>
              </w:rPr>
              <w:t>第二阶段：完成月度生态状态基础数据产品、生态系统分类和三类服务专题模型开发。</w:t>
            </w:r>
          </w:p>
          <w:p>
            <w:pPr>
              <w:spacing w:after="60" w:line="300" w:lineRule="auto"/>
              <w:jc w:val="left"/>
            </w:pPr>
            <w:r>
              <w:rPr>
                <w:rFonts w:ascii="Times New Roman" w:hAnsi="Times New Roman" w:eastAsia="宋体"/>
                <w:b w:val="0"/>
                <w:sz w:val="19"/>
              </w:rPr>
              <w:t>第三阶段：完成实物量与价值量试点、独立验证、不确定性分析、核算工具和示范报告。</w:t>
            </w:r>
          </w:p>
          <w:p>
            <w:pPr>
              <w:spacing w:after="60" w:line="300" w:lineRule="auto"/>
              <w:jc w:val="left"/>
            </w:pPr>
            <w:r>
              <w:rPr>
                <w:rFonts w:ascii="Times New Roman" w:hAnsi="Times New Roman" w:eastAsia="宋体"/>
                <w:b w:val="0"/>
                <w:sz w:val="19"/>
              </w:rPr>
              <w:t>第四阶段：完成成果复核、交付固化和后续推广建议。</w:t>
            </w:r>
          </w:p>
          <w:p>
            <w:pPr>
              <w:spacing w:after="60" w:line="300" w:lineRule="auto"/>
              <w:jc w:val="left"/>
            </w:pPr>
            <w:r>
              <w:rPr>
                <w:rFonts w:ascii="Times New Roman" w:hAnsi="Times New Roman" w:eastAsia="宋体"/>
                <w:b/>
                <w:sz w:val="21"/>
              </w:rPr>
              <w:t>3. 实施条件与质量控制</w:t>
            </w:r>
          </w:p>
          <w:p>
            <w:pPr>
              <w:spacing w:after="60" w:line="300" w:lineRule="auto"/>
              <w:jc w:val="left"/>
            </w:pPr>
            <w:r>
              <w:rPr>
                <w:rFonts w:ascii="Times New Roman" w:hAnsi="Times New Roman" w:eastAsia="宋体"/>
                <w:b w:val="0"/>
                <w:sz w:val="19"/>
              </w:rPr>
              <w:t>项目启动后建立服务实物量、过程单元、校准资料、独立验证资料、参数来源和数据责任方的对应关系。每月产品登记有效像元率、数据源可用性、时相差、质量等级和降级原因；质量不满足核算要求的区域不进入价值量计算。各服务使用同口径传统基线和统一验证集开展对比，报告嵌入产品带来的差异、置信区间和消融结果，不预设必须优于基线的结论。</w:t>
            </w:r>
          </w:p>
          <w:p>
            <w:pPr>
              <w:spacing w:after="60" w:line="300" w:lineRule="auto"/>
              <w:jc w:val="left"/>
            </w:pPr>
            <w:r>
              <w:rPr>
                <w:rFonts w:ascii="Times New Roman" w:hAnsi="Times New Roman" w:eastAsia="宋体"/>
                <w:b w:val="0"/>
                <w:sz w:val="19"/>
              </w:rPr>
              <w:t>核心服务的数据门槛、验收与书面变更规则详见随申报书提交的《基于玄女月度地理嵌入的海淀区生态系统调节服务价值核算技术试点实施与验收说明》。未签署书面变更时，三类服务均为正式验收范围；发生书面变更时，服务范围、成果、指标和经费同步调整。</w:t>
            </w:r>
          </w:p>
        </w:tc>
      </w:tr>
    </w:tbl>
    <w:p w14:paraId="1D77E40D">
      <w:pPr>
        <w:keepNext/>
        <w:keepLines/>
        <w:spacing w:before="163" w:beforeLines="50" w:after="163" w:afterLines="50" w:line="360" w:lineRule="auto"/>
        <w:outlineLvl w:val="0"/>
        <w:rPr>
          <w:rFonts w:ascii="黑体" w:hAnsi="Times New Roman" w:eastAsia="黑体" w:cs="Times New Roman"/>
          <w:b/>
          <w:bCs/>
          <w:kern w:val="44"/>
          <w:sz w:val="32"/>
          <w:szCs w:val="44"/>
        </w:rPr>
      </w:pPr>
      <w:r>
        <w:rPr>
          <w:rFonts w:hint="eastAsia" w:ascii="黑体" w:hAnsi="Times New Roman" w:eastAsia="黑体" w:cs="Times New Roman"/>
          <w:b/>
          <w:bCs/>
          <w:kern w:val="44"/>
          <w:sz w:val="32"/>
          <w:szCs w:val="44"/>
        </w:rPr>
        <w:t>四、拟投入的研发人员</w:t>
      </w:r>
    </w:p>
    <w:tbl>
      <w:tblPr>
        <w:tblStyle w:val="3"/>
        <w:tblpPr w:leftFromText="180" w:rightFromText="180" w:vertAnchor="text" w:horzAnchor="margin" w:tblpY="815"/>
        <w:tblW w:w="48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
        <w:gridCol w:w="723"/>
        <w:gridCol w:w="904"/>
        <w:gridCol w:w="1085"/>
        <w:gridCol w:w="1085"/>
        <w:gridCol w:w="1085"/>
        <w:gridCol w:w="1085"/>
        <w:gridCol w:w="1909"/>
      </w:tblGrid>
      <w:tr w14:paraId="76A4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14:paraId="77801052">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姓名</w:t>
            </w:r>
          </w:p>
        </w:tc>
        <w:tc>
          <w:tcPr>
            <w:tcW w:w="412" w:type="pct"/>
            <w:vAlign w:val="center"/>
          </w:tcPr>
          <w:p w14:paraId="088B9AFD">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性别</w:t>
            </w:r>
          </w:p>
        </w:tc>
        <w:tc>
          <w:tcPr>
            <w:tcW w:w="515" w:type="pct"/>
            <w:vAlign w:val="center"/>
          </w:tcPr>
          <w:p w14:paraId="60B8E4FB">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出生年月</w:t>
            </w:r>
          </w:p>
        </w:tc>
        <w:tc>
          <w:tcPr>
            <w:tcW w:w="618" w:type="pct"/>
            <w:vAlign w:val="center"/>
          </w:tcPr>
          <w:p w14:paraId="28402207">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职务职称</w:t>
            </w:r>
          </w:p>
        </w:tc>
        <w:tc>
          <w:tcPr>
            <w:tcW w:w="618" w:type="pct"/>
            <w:vAlign w:val="center"/>
          </w:tcPr>
          <w:p w14:paraId="02B7CAE5">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所学专业</w:t>
            </w:r>
          </w:p>
        </w:tc>
        <w:tc>
          <w:tcPr>
            <w:tcW w:w="618" w:type="pct"/>
            <w:vAlign w:val="center"/>
          </w:tcPr>
          <w:p w14:paraId="3F5F2B20">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现从事专业</w:t>
            </w:r>
          </w:p>
        </w:tc>
        <w:tc>
          <w:tcPr>
            <w:tcW w:w="618" w:type="pct"/>
            <w:vAlign w:val="center"/>
          </w:tcPr>
          <w:p w14:paraId="5C69B4EE">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所在单位</w:t>
            </w:r>
          </w:p>
        </w:tc>
        <w:tc>
          <w:tcPr>
            <w:tcW w:w="1088" w:type="pct"/>
            <w:vAlign w:val="center"/>
          </w:tcPr>
          <w:p w14:paraId="6914F3CA">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在本项目中承担的任务</w:t>
            </w:r>
          </w:p>
        </w:tc>
      </w:tr>
      <w:tr w14:paraId="1AFF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gridSpan w:val="8"/>
            <w:vAlign w:val="center"/>
          </w:tcPr>
          <w:p>
            <w:pPr>
              <w:spacing w:after="0" w:line="264" w:lineRule="auto"/>
              <w:jc w:val="center"/>
            </w:pPr>
            <w:r/>
            <w:r>
              <w:rPr>
                <w:rFonts w:ascii="Times New Roman" w:hAnsi="Times New Roman" w:eastAsia="宋体"/>
                <w:b w:val="0"/>
                <w:sz w:val="21"/>
              </w:rPr>
              <w:t>总体统筹、技术路线与成果质量控制</w:t>
            </w:r>
          </w:p>
        </w:tc>
      </w:tr>
      <w:tr w14:paraId="443D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14:paraId="5515C621">
            <w:pPr>
              <w:spacing w:line="400" w:lineRule="exact"/>
              <w:jc w:val="center"/>
              <w:rPr>
                <w:rFonts w:ascii="仿宋_GB2312" w:hAnsi="仿宋" w:eastAsia="仿宋_GB2312" w:cs="Times New Roman"/>
                <w:color w:val="000000"/>
                <w:sz w:val="24"/>
              </w:rPr>
            </w:pPr>
          </w:p>
        </w:tc>
        <w:tc>
          <w:tcPr>
            <w:tcW w:w="412" w:type="pct"/>
            <w:vAlign w:val="center"/>
          </w:tcPr>
          <w:p w14:paraId="0AD43D1B">
            <w:pPr>
              <w:spacing w:line="240" w:lineRule="atLeast"/>
              <w:jc w:val="center"/>
              <w:rPr>
                <w:rFonts w:ascii="仿宋_GB2312" w:hAnsi="仿宋" w:eastAsia="仿宋_GB2312" w:cs="Times New Roman"/>
                <w:color w:val="000000"/>
                <w:sz w:val="24"/>
              </w:rPr>
            </w:pPr>
          </w:p>
        </w:tc>
        <w:tc>
          <w:tcPr>
            <w:tcW w:w="515" w:type="pct"/>
            <w:vAlign w:val="center"/>
          </w:tcPr>
          <w:p w14:paraId="0DCCEE33">
            <w:pPr>
              <w:spacing w:line="240" w:lineRule="atLeast"/>
              <w:jc w:val="center"/>
              <w:rPr>
                <w:rFonts w:ascii="仿宋_GB2312" w:hAnsi="仿宋" w:eastAsia="仿宋_GB2312" w:cs="Times New Roman"/>
                <w:color w:val="000000"/>
                <w:sz w:val="24"/>
              </w:rPr>
            </w:pPr>
          </w:p>
        </w:tc>
        <w:tc>
          <w:tcPr>
            <w:tcW w:w="618" w:type="pct"/>
            <w:vAlign w:val="center"/>
          </w:tcPr>
          <w:p w14:paraId="6AFC2094">
            <w:pPr>
              <w:spacing w:line="240" w:lineRule="atLeast"/>
              <w:jc w:val="center"/>
              <w:rPr>
                <w:rFonts w:ascii="仿宋_GB2312" w:hAnsi="仿宋" w:eastAsia="仿宋_GB2312" w:cs="Times New Roman"/>
                <w:color w:val="000000"/>
                <w:sz w:val="24"/>
              </w:rPr>
            </w:pPr>
          </w:p>
        </w:tc>
        <w:tc>
          <w:tcPr>
            <w:tcW w:w="618" w:type="pct"/>
            <w:vAlign w:val="center"/>
          </w:tcPr>
          <w:p w14:paraId="2503945C">
            <w:pPr>
              <w:spacing w:line="240" w:lineRule="atLeast"/>
              <w:jc w:val="center"/>
              <w:rPr>
                <w:rFonts w:ascii="仿宋_GB2312" w:hAnsi="仿宋" w:eastAsia="仿宋_GB2312" w:cs="Times New Roman"/>
                <w:color w:val="000000"/>
                <w:sz w:val="24"/>
              </w:rPr>
            </w:pPr>
          </w:p>
        </w:tc>
        <w:tc>
          <w:tcPr>
            <w:tcW w:w="618" w:type="pct"/>
            <w:vAlign w:val="center"/>
          </w:tcPr>
          <w:p w14:paraId="400E0CD8">
            <w:pPr>
              <w:spacing w:line="240" w:lineRule="atLeast"/>
              <w:jc w:val="center"/>
              <w:rPr>
                <w:rFonts w:ascii="仿宋_GB2312" w:hAnsi="仿宋" w:eastAsia="仿宋_GB2312" w:cs="Times New Roman"/>
                <w:color w:val="000000"/>
                <w:sz w:val="24"/>
              </w:rPr>
            </w:pPr>
          </w:p>
        </w:tc>
        <w:tc>
          <w:tcPr>
            <w:tcW w:w="618" w:type="pct"/>
            <w:vAlign w:val="center"/>
          </w:tcPr>
          <w:p w14:paraId="40515DDC">
            <w:pPr>
              <w:spacing w:line="240" w:lineRule="atLeast"/>
              <w:jc w:val="center"/>
              <w:rPr>
                <w:rFonts w:ascii="仿宋_GB2312" w:hAnsi="仿宋" w:eastAsia="仿宋_GB2312" w:cs="Times New Roman"/>
                <w:color w:val="000000"/>
                <w:sz w:val="24"/>
              </w:rPr>
            </w:pPr>
          </w:p>
        </w:tc>
        <w:tc>
          <w:tcPr>
            <w:tcW w:w="1088" w:type="pct"/>
            <w:vAlign w:val="center"/>
          </w:tcPr>
          <w:p w14:paraId="45925398">
            <w:pPr>
              <w:spacing w:line="240" w:lineRule="atLeast"/>
              <w:jc w:val="center"/>
              <w:rPr>
                <w:rFonts w:ascii="仿宋_GB2312" w:hAnsi="仿宋" w:eastAsia="仿宋_GB2312" w:cs="Times New Roman"/>
                <w:color w:val="000000"/>
                <w:sz w:val="24"/>
              </w:rPr>
            </w:pPr>
          </w:p>
        </w:tc>
      </w:tr>
      <w:tr w14:paraId="3FA6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gridSpan w:val="8"/>
            <w:vAlign w:val="center"/>
          </w:tcPr>
          <w:p w14:paraId="175849A6">
            <w:pPr>
              <w:spacing w:line="400" w:lineRule="exact"/>
              <w:rPr>
                <w:rFonts w:ascii="仿宋_GB2312" w:hAnsi="仿宋" w:eastAsia="仿宋_GB2312" w:cs="Times New Roman"/>
                <w:color w:val="000000"/>
                <w:sz w:val="24"/>
              </w:rPr>
            </w:pPr>
            <w:r>
              <w:rPr>
                <w:rFonts w:hint="eastAsia" w:ascii="仿宋_GB2312" w:hAnsi="仿宋" w:eastAsia="仿宋_GB2312" w:cs="Times New Roman"/>
                <w:color w:val="000000"/>
                <w:sz w:val="24"/>
              </w:rPr>
              <w:t>主要参加人员</w:t>
            </w:r>
          </w:p>
        </w:tc>
      </w:tr>
      <w:tr w14:paraId="3931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pPr>
              <w:spacing w:after="0" w:line="264" w:lineRule="auto"/>
              <w:jc w:val="center"/>
            </w:pPr>
            <w:r/>
            <w:r>
              <w:rPr>
                <w:rFonts w:ascii="Times New Roman" w:hAnsi="Times New Roman" w:eastAsia="宋体"/>
                <w:b w:val="0"/>
                <w:sz w:val="21"/>
              </w:rPr>
              <w:t>遥感与数据工程人员（待填）</w:t>
            </w:r>
          </w:p>
        </w:tc>
        <w:tc>
          <w:tcPr>
            <w:tcW w:w="412" w:type="pct"/>
            <w:vAlign w:val="center"/>
          </w:tcPr>
          <w:p w14:paraId="33CE7242">
            <w:pPr>
              <w:spacing w:line="240" w:lineRule="atLeast"/>
              <w:jc w:val="center"/>
              <w:rPr>
                <w:rFonts w:ascii="仿宋_GB2312" w:hAnsi="仿宋" w:eastAsia="仿宋_GB2312" w:cs="Times New Roman"/>
                <w:color w:val="000000"/>
                <w:sz w:val="24"/>
              </w:rPr>
            </w:pPr>
          </w:p>
        </w:tc>
        <w:tc>
          <w:tcPr>
            <w:tcW w:w="515" w:type="pct"/>
            <w:vAlign w:val="center"/>
          </w:tcPr>
          <w:p w14:paraId="3057F1B9">
            <w:pPr>
              <w:spacing w:line="240" w:lineRule="atLeast"/>
              <w:jc w:val="center"/>
              <w:rPr>
                <w:rFonts w:ascii="仿宋_GB2312" w:hAnsi="仿宋" w:eastAsia="仿宋_GB2312" w:cs="Times New Roman"/>
                <w:color w:val="000000"/>
                <w:sz w:val="24"/>
              </w:rPr>
            </w:pPr>
          </w:p>
        </w:tc>
        <w:tc>
          <w:tcPr>
            <w:tcW w:w="618" w:type="pct"/>
            <w:vAlign w:val="center"/>
          </w:tcPr>
          <w:p w14:paraId="72A71862">
            <w:pPr>
              <w:spacing w:line="240" w:lineRule="atLeast"/>
              <w:jc w:val="center"/>
              <w:rPr>
                <w:rFonts w:ascii="仿宋_GB2312" w:hAnsi="仿宋" w:eastAsia="仿宋_GB2312" w:cs="Times New Roman"/>
                <w:color w:val="000000"/>
                <w:sz w:val="24"/>
              </w:rPr>
            </w:pPr>
          </w:p>
        </w:tc>
        <w:tc>
          <w:tcPr>
            <w:tcW w:w="618" w:type="pct"/>
            <w:vAlign w:val="center"/>
          </w:tcPr>
          <w:p w14:paraId="29B87E33">
            <w:pPr>
              <w:spacing w:line="240" w:lineRule="atLeast"/>
              <w:jc w:val="center"/>
              <w:rPr>
                <w:rFonts w:ascii="仿宋_GB2312" w:hAnsi="仿宋" w:eastAsia="仿宋_GB2312" w:cs="Times New Roman"/>
                <w:color w:val="000000"/>
                <w:sz w:val="24"/>
              </w:rPr>
            </w:pPr>
          </w:p>
        </w:tc>
        <w:tc>
          <w:tcPr>
            <w:tcW w:w="618" w:type="pct"/>
            <w:vAlign w:val="center"/>
          </w:tcPr>
          <w:p w14:paraId="622B2E3B">
            <w:pPr>
              <w:spacing w:line="240" w:lineRule="atLeast"/>
              <w:jc w:val="center"/>
              <w:rPr>
                <w:rFonts w:ascii="仿宋_GB2312" w:hAnsi="仿宋" w:eastAsia="仿宋_GB2312" w:cs="Times New Roman"/>
                <w:color w:val="000000"/>
                <w:sz w:val="24"/>
              </w:rPr>
            </w:pPr>
          </w:p>
        </w:tc>
        <w:tc>
          <w:tcPr>
            <w:tcW w:w="618" w:type="pct"/>
            <w:vAlign w:val="center"/>
          </w:tcPr>
          <w:p w14:paraId="6560763C">
            <w:pPr>
              <w:spacing w:line="240" w:lineRule="atLeast"/>
              <w:jc w:val="center"/>
              <w:rPr>
                <w:rFonts w:ascii="仿宋_GB2312" w:hAnsi="仿宋" w:eastAsia="仿宋_GB2312" w:cs="Times New Roman"/>
                <w:color w:val="000000"/>
                <w:sz w:val="24"/>
              </w:rPr>
            </w:pPr>
          </w:p>
        </w:tc>
        <w:tc>
          <w:tcPr>
            <w:tcW w:w="1088" w:type="pct"/>
            <w:vAlign w:val="center"/>
          </w:tcPr>
          <w:p>
            <w:pPr>
              <w:spacing w:after="0" w:line="264" w:lineRule="auto"/>
              <w:jc w:val="center"/>
            </w:pPr>
            <w:r/>
            <w:r>
              <w:rPr>
                <w:rFonts w:ascii="Times New Roman" w:hAnsi="Times New Roman" w:eastAsia="宋体"/>
                <w:b w:val="0"/>
                <w:sz w:val="21"/>
              </w:rPr>
              <w:t>数据处理、月度产品、质量与版本管理</w:t>
            </w:r>
          </w:p>
        </w:tc>
      </w:tr>
      <w:tr w14:paraId="0C7A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pPr>
              <w:spacing w:after="0" w:line="264" w:lineRule="auto"/>
              <w:jc w:val="center"/>
            </w:pPr>
            <w:r/>
            <w:r>
              <w:rPr>
                <w:rFonts w:ascii="Times New Roman" w:hAnsi="Times New Roman" w:eastAsia="宋体"/>
                <w:b w:val="0"/>
                <w:sz w:val="21"/>
              </w:rPr>
              <w:t>生态核算与专题模型人员（待填）</w:t>
            </w:r>
          </w:p>
        </w:tc>
        <w:tc>
          <w:tcPr>
            <w:tcW w:w="412" w:type="pct"/>
            <w:vAlign w:val="center"/>
          </w:tcPr>
          <w:p w14:paraId="723AF177">
            <w:pPr>
              <w:spacing w:line="240" w:lineRule="atLeast"/>
              <w:jc w:val="center"/>
              <w:rPr>
                <w:rFonts w:ascii="仿宋_GB2312" w:hAnsi="仿宋" w:eastAsia="仿宋_GB2312" w:cs="Times New Roman"/>
                <w:color w:val="000000"/>
                <w:sz w:val="24"/>
              </w:rPr>
            </w:pPr>
          </w:p>
        </w:tc>
        <w:tc>
          <w:tcPr>
            <w:tcW w:w="515" w:type="pct"/>
            <w:vAlign w:val="center"/>
          </w:tcPr>
          <w:p w14:paraId="7FBAE825">
            <w:pPr>
              <w:spacing w:line="240" w:lineRule="atLeast"/>
              <w:jc w:val="center"/>
              <w:rPr>
                <w:rFonts w:ascii="仿宋_GB2312" w:hAnsi="仿宋" w:eastAsia="仿宋_GB2312" w:cs="Times New Roman"/>
                <w:color w:val="000000"/>
                <w:sz w:val="24"/>
              </w:rPr>
            </w:pPr>
          </w:p>
        </w:tc>
        <w:tc>
          <w:tcPr>
            <w:tcW w:w="618" w:type="pct"/>
            <w:vAlign w:val="center"/>
          </w:tcPr>
          <w:p w14:paraId="0CDDECC6">
            <w:pPr>
              <w:spacing w:line="240" w:lineRule="atLeast"/>
              <w:jc w:val="center"/>
              <w:rPr>
                <w:rFonts w:ascii="仿宋_GB2312" w:hAnsi="仿宋" w:eastAsia="仿宋_GB2312" w:cs="Times New Roman"/>
                <w:color w:val="000000"/>
                <w:sz w:val="24"/>
              </w:rPr>
            </w:pPr>
          </w:p>
        </w:tc>
        <w:tc>
          <w:tcPr>
            <w:tcW w:w="618" w:type="pct"/>
            <w:vAlign w:val="center"/>
          </w:tcPr>
          <w:p w14:paraId="15DE15FC">
            <w:pPr>
              <w:spacing w:line="240" w:lineRule="atLeast"/>
              <w:jc w:val="center"/>
              <w:rPr>
                <w:rFonts w:ascii="仿宋_GB2312" w:hAnsi="仿宋" w:eastAsia="仿宋_GB2312" w:cs="Times New Roman"/>
                <w:color w:val="000000"/>
                <w:sz w:val="24"/>
              </w:rPr>
            </w:pPr>
          </w:p>
        </w:tc>
        <w:tc>
          <w:tcPr>
            <w:tcW w:w="618" w:type="pct"/>
            <w:vAlign w:val="center"/>
          </w:tcPr>
          <w:p w14:paraId="28F9E3C3">
            <w:pPr>
              <w:spacing w:line="240" w:lineRule="atLeast"/>
              <w:jc w:val="center"/>
              <w:rPr>
                <w:rFonts w:ascii="仿宋_GB2312" w:hAnsi="仿宋" w:eastAsia="仿宋_GB2312" w:cs="Times New Roman"/>
                <w:color w:val="000000"/>
                <w:sz w:val="24"/>
              </w:rPr>
            </w:pPr>
          </w:p>
        </w:tc>
        <w:tc>
          <w:tcPr>
            <w:tcW w:w="618" w:type="pct"/>
            <w:vAlign w:val="center"/>
          </w:tcPr>
          <w:p w14:paraId="6A53AE53">
            <w:pPr>
              <w:spacing w:line="240" w:lineRule="atLeast"/>
              <w:jc w:val="center"/>
              <w:rPr>
                <w:rFonts w:ascii="仿宋_GB2312" w:hAnsi="仿宋" w:eastAsia="仿宋_GB2312" w:cs="Times New Roman"/>
                <w:color w:val="000000"/>
                <w:sz w:val="24"/>
              </w:rPr>
            </w:pPr>
          </w:p>
        </w:tc>
        <w:tc>
          <w:tcPr>
            <w:tcW w:w="1088" w:type="pct"/>
            <w:vAlign w:val="center"/>
          </w:tcPr>
          <w:p>
            <w:pPr>
              <w:spacing w:after="0" w:line="264" w:lineRule="auto"/>
              <w:jc w:val="center"/>
            </w:pPr>
            <w:r/>
            <w:r>
              <w:rPr>
                <w:rFonts w:ascii="Times New Roman" w:hAnsi="Times New Roman" w:eastAsia="宋体"/>
                <w:b w:val="0"/>
                <w:sz w:val="21"/>
              </w:rPr>
              <w:t>三类服务核算、验证与参数管理</w:t>
            </w:r>
          </w:p>
        </w:tc>
      </w:tr>
      <w:tr w14:paraId="0489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gridSpan w:val="8"/>
            <w:vAlign w:val="center"/>
          </w:tcPr>
          <w:p w14:paraId="1C27B973">
            <w:pPr>
              <w:spacing w:line="240" w:lineRule="atLeast"/>
              <w:rPr>
                <w:rFonts w:ascii="仿宋_GB2312" w:hAnsi="仿宋" w:eastAsia="仿宋_GB2312" w:cs="Times New Roman"/>
                <w:color w:val="000000"/>
                <w:sz w:val="24"/>
              </w:rPr>
            </w:pPr>
            <w:r>
              <w:rPr>
                <w:rFonts w:hint="eastAsia" w:ascii="仿宋_GB2312" w:hAnsi="仿宋" w:eastAsia="仿宋_GB2312" w:cs="Times New Roman"/>
                <w:color w:val="000000"/>
                <w:sz w:val="24"/>
              </w:rPr>
              <w:t>管理人员（辅助人员）</w:t>
            </w:r>
          </w:p>
        </w:tc>
      </w:tr>
      <w:tr w14:paraId="148A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pPr>
              <w:spacing w:after="0" w:line="264" w:lineRule="auto"/>
              <w:jc w:val="center"/>
            </w:pPr>
            <w:r/>
            <w:r>
              <w:rPr>
                <w:rFonts w:ascii="Times New Roman" w:hAnsi="Times New Roman" w:eastAsia="宋体"/>
                <w:b w:val="0"/>
                <w:sz w:val="21"/>
              </w:rPr>
              <w:t>平台与质量复核人员（待填）</w:t>
            </w:r>
          </w:p>
        </w:tc>
        <w:tc>
          <w:tcPr>
            <w:tcW w:w="412" w:type="pct"/>
            <w:vAlign w:val="center"/>
          </w:tcPr>
          <w:p w14:paraId="05123B3C">
            <w:pPr>
              <w:spacing w:line="240" w:lineRule="atLeast"/>
              <w:jc w:val="center"/>
              <w:rPr>
                <w:rFonts w:ascii="仿宋_GB2312" w:hAnsi="仿宋" w:eastAsia="仿宋_GB2312" w:cs="Times New Roman"/>
                <w:color w:val="000000"/>
                <w:sz w:val="24"/>
              </w:rPr>
            </w:pPr>
          </w:p>
        </w:tc>
        <w:tc>
          <w:tcPr>
            <w:tcW w:w="515" w:type="pct"/>
            <w:vAlign w:val="center"/>
          </w:tcPr>
          <w:p w14:paraId="03F51906">
            <w:pPr>
              <w:spacing w:line="240" w:lineRule="atLeast"/>
              <w:jc w:val="center"/>
              <w:rPr>
                <w:rFonts w:ascii="仿宋_GB2312" w:hAnsi="仿宋" w:eastAsia="仿宋_GB2312" w:cs="Times New Roman"/>
                <w:color w:val="000000"/>
                <w:sz w:val="24"/>
              </w:rPr>
            </w:pPr>
          </w:p>
        </w:tc>
        <w:tc>
          <w:tcPr>
            <w:tcW w:w="618" w:type="pct"/>
            <w:vAlign w:val="center"/>
          </w:tcPr>
          <w:p w14:paraId="3B825D4D">
            <w:pPr>
              <w:spacing w:line="240" w:lineRule="atLeast"/>
              <w:jc w:val="center"/>
              <w:rPr>
                <w:rFonts w:ascii="仿宋_GB2312" w:hAnsi="仿宋" w:eastAsia="仿宋_GB2312" w:cs="Times New Roman"/>
                <w:color w:val="000000"/>
                <w:sz w:val="24"/>
              </w:rPr>
            </w:pPr>
          </w:p>
        </w:tc>
        <w:tc>
          <w:tcPr>
            <w:tcW w:w="618" w:type="pct"/>
            <w:vAlign w:val="center"/>
          </w:tcPr>
          <w:p w14:paraId="42B1A52B">
            <w:pPr>
              <w:spacing w:line="240" w:lineRule="atLeast"/>
              <w:jc w:val="center"/>
              <w:rPr>
                <w:rFonts w:ascii="仿宋_GB2312" w:hAnsi="仿宋" w:eastAsia="仿宋_GB2312" w:cs="Times New Roman"/>
                <w:color w:val="000000"/>
                <w:sz w:val="24"/>
              </w:rPr>
            </w:pPr>
          </w:p>
        </w:tc>
        <w:tc>
          <w:tcPr>
            <w:tcW w:w="618" w:type="pct"/>
            <w:vAlign w:val="center"/>
          </w:tcPr>
          <w:p w14:paraId="233ED173">
            <w:pPr>
              <w:spacing w:line="240" w:lineRule="atLeast"/>
              <w:jc w:val="center"/>
              <w:rPr>
                <w:rFonts w:ascii="仿宋_GB2312" w:hAnsi="仿宋" w:eastAsia="仿宋_GB2312" w:cs="Times New Roman"/>
                <w:color w:val="000000"/>
                <w:sz w:val="24"/>
              </w:rPr>
            </w:pPr>
          </w:p>
        </w:tc>
        <w:tc>
          <w:tcPr>
            <w:tcW w:w="618" w:type="pct"/>
            <w:vAlign w:val="center"/>
          </w:tcPr>
          <w:p w14:paraId="03525BE4">
            <w:pPr>
              <w:spacing w:line="240" w:lineRule="atLeast"/>
              <w:jc w:val="center"/>
              <w:rPr>
                <w:rFonts w:ascii="仿宋_GB2312" w:hAnsi="仿宋" w:eastAsia="仿宋_GB2312" w:cs="Times New Roman"/>
                <w:color w:val="000000"/>
                <w:sz w:val="24"/>
              </w:rPr>
            </w:pPr>
          </w:p>
        </w:tc>
        <w:tc>
          <w:tcPr>
            <w:tcW w:w="1088" w:type="pct"/>
            <w:vAlign w:val="center"/>
          </w:tcPr>
          <w:p>
            <w:pPr>
              <w:spacing w:after="0" w:line="264" w:lineRule="auto"/>
              <w:jc w:val="center"/>
            </w:pPr>
            <w:r/>
            <w:r>
              <w:rPr>
                <w:rFonts w:ascii="Times New Roman" w:hAnsi="Times New Roman" w:eastAsia="宋体"/>
                <w:b w:val="0"/>
                <w:sz w:val="21"/>
              </w:rPr>
              <w:t>工具开发、结果复算与成果交付</w:t>
            </w:r>
          </w:p>
        </w:tc>
      </w:tr>
    </w:tbl>
    <w:p w14:paraId="03E5CC79">
      <w:pPr>
        <w:rPr>
          <w:rFonts w:ascii="黑体" w:hAnsi="Times New Roman" w:eastAsia="黑体" w:cs="Times New Roman"/>
          <w:b/>
          <w:bCs/>
          <w:kern w:val="44"/>
          <w:sz w:val="32"/>
          <w:szCs w:val="44"/>
        </w:rPr>
      </w:pPr>
    </w:p>
    <w:p w14:paraId="11F6B994">
      <w:pPr>
        <w:rPr>
          <w:rFonts w:ascii="黑体" w:hAnsi="Times New Roman" w:eastAsia="黑体" w:cs="Times New Roman"/>
          <w:b/>
          <w:bCs/>
          <w:kern w:val="44"/>
          <w:sz w:val="32"/>
          <w:szCs w:val="44"/>
        </w:rPr>
      </w:pPr>
    </w:p>
    <w:p w14:paraId="79D086DA">
      <w:pPr>
        <w:rPr>
          <w:rFonts w:ascii="黑体" w:hAnsi="Times New Roman" w:eastAsia="黑体" w:cs="Times New Roman"/>
          <w:b/>
          <w:bCs/>
          <w:kern w:val="44"/>
          <w:sz w:val="32"/>
          <w:szCs w:val="44"/>
        </w:rPr>
      </w:pPr>
    </w:p>
    <w:p w14:paraId="3627FDA5">
      <w:pPr>
        <w:rPr>
          <w:rFonts w:ascii="黑体" w:hAnsi="Times New Roman" w:eastAsia="黑体" w:cs="Times New Roman"/>
          <w:b/>
          <w:bCs/>
          <w:kern w:val="44"/>
          <w:sz w:val="32"/>
          <w:szCs w:val="44"/>
        </w:rPr>
      </w:pPr>
      <w:r>
        <w:rPr>
          <w:rFonts w:hint="eastAsia" w:ascii="黑体" w:hAnsi="Times New Roman" w:eastAsia="黑体" w:cs="Times New Roman"/>
          <w:b/>
          <w:bCs/>
          <w:kern w:val="44"/>
          <w:sz w:val="32"/>
          <w:szCs w:val="44"/>
        </w:rPr>
        <w:br w:type="page"/>
      </w:r>
    </w:p>
    <w:p w14:paraId="45910775">
      <w:pPr>
        <w:keepNext/>
        <w:keepLines/>
        <w:spacing w:before="163" w:beforeLines="50" w:after="163" w:afterLines="50" w:line="360" w:lineRule="auto"/>
        <w:outlineLvl w:val="0"/>
        <w:rPr>
          <w:rFonts w:ascii="黑体" w:hAnsi="Times New Roman" w:eastAsia="黑体" w:cs="Times New Roman"/>
          <w:b/>
          <w:bCs/>
          <w:kern w:val="44"/>
          <w:sz w:val="32"/>
          <w:szCs w:val="44"/>
        </w:rPr>
      </w:pPr>
      <w:r>
        <w:rPr>
          <w:rFonts w:hint="eastAsia" w:ascii="黑体" w:hAnsi="Times New Roman" w:eastAsia="黑体" w:cs="Times New Roman"/>
          <w:b/>
          <w:bCs/>
          <w:kern w:val="44"/>
          <w:sz w:val="32"/>
          <w:szCs w:val="44"/>
        </w:rPr>
        <w:t>五、经费预算</w:t>
      </w:r>
    </w:p>
    <w:p w14:paraId="4BACC91B">
      <w:pPr>
        <w:spacing w:line="360" w:lineRule="auto"/>
        <w:ind w:right="567" w:firstLine="6600" w:firstLineChars="2750"/>
        <w:rPr>
          <w:rFonts w:ascii="仿宋" w:hAnsi="仿宋" w:eastAsia="仿宋" w:cs="Mongolian Baiti"/>
          <w:color w:val="000000"/>
          <w:sz w:val="24"/>
        </w:rPr>
      </w:pPr>
      <w:r>
        <w:rPr>
          <w:rFonts w:hint="eastAsia" w:ascii="Calibri" w:hAnsi="Calibri" w:eastAsia="宋体" w:cs="Mongolian Baiti"/>
          <w:color w:val="000000"/>
          <w:sz w:val="24"/>
        </w:rPr>
        <w:t>单位：万元</w:t>
      </w:r>
    </w:p>
    <w:tbl>
      <w:tblPr>
        <w:tblStyle w:val="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3434"/>
        <w:gridCol w:w="1506"/>
        <w:gridCol w:w="1667"/>
        <w:gridCol w:w="1671"/>
      </w:tblGrid>
      <w:tr w14:paraId="64FF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430" w:type="pct"/>
            <w:vMerge w:val="restart"/>
            <w:vAlign w:val="center"/>
          </w:tcPr>
          <w:p w14:paraId="6D8FAC38">
            <w:pPr>
              <w:jc w:val="center"/>
              <w:rPr>
                <w:rFonts w:ascii="Calibri" w:hAnsi="Calibri" w:eastAsia="宋体" w:cs="Mongolian Baiti"/>
                <w:b/>
                <w:color w:val="000000"/>
                <w:sz w:val="24"/>
              </w:rPr>
            </w:pPr>
            <w:r>
              <w:rPr>
                <w:rFonts w:hint="eastAsia" w:ascii="Calibri" w:hAnsi="Calibri" w:eastAsia="宋体" w:cs="Mongolian Baiti"/>
                <w:b/>
                <w:color w:val="000000"/>
                <w:sz w:val="24"/>
              </w:rPr>
              <w:t>序号</w:t>
            </w:r>
          </w:p>
        </w:tc>
        <w:tc>
          <w:tcPr>
            <w:tcW w:w="1895" w:type="pct"/>
            <w:vMerge w:val="restart"/>
            <w:vAlign w:val="center"/>
          </w:tcPr>
          <w:p w14:paraId="4FB24B47">
            <w:pPr>
              <w:jc w:val="center"/>
              <w:rPr>
                <w:rFonts w:ascii="Calibri" w:hAnsi="Calibri" w:eastAsia="宋体" w:cs="Mongolian Baiti"/>
                <w:b/>
                <w:color w:val="000000"/>
                <w:sz w:val="24"/>
              </w:rPr>
            </w:pPr>
            <w:r>
              <w:rPr>
                <w:rFonts w:hint="eastAsia" w:ascii="Calibri" w:hAnsi="Calibri" w:eastAsia="宋体" w:cs="Mongolian Baiti"/>
                <w:b/>
                <w:color w:val="000000"/>
                <w:sz w:val="24"/>
              </w:rPr>
              <w:t>预算科目</w:t>
            </w:r>
          </w:p>
        </w:tc>
        <w:tc>
          <w:tcPr>
            <w:tcW w:w="2673" w:type="pct"/>
            <w:gridSpan w:val="3"/>
            <w:vAlign w:val="center"/>
          </w:tcPr>
          <w:p w14:paraId="069434BD">
            <w:pPr>
              <w:jc w:val="center"/>
              <w:rPr>
                <w:rFonts w:ascii="Calibri" w:hAnsi="Calibri" w:eastAsia="宋体" w:cs="Mongolian Baiti"/>
                <w:b/>
                <w:color w:val="000000"/>
                <w:sz w:val="24"/>
              </w:rPr>
            </w:pPr>
            <w:r>
              <w:rPr>
                <w:rFonts w:hint="eastAsia" w:ascii="Calibri" w:hAnsi="Calibri" w:eastAsia="宋体" w:cs="Mongolian Baiti"/>
                <w:b/>
                <w:color w:val="000000"/>
                <w:sz w:val="24"/>
              </w:rPr>
              <w:t>经费金额</w:t>
            </w:r>
          </w:p>
        </w:tc>
      </w:tr>
      <w:tr w14:paraId="47589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Merge w:val="continue"/>
            <w:vAlign w:val="center"/>
          </w:tcPr>
          <w:p w14:paraId="5047C9A8">
            <w:pPr>
              <w:jc w:val="center"/>
              <w:rPr>
                <w:rFonts w:ascii="Calibri" w:hAnsi="Calibri" w:eastAsia="宋体" w:cs="Mongolian Baiti"/>
                <w:color w:val="000000"/>
                <w:sz w:val="24"/>
              </w:rPr>
            </w:pPr>
          </w:p>
        </w:tc>
        <w:tc>
          <w:tcPr>
            <w:tcW w:w="1895" w:type="pct"/>
            <w:vMerge w:val="continue"/>
            <w:vAlign w:val="center"/>
          </w:tcPr>
          <w:p w14:paraId="4986D02B">
            <w:pPr>
              <w:jc w:val="center"/>
              <w:rPr>
                <w:rFonts w:ascii="Calibri" w:hAnsi="Calibri" w:eastAsia="宋体" w:cs="Mongolian Baiti"/>
                <w:b/>
                <w:color w:val="000000"/>
                <w:sz w:val="24"/>
              </w:rPr>
            </w:pPr>
          </w:p>
        </w:tc>
        <w:tc>
          <w:tcPr>
            <w:tcW w:w="831" w:type="pct"/>
            <w:vAlign w:val="center"/>
          </w:tcPr>
          <w:p w14:paraId="2035F28C">
            <w:pPr>
              <w:jc w:val="center"/>
              <w:rPr>
                <w:rFonts w:ascii="Calibri" w:hAnsi="Calibri" w:eastAsia="宋体" w:cs="Mongolian Baiti"/>
                <w:b/>
                <w:color w:val="000000"/>
                <w:sz w:val="24"/>
              </w:rPr>
            </w:pPr>
            <w:r>
              <w:rPr>
                <w:rFonts w:hint="eastAsia" w:ascii="Calibri" w:hAnsi="Calibri" w:eastAsia="宋体" w:cs="Mongolian Baiti"/>
                <w:b/>
                <w:color w:val="000000"/>
                <w:sz w:val="24"/>
              </w:rPr>
              <w:t>企业投入</w:t>
            </w:r>
          </w:p>
        </w:tc>
        <w:tc>
          <w:tcPr>
            <w:tcW w:w="920" w:type="pct"/>
            <w:vAlign w:val="center"/>
          </w:tcPr>
          <w:p w14:paraId="00C28779">
            <w:pPr>
              <w:jc w:val="center"/>
              <w:rPr>
                <w:rFonts w:ascii="Calibri" w:hAnsi="Calibri" w:eastAsia="宋体" w:cs="Mongolian Baiti"/>
                <w:b/>
                <w:color w:val="000000"/>
                <w:sz w:val="24"/>
              </w:rPr>
            </w:pPr>
            <w:r>
              <w:rPr>
                <w:rFonts w:hint="eastAsia" w:ascii="Calibri" w:hAnsi="Calibri" w:eastAsia="宋体" w:cs="Mongolian Baiti"/>
                <w:b/>
                <w:color w:val="000000"/>
                <w:sz w:val="24"/>
              </w:rPr>
              <w:t>部门配套</w:t>
            </w:r>
          </w:p>
        </w:tc>
        <w:tc>
          <w:tcPr>
            <w:tcW w:w="921" w:type="pct"/>
            <w:vAlign w:val="center"/>
          </w:tcPr>
          <w:p w14:paraId="61F8F4CF">
            <w:pPr>
              <w:jc w:val="center"/>
              <w:rPr>
                <w:rFonts w:ascii="Calibri" w:hAnsi="Calibri" w:eastAsia="宋体" w:cs="Mongolian Baiti"/>
                <w:b/>
                <w:color w:val="000000"/>
                <w:sz w:val="24"/>
              </w:rPr>
            </w:pPr>
            <w:r>
              <w:rPr>
                <w:rFonts w:hint="eastAsia" w:ascii="Calibri" w:hAnsi="Calibri" w:eastAsia="宋体" w:cs="Mongolian Baiti"/>
                <w:b/>
                <w:color w:val="000000"/>
                <w:sz w:val="24"/>
              </w:rPr>
              <w:t>小计</w:t>
            </w:r>
          </w:p>
        </w:tc>
      </w:tr>
      <w:tr w14:paraId="686F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2307E2F5">
            <w:pPr>
              <w:jc w:val="center"/>
              <w:rPr>
                <w:rFonts w:ascii="Calibri" w:hAnsi="Calibri" w:eastAsia="宋体" w:cs="Mongolian Baiti"/>
                <w:color w:val="000000"/>
                <w:sz w:val="24"/>
              </w:rPr>
            </w:pPr>
            <w:r>
              <w:rPr>
                <w:rFonts w:hint="eastAsia" w:ascii="Calibri" w:hAnsi="Calibri" w:eastAsia="宋体" w:cs="Mongolian Baiti"/>
                <w:color w:val="000000"/>
                <w:sz w:val="24"/>
              </w:rPr>
              <w:t>1</w:t>
            </w:r>
          </w:p>
        </w:tc>
        <w:tc>
          <w:tcPr>
            <w:tcW w:w="1895" w:type="pct"/>
            <w:vAlign w:val="center"/>
          </w:tcPr>
          <w:p w14:paraId="547F1926">
            <w:pPr>
              <w:jc w:val="left"/>
              <w:rPr>
                <w:rFonts w:ascii="Calibri" w:hAnsi="Calibri" w:eastAsia="宋体" w:cs="Mongolian Baiti"/>
                <w:b/>
                <w:color w:val="000000"/>
                <w:sz w:val="24"/>
              </w:rPr>
            </w:pPr>
            <w:r>
              <w:rPr>
                <w:rFonts w:hint="eastAsia" w:ascii="Calibri" w:hAnsi="Calibri" w:eastAsia="宋体" w:cs="Mongolian Baiti"/>
                <w:b/>
                <w:color w:val="000000"/>
                <w:sz w:val="24"/>
              </w:rPr>
              <w:t>(一) 直接研发费</w:t>
            </w:r>
          </w:p>
        </w:tc>
        <w:tc>
          <w:tcPr>
            <w:tcW w:w="831" w:type="pct"/>
            <w:vAlign w:val="center"/>
          </w:tcPr>
          <w:p>
            <w:pPr>
              <w:spacing w:after="0" w:line="264" w:lineRule="auto"/>
              <w:jc w:val="center"/>
            </w:pPr>
            <w:r/>
            <w:r>
              <w:rPr>
                <w:rFonts w:ascii="Times New Roman" w:hAnsi="Times New Roman" w:eastAsia="宋体"/>
                <w:b w:val="0"/>
                <w:sz w:val="21"/>
              </w:rPr>
              <w:t>由申报单位核定</w:t>
            </w:r>
          </w:p>
        </w:tc>
        <w:tc>
          <w:tcPr>
            <w:tcW w:w="920" w:type="pct"/>
            <w:vAlign w:val="center"/>
          </w:tcPr>
          <w:p w14:paraId="4E7ECBC5">
            <w:pPr>
              <w:jc w:val="center"/>
              <w:rPr>
                <w:rFonts w:ascii="Calibri" w:hAnsi="Calibri" w:eastAsia="宋体" w:cs="Mongolian Baiti"/>
                <w:color w:val="000000"/>
                <w:sz w:val="24"/>
              </w:rPr>
            </w:pPr>
          </w:p>
        </w:tc>
        <w:tc>
          <w:tcPr>
            <w:tcW w:w="921" w:type="pct"/>
            <w:vAlign w:val="center"/>
          </w:tcPr>
          <w:p w14:paraId="71F94420">
            <w:pPr>
              <w:jc w:val="center"/>
              <w:rPr>
                <w:rFonts w:ascii="Calibri" w:hAnsi="Calibri" w:eastAsia="宋体" w:cs="Mongolian Baiti"/>
                <w:color w:val="000000"/>
                <w:sz w:val="24"/>
              </w:rPr>
            </w:pPr>
          </w:p>
        </w:tc>
      </w:tr>
      <w:tr w14:paraId="3CAC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5BE2461E">
            <w:pPr>
              <w:jc w:val="center"/>
              <w:rPr>
                <w:rFonts w:ascii="Calibri" w:hAnsi="Calibri" w:eastAsia="宋体" w:cs="Mongolian Baiti"/>
                <w:color w:val="000000"/>
                <w:sz w:val="24"/>
              </w:rPr>
            </w:pPr>
            <w:r>
              <w:rPr>
                <w:rFonts w:hint="eastAsia" w:ascii="Calibri" w:hAnsi="Calibri" w:eastAsia="宋体" w:cs="Mongolian Baiti"/>
                <w:color w:val="000000"/>
                <w:sz w:val="24"/>
              </w:rPr>
              <w:t>2</w:t>
            </w:r>
          </w:p>
        </w:tc>
        <w:tc>
          <w:tcPr>
            <w:tcW w:w="1895" w:type="pct"/>
            <w:vAlign w:val="center"/>
          </w:tcPr>
          <w:p w14:paraId="162081B2">
            <w:pPr>
              <w:rPr>
                <w:rFonts w:ascii="Calibri" w:hAnsi="Calibri" w:eastAsia="宋体" w:cs="Mongolian Baiti"/>
                <w:color w:val="000000"/>
              </w:rPr>
            </w:pPr>
            <w:r>
              <w:rPr>
                <w:rFonts w:hint="eastAsia" w:ascii="Calibri" w:hAnsi="Calibri" w:eastAsia="宋体" w:cs="Mongolian Baiti"/>
                <w:color w:val="000000"/>
              </w:rPr>
              <w:t>1.设备费</w:t>
            </w:r>
          </w:p>
        </w:tc>
        <w:tc>
          <w:tcPr>
            <w:tcW w:w="831" w:type="pct"/>
            <w:vAlign w:val="center"/>
          </w:tcPr>
          <w:p w14:paraId="64E32FA3">
            <w:pPr>
              <w:jc w:val="center"/>
              <w:rPr>
                <w:rFonts w:ascii="Calibri" w:hAnsi="Calibri" w:eastAsia="宋体" w:cs="Mongolian Baiti"/>
                <w:color w:val="000000"/>
                <w:sz w:val="24"/>
              </w:rPr>
            </w:pPr>
          </w:p>
        </w:tc>
        <w:tc>
          <w:tcPr>
            <w:tcW w:w="920" w:type="pct"/>
            <w:vAlign w:val="center"/>
          </w:tcPr>
          <w:p w14:paraId="4CC5D74B">
            <w:pPr>
              <w:jc w:val="center"/>
              <w:rPr>
                <w:rFonts w:ascii="Calibri" w:hAnsi="Calibri" w:eastAsia="宋体" w:cs="Mongolian Baiti"/>
                <w:color w:val="000000"/>
              </w:rPr>
            </w:pPr>
          </w:p>
        </w:tc>
        <w:tc>
          <w:tcPr>
            <w:tcW w:w="921" w:type="pct"/>
            <w:vAlign w:val="center"/>
          </w:tcPr>
          <w:p w14:paraId="6D25B6AC">
            <w:pPr>
              <w:jc w:val="center"/>
              <w:rPr>
                <w:rFonts w:ascii="Calibri" w:hAnsi="Calibri" w:eastAsia="宋体" w:cs="Mongolian Baiti"/>
                <w:color w:val="000000"/>
              </w:rPr>
            </w:pPr>
          </w:p>
        </w:tc>
      </w:tr>
      <w:tr w14:paraId="1148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150D1C02">
            <w:pPr>
              <w:jc w:val="center"/>
              <w:rPr>
                <w:rFonts w:ascii="Calibri" w:hAnsi="Calibri" w:eastAsia="宋体" w:cs="Mongolian Baiti"/>
                <w:color w:val="000000"/>
              </w:rPr>
            </w:pPr>
            <w:r>
              <w:rPr>
                <w:rFonts w:hint="eastAsia" w:ascii="Calibri" w:hAnsi="Calibri" w:eastAsia="宋体" w:cs="Mongolian Baiti"/>
                <w:color w:val="000000"/>
              </w:rPr>
              <w:t>3</w:t>
            </w:r>
          </w:p>
        </w:tc>
        <w:tc>
          <w:tcPr>
            <w:tcW w:w="1895" w:type="pct"/>
            <w:vAlign w:val="center"/>
          </w:tcPr>
          <w:p w14:paraId="3321957F">
            <w:pPr>
              <w:rPr>
                <w:rFonts w:ascii="Calibri" w:hAnsi="Calibri" w:eastAsia="宋体" w:cs="Mongolian Baiti"/>
                <w:color w:val="000000"/>
              </w:rPr>
            </w:pPr>
            <w:r>
              <w:rPr>
                <w:rFonts w:hint="eastAsia" w:ascii="Calibri" w:hAnsi="Calibri" w:eastAsia="宋体" w:cs="Mongolian Baiti"/>
                <w:color w:val="000000"/>
              </w:rPr>
              <w:t>2.材料费</w:t>
            </w:r>
          </w:p>
        </w:tc>
        <w:tc>
          <w:tcPr>
            <w:tcW w:w="831" w:type="pct"/>
            <w:vAlign w:val="center"/>
          </w:tcPr>
          <w:p w14:paraId="1C89E7BF">
            <w:pPr>
              <w:jc w:val="center"/>
              <w:rPr>
                <w:rFonts w:ascii="Calibri" w:hAnsi="Calibri" w:eastAsia="宋体" w:cs="Mongolian Baiti"/>
                <w:bCs/>
                <w:color w:val="000000"/>
                <w:sz w:val="24"/>
              </w:rPr>
            </w:pPr>
          </w:p>
        </w:tc>
        <w:tc>
          <w:tcPr>
            <w:tcW w:w="920" w:type="pct"/>
            <w:vAlign w:val="center"/>
          </w:tcPr>
          <w:p w14:paraId="68E904C9">
            <w:pPr>
              <w:jc w:val="center"/>
              <w:rPr>
                <w:rFonts w:ascii="Calibri" w:hAnsi="Calibri" w:eastAsia="宋体" w:cs="Mongolian Baiti"/>
                <w:b/>
                <w:color w:val="000000"/>
              </w:rPr>
            </w:pPr>
          </w:p>
        </w:tc>
        <w:tc>
          <w:tcPr>
            <w:tcW w:w="921" w:type="pct"/>
            <w:vAlign w:val="center"/>
          </w:tcPr>
          <w:p w14:paraId="7E8BE56D">
            <w:pPr>
              <w:jc w:val="center"/>
              <w:rPr>
                <w:rFonts w:ascii="Calibri" w:hAnsi="Calibri" w:eastAsia="宋体" w:cs="Mongolian Baiti"/>
                <w:b/>
                <w:color w:val="000000"/>
              </w:rPr>
            </w:pPr>
          </w:p>
        </w:tc>
      </w:tr>
      <w:tr w14:paraId="218F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2D1AD91A">
            <w:pPr>
              <w:jc w:val="center"/>
              <w:rPr>
                <w:rFonts w:ascii="Calibri" w:hAnsi="Calibri" w:eastAsia="宋体" w:cs="Mongolian Baiti"/>
                <w:color w:val="000000"/>
              </w:rPr>
            </w:pPr>
            <w:r>
              <w:rPr>
                <w:rFonts w:hint="eastAsia" w:ascii="Calibri" w:hAnsi="Calibri" w:eastAsia="宋体" w:cs="Mongolian Baiti"/>
                <w:color w:val="000000"/>
              </w:rPr>
              <w:t>4</w:t>
            </w:r>
          </w:p>
        </w:tc>
        <w:tc>
          <w:tcPr>
            <w:tcW w:w="1895" w:type="pct"/>
            <w:vAlign w:val="center"/>
          </w:tcPr>
          <w:p w14:paraId="7D1DB193">
            <w:pPr>
              <w:rPr>
                <w:rFonts w:ascii="Calibri" w:hAnsi="Calibri" w:eastAsia="宋体" w:cs="Mongolian Baiti"/>
                <w:color w:val="000000"/>
              </w:rPr>
            </w:pPr>
            <w:r>
              <w:rPr>
                <w:rFonts w:hint="eastAsia" w:ascii="Calibri" w:hAnsi="Calibri" w:eastAsia="宋体" w:cs="Mongolian Baiti"/>
                <w:color w:val="000000"/>
              </w:rPr>
              <w:t>3.测试化验加工费</w:t>
            </w:r>
          </w:p>
        </w:tc>
        <w:tc>
          <w:tcPr>
            <w:tcW w:w="831" w:type="pct"/>
            <w:vAlign w:val="center"/>
          </w:tcPr>
          <w:p w14:paraId="2C4124EF">
            <w:pPr>
              <w:jc w:val="center"/>
              <w:rPr>
                <w:rFonts w:ascii="Calibri" w:hAnsi="Calibri" w:eastAsia="宋体" w:cs="Mongolian Baiti"/>
                <w:color w:val="000000"/>
                <w:sz w:val="24"/>
              </w:rPr>
            </w:pPr>
          </w:p>
        </w:tc>
        <w:tc>
          <w:tcPr>
            <w:tcW w:w="920" w:type="pct"/>
            <w:vAlign w:val="center"/>
          </w:tcPr>
          <w:p w14:paraId="1BC7D792">
            <w:pPr>
              <w:jc w:val="center"/>
              <w:rPr>
                <w:rFonts w:ascii="Calibri" w:hAnsi="Calibri" w:eastAsia="宋体" w:cs="Mongolian Baiti"/>
                <w:color w:val="000000"/>
              </w:rPr>
            </w:pPr>
          </w:p>
        </w:tc>
        <w:tc>
          <w:tcPr>
            <w:tcW w:w="921" w:type="pct"/>
            <w:vAlign w:val="center"/>
          </w:tcPr>
          <w:p w14:paraId="6F328100">
            <w:pPr>
              <w:jc w:val="center"/>
              <w:rPr>
                <w:rFonts w:ascii="Calibri" w:hAnsi="Calibri" w:eastAsia="宋体" w:cs="Mongolian Baiti"/>
                <w:color w:val="000000"/>
              </w:rPr>
            </w:pPr>
          </w:p>
        </w:tc>
      </w:tr>
      <w:tr w14:paraId="1FE9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38C24EEA">
            <w:pPr>
              <w:jc w:val="center"/>
              <w:rPr>
                <w:rFonts w:ascii="Calibri" w:hAnsi="Calibri" w:eastAsia="宋体" w:cs="Mongolian Baiti"/>
                <w:color w:val="000000"/>
                <w:sz w:val="24"/>
              </w:rPr>
            </w:pPr>
            <w:r>
              <w:rPr>
                <w:rFonts w:hint="eastAsia" w:ascii="Calibri" w:hAnsi="Calibri" w:eastAsia="宋体" w:cs="Mongolian Baiti"/>
                <w:color w:val="000000"/>
                <w:sz w:val="24"/>
              </w:rPr>
              <w:t>5</w:t>
            </w:r>
          </w:p>
        </w:tc>
        <w:tc>
          <w:tcPr>
            <w:tcW w:w="1895" w:type="pct"/>
            <w:vAlign w:val="center"/>
          </w:tcPr>
          <w:p w14:paraId="0A0503A3">
            <w:pPr>
              <w:rPr>
                <w:rFonts w:ascii="Calibri" w:hAnsi="Calibri" w:eastAsia="宋体" w:cs="Mongolian Baiti"/>
                <w:color w:val="000000"/>
              </w:rPr>
            </w:pPr>
            <w:r>
              <w:rPr>
                <w:rFonts w:hint="eastAsia" w:ascii="Calibri" w:hAnsi="Calibri" w:eastAsia="宋体" w:cs="Mongolian Baiti"/>
                <w:color w:val="000000"/>
              </w:rPr>
              <w:t>4.差旅费</w:t>
            </w:r>
          </w:p>
        </w:tc>
        <w:tc>
          <w:tcPr>
            <w:tcW w:w="831" w:type="pct"/>
            <w:vAlign w:val="center"/>
          </w:tcPr>
          <w:p w14:paraId="399991B9">
            <w:pPr>
              <w:jc w:val="center"/>
              <w:rPr>
                <w:rFonts w:ascii="Calibri" w:hAnsi="Calibri" w:eastAsia="宋体" w:cs="Mongolian Baiti"/>
                <w:color w:val="000000"/>
              </w:rPr>
            </w:pPr>
          </w:p>
        </w:tc>
        <w:tc>
          <w:tcPr>
            <w:tcW w:w="920" w:type="pct"/>
            <w:vAlign w:val="center"/>
          </w:tcPr>
          <w:p w14:paraId="68CBB2F6">
            <w:pPr>
              <w:jc w:val="center"/>
              <w:rPr>
                <w:rFonts w:ascii="Calibri" w:hAnsi="Calibri" w:eastAsia="宋体" w:cs="Mongolian Baiti"/>
                <w:color w:val="000000"/>
              </w:rPr>
            </w:pPr>
          </w:p>
        </w:tc>
        <w:tc>
          <w:tcPr>
            <w:tcW w:w="921" w:type="pct"/>
            <w:vAlign w:val="center"/>
          </w:tcPr>
          <w:p w14:paraId="7C6A8590">
            <w:pPr>
              <w:jc w:val="center"/>
              <w:rPr>
                <w:rFonts w:ascii="Calibri" w:hAnsi="Calibri" w:eastAsia="宋体" w:cs="Mongolian Baiti"/>
                <w:color w:val="000000"/>
              </w:rPr>
            </w:pPr>
          </w:p>
        </w:tc>
      </w:tr>
      <w:tr w14:paraId="0E36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049FF417">
            <w:pPr>
              <w:jc w:val="center"/>
              <w:rPr>
                <w:rFonts w:ascii="Calibri" w:hAnsi="Calibri" w:eastAsia="宋体" w:cs="Mongolian Baiti"/>
                <w:color w:val="000000"/>
              </w:rPr>
            </w:pPr>
            <w:r>
              <w:rPr>
                <w:rFonts w:hint="eastAsia" w:ascii="Calibri" w:hAnsi="Calibri" w:eastAsia="宋体" w:cs="Mongolian Baiti"/>
                <w:color w:val="000000"/>
              </w:rPr>
              <w:t>6</w:t>
            </w:r>
          </w:p>
        </w:tc>
        <w:tc>
          <w:tcPr>
            <w:tcW w:w="1895" w:type="pct"/>
            <w:vAlign w:val="center"/>
          </w:tcPr>
          <w:p w14:paraId="7D321C6D">
            <w:pPr>
              <w:rPr>
                <w:rFonts w:ascii="Calibri" w:hAnsi="Calibri" w:eastAsia="宋体" w:cs="Mongolian Baiti"/>
                <w:color w:val="000000"/>
              </w:rPr>
            </w:pPr>
            <w:r>
              <w:rPr>
                <w:rFonts w:hint="eastAsia" w:ascii="Calibri" w:hAnsi="Calibri" w:eastAsia="宋体" w:cs="Mongolian Baiti"/>
                <w:color w:val="000000"/>
              </w:rPr>
              <w:t>5.会议费</w:t>
            </w:r>
          </w:p>
        </w:tc>
        <w:tc>
          <w:tcPr>
            <w:tcW w:w="831" w:type="pct"/>
            <w:vAlign w:val="center"/>
          </w:tcPr>
          <w:p w14:paraId="32D7023B">
            <w:pPr>
              <w:jc w:val="center"/>
              <w:rPr>
                <w:rFonts w:ascii="Calibri" w:hAnsi="Calibri" w:eastAsia="宋体" w:cs="Mongolian Baiti"/>
                <w:color w:val="000000"/>
              </w:rPr>
            </w:pPr>
          </w:p>
        </w:tc>
        <w:tc>
          <w:tcPr>
            <w:tcW w:w="920" w:type="pct"/>
            <w:vAlign w:val="center"/>
          </w:tcPr>
          <w:p w14:paraId="63CDD853">
            <w:pPr>
              <w:jc w:val="center"/>
              <w:rPr>
                <w:rFonts w:ascii="Calibri" w:hAnsi="Calibri" w:eastAsia="宋体" w:cs="Mongolian Baiti"/>
                <w:color w:val="000000"/>
              </w:rPr>
            </w:pPr>
          </w:p>
        </w:tc>
        <w:tc>
          <w:tcPr>
            <w:tcW w:w="921" w:type="pct"/>
            <w:vAlign w:val="center"/>
          </w:tcPr>
          <w:p w14:paraId="285A36F9">
            <w:pPr>
              <w:jc w:val="center"/>
              <w:rPr>
                <w:rFonts w:ascii="Calibri" w:hAnsi="Calibri" w:eastAsia="宋体" w:cs="Mongolian Baiti"/>
                <w:color w:val="000000"/>
              </w:rPr>
            </w:pPr>
          </w:p>
        </w:tc>
      </w:tr>
      <w:tr w14:paraId="07C9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1D0D4671">
            <w:pPr>
              <w:jc w:val="center"/>
              <w:rPr>
                <w:rFonts w:ascii="Calibri" w:hAnsi="Calibri" w:eastAsia="宋体" w:cs="Mongolian Baiti"/>
                <w:color w:val="000000"/>
              </w:rPr>
            </w:pPr>
            <w:r>
              <w:rPr>
                <w:rFonts w:hint="eastAsia" w:ascii="Calibri" w:hAnsi="Calibri" w:eastAsia="宋体" w:cs="Mongolian Baiti"/>
                <w:color w:val="000000"/>
              </w:rPr>
              <w:t>7</w:t>
            </w:r>
          </w:p>
        </w:tc>
        <w:tc>
          <w:tcPr>
            <w:tcW w:w="1895" w:type="pct"/>
            <w:vAlign w:val="center"/>
          </w:tcPr>
          <w:p w14:paraId="61C598DB">
            <w:pPr>
              <w:rPr>
                <w:rFonts w:ascii="Calibri" w:hAnsi="Calibri" w:eastAsia="宋体" w:cs="Mongolian Baiti"/>
                <w:color w:val="000000"/>
              </w:rPr>
            </w:pPr>
            <w:r>
              <w:rPr>
                <w:rFonts w:hint="eastAsia" w:ascii="Calibri" w:hAnsi="Calibri" w:eastAsia="宋体" w:cs="Mongolian Baiti"/>
                <w:color w:val="000000"/>
              </w:rPr>
              <w:t>6.国际交流与合作费</w:t>
            </w:r>
          </w:p>
        </w:tc>
        <w:tc>
          <w:tcPr>
            <w:tcW w:w="831" w:type="pct"/>
            <w:vAlign w:val="center"/>
          </w:tcPr>
          <w:p w14:paraId="6DECE1E6">
            <w:pPr>
              <w:jc w:val="center"/>
              <w:rPr>
                <w:rFonts w:ascii="Calibri" w:hAnsi="Calibri" w:eastAsia="宋体" w:cs="Mongolian Baiti"/>
                <w:color w:val="000000"/>
              </w:rPr>
            </w:pPr>
          </w:p>
        </w:tc>
        <w:tc>
          <w:tcPr>
            <w:tcW w:w="920" w:type="pct"/>
            <w:vAlign w:val="center"/>
          </w:tcPr>
          <w:p w14:paraId="44E9B05B">
            <w:pPr>
              <w:jc w:val="center"/>
              <w:rPr>
                <w:rFonts w:ascii="Calibri" w:hAnsi="Calibri" w:eastAsia="宋体" w:cs="Mongolian Baiti"/>
                <w:color w:val="000000"/>
              </w:rPr>
            </w:pPr>
          </w:p>
        </w:tc>
        <w:tc>
          <w:tcPr>
            <w:tcW w:w="921" w:type="pct"/>
            <w:vAlign w:val="center"/>
          </w:tcPr>
          <w:p w14:paraId="583331BE">
            <w:pPr>
              <w:jc w:val="center"/>
              <w:rPr>
                <w:rFonts w:ascii="Calibri" w:hAnsi="Calibri" w:eastAsia="宋体" w:cs="Mongolian Baiti"/>
                <w:color w:val="000000"/>
              </w:rPr>
            </w:pPr>
          </w:p>
        </w:tc>
      </w:tr>
      <w:tr w14:paraId="2137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6D5BD4DA">
            <w:pPr>
              <w:ind w:left="-124" w:firstLine="124"/>
              <w:jc w:val="center"/>
              <w:rPr>
                <w:rFonts w:ascii="Calibri" w:hAnsi="Calibri" w:eastAsia="宋体" w:cs="Mongolian Baiti"/>
                <w:color w:val="000000"/>
              </w:rPr>
            </w:pPr>
            <w:r>
              <w:rPr>
                <w:rFonts w:hint="eastAsia" w:ascii="Calibri" w:hAnsi="Calibri" w:eastAsia="宋体" w:cs="Mongolian Baiti"/>
                <w:color w:val="000000"/>
              </w:rPr>
              <w:t>8</w:t>
            </w:r>
          </w:p>
        </w:tc>
        <w:tc>
          <w:tcPr>
            <w:tcW w:w="1895" w:type="pct"/>
            <w:vAlign w:val="center"/>
          </w:tcPr>
          <w:p w14:paraId="7F48EE68">
            <w:pPr>
              <w:rPr>
                <w:rFonts w:ascii="Calibri" w:hAnsi="Calibri" w:eastAsia="宋体" w:cs="Mongolian Baiti"/>
                <w:color w:val="000000"/>
              </w:rPr>
            </w:pPr>
            <w:r>
              <w:rPr>
                <w:rFonts w:hint="eastAsia" w:ascii="Calibri" w:hAnsi="Calibri" w:eastAsia="宋体" w:cs="Mongolian Baiti"/>
                <w:color w:val="000000"/>
              </w:rPr>
              <w:t>7.出版/文献/知识产权费</w:t>
            </w:r>
          </w:p>
        </w:tc>
        <w:tc>
          <w:tcPr>
            <w:tcW w:w="831" w:type="pct"/>
            <w:vAlign w:val="center"/>
          </w:tcPr>
          <w:p w14:paraId="35075B19">
            <w:pPr>
              <w:jc w:val="center"/>
              <w:rPr>
                <w:rFonts w:ascii="Calibri" w:hAnsi="Calibri" w:eastAsia="宋体" w:cs="Mongolian Baiti"/>
                <w:color w:val="000000"/>
              </w:rPr>
            </w:pPr>
          </w:p>
        </w:tc>
        <w:tc>
          <w:tcPr>
            <w:tcW w:w="920" w:type="pct"/>
            <w:vAlign w:val="center"/>
          </w:tcPr>
          <w:p w14:paraId="3FDE525E">
            <w:pPr>
              <w:jc w:val="center"/>
              <w:rPr>
                <w:rFonts w:ascii="Calibri" w:hAnsi="Calibri" w:eastAsia="宋体" w:cs="Mongolian Baiti"/>
                <w:color w:val="000000"/>
              </w:rPr>
            </w:pPr>
          </w:p>
        </w:tc>
        <w:tc>
          <w:tcPr>
            <w:tcW w:w="921" w:type="pct"/>
            <w:vAlign w:val="center"/>
          </w:tcPr>
          <w:p w14:paraId="460060F9">
            <w:pPr>
              <w:jc w:val="center"/>
              <w:rPr>
                <w:rFonts w:ascii="Calibri" w:hAnsi="Calibri" w:eastAsia="宋体" w:cs="Mongolian Baiti"/>
                <w:color w:val="000000"/>
              </w:rPr>
            </w:pPr>
          </w:p>
        </w:tc>
      </w:tr>
      <w:tr w14:paraId="5A99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2A3AEFA8">
            <w:pPr>
              <w:jc w:val="center"/>
              <w:rPr>
                <w:rFonts w:ascii="Calibri" w:hAnsi="Calibri" w:eastAsia="宋体" w:cs="Mongolian Baiti"/>
                <w:color w:val="000000"/>
              </w:rPr>
            </w:pPr>
            <w:r>
              <w:rPr>
                <w:rFonts w:hint="eastAsia" w:ascii="Calibri" w:hAnsi="Calibri" w:eastAsia="宋体" w:cs="Mongolian Baiti"/>
                <w:color w:val="000000"/>
              </w:rPr>
              <w:t>9</w:t>
            </w:r>
          </w:p>
        </w:tc>
        <w:tc>
          <w:tcPr>
            <w:tcW w:w="1895" w:type="pct"/>
            <w:vAlign w:val="center"/>
          </w:tcPr>
          <w:p w14:paraId="13168527">
            <w:pPr>
              <w:rPr>
                <w:rFonts w:ascii="Calibri" w:hAnsi="Calibri" w:eastAsia="宋体" w:cs="Mongolian Baiti"/>
                <w:b/>
                <w:color w:val="000000"/>
                <w:sz w:val="24"/>
              </w:rPr>
            </w:pPr>
            <w:r>
              <w:rPr>
                <w:rFonts w:hint="eastAsia" w:ascii="Calibri" w:hAnsi="Calibri" w:eastAsia="宋体" w:cs="Mongolian Baiti"/>
                <w:color w:val="000000"/>
              </w:rPr>
              <w:t>8.专家咨询费</w:t>
            </w:r>
          </w:p>
        </w:tc>
        <w:tc>
          <w:tcPr>
            <w:tcW w:w="831" w:type="pct"/>
            <w:vAlign w:val="center"/>
          </w:tcPr>
          <w:p w14:paraId="78A81823">
            <w:pPr>
              <w:jc w:val="center"/>
              <w:rPr>
                <w:rFonts w:ascii="Calibri" w:hAnsi="Calibri" w:eastAsia="宋体" w:cs="Mongolian Baiti"/>
                <w:color w:val="000000"/>
              </w:rPr>
            </w:pPr>
          </w:p>
        </w:tc>
        <w:tc>
          <w:tcPr>
            <w:tcW w:w="920" w:type="pct"/>
            <w:vAlign w:val="center"/>
          </w:tcPr>
          <w:p w14:paraId="7B9F0420">
            <w:pPr>
              <w:jc w:val="center"/>
              <w:rPr>
                <w:rFonts w:ascii="Calibri" w:hAnsi="Calibri" w:eastAsia="宋体" w:cs="Mongolian Baiti"/>
                <w:color w:val="000000"/>
              </w:rPr>
            </w:pPr>
          </w:p>
        </w:tc>
        <w:tc>
          <w:tcPr>
            <w:tcW w:w="921" w:type="pct"/>
            <w:vAlign w:val="center"/>
          </w:tcPr>
          <w:p w14:paraId="2858E963">
            <w:pPr>
              <w:jc w:val="center"/>
              <w:rPr>
                <w:rFonts w:ascii="Calibri" w:hAnsi="Calibri" w:eastAsia="宋体" w:cs="Mongolian Baiti"/>
                <w:color w:val="000000"/>
              </w:rPr>
            </w:pPr>
          </w:p>
        </w:tc>
      </w:tr>
      <w:tr w14:paraId="2614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68EA6B70">
            <w:pPr>
              <w:jc w:val="center"/>
              <w:rPr>
                <w:rFonts w:ascii="Calibri" w:hAnsi="Calibri" w:eastAsia="宋体" w:cs="Mongolian Baiti"/>
                <w:color w:val="000000"/>
              </w:rPr>
            </w:pPr>
            <w:r>
              <w:rPr>
                <w:rFonts w:hint="eastAsia" w:ascii="Calibri" w:hAnsi="Calibri" w:eastAsia="宋体" w:cs="Mongolian Baiti"/>
                <w:color w:val="000000"/>
              </w:rPr>
              <w:t>10</w:t>
            </w:r>
          </w:p>
        </w:tc>
        <w:tc>
          <w:tcPr>
            <w:tcW w:w="1895" w:type="pct"/>
            <w:vAlign w:val="center"/>
          </w:tcPr>
          <w:p w14:paraId="33A871B3">
            <w:pPr>
              <w:rPr>
                <w:rFonts w:ascii="Calibri" w:hAnsi="Calibri" w:eastAsia="宋体" w:cs="Mongolian Baiti"/>
                <w:b/>
                <w:color w:val="000000"/>
                <w:sz w:val="24"/>
              </w:rPr>
            </w:pPr>
            <w:r>
              <w:rPr>
                <w:rFonts w:hint="eastAsia" w:ascii="Calibri" w:hAnsi="Calibri" w:eastAsia="宋体" w:cs="Mongolian Baiti"/>
                <w:color w:val="000000"/>
              </w:rPr>
              <w:t>9.劳务费</w:t>
            </w:r>
          </w:p>
        </w:tc>
        <w:tc>
          <w:tcPr>
            <w:tcW w:w="831" w:type="pct"/>
            <w:vAlign w:val="center"/>
          </w:tcPr>
          <w:p w14:paraId="77D81E98">
            <w:pPr>
              <w:jc w:val="center"/>
              <w:rPr>
                <w:rFonts w:ascii="Calibri" w:hAnsi="Calibri" w:eastAsia="宋体" w:cs="Mongolian Baiti"/>
                <w:color w:val="000000"/>
              </w:rPr>
            </w:pPr>
          </w:p>
        </w:tc>
        <w:tc>
          <w:tcPr>
            <w:tcW w:w="920" w:type="pct"/>
            <w:vAlign w:val="center"/>
          </w:tcPr>
          <w:p w14:paraId="1A9CB2A9">
            <w:pPr>
              <w:jc w:val="center"/>
              <w:rPr>
                <w:rFonts w:ascii="Calibri" w:hAnsi="Calibri" w:eastAsia="宋体" w:cs="Mongolian Baiti"/>
                <w:color w:val="000000"/>
              </w:rPr>
            </w:pPr>
          </w:p>
        </w:tc>
        <w:tc>
          <w:tcPr>
            <w:tcW w:w="921" w:type="pct"/>
            <w:vAlign w:val="center"/>
          </w:tcPr>
          <w:p w14:paraId="4DF464F8">
            <w:pPr>
              <w:jc w:val="center"/>
              <w:rPr>
                <w:rFonts w:ascii="Calibri" w:hAnsi="Calibri" w:eastAsia="宋体" w:cs="Mongolian Baiti"/>
                <w:color w:val="000000"/>
              </w:rPr>
            </w:pPr>
          </w:p>
        </w:tc>
      </w:tr>
      <w:tr w14:paraId="6FD1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007ED8E8">
            <w:pPr>
              <w:jc w:val="center"/>
              <w:rPr>
                <w:rFonts w:ascii="Calibri" w:hAnsi="Calibri" w:eastAsia="宋体" w:cs="Mongolian Baiti"/>
                <w:color w:val="000000"/>
              </w:rPr>
            </w:pPr>
            <w:r>
              <w:rPr>
                <w:rFonts w:hint="eastAsia" w:ascii="Calibri" w:hAnsi="Calibri" w:eastAsia="宋体" w:cs="Mongolian Baiti"/>
                <w:color w:val="000000"/>
              </w:rPr>
              <w:t>11</w:t>
            </w:r>
          </w:p>
        </w:tc>
        <w:tc>
          <w:tcPr>
            <w:tcW w:w="1895" w:type="pct"/>
            <w:vAlign w:val="center"/>
          </w:tcPr>
          <w:p w14:paraId="2B90CB98">
            <w:pPr>
              <w:rPr>
                <w:rFonts w:ascii="Calibri" w:hAnsi="Calibri" w:eastAsia="宋体" w:cs="Mongolian Baiti"/>
                <w:color w:val="000000"/>
              </w:rPr>
            </w:pPr>
            <w:r>
              <w:rPr>
                <w:rFonts w:hint="eastAsia" w:ascii="Calibri" w:hAnsi="Calibri" w:eastAsia="宋体" w:cs="Mongolian Baiti"/>
                <w:b/>
                <w:color w:val="000000"/>
                <w:sz w:val="24"/>
              </w:rPr>
              <w:t>(二) 人工费</w:t>
            </w:r>
          </w:p>
        </w:tc>
        <w:tc>
          <w:tcPr>
            <w:tcW w:w="831" w:type="pct"/>
            <w:vAlign w:val="center"/>
          </w:tcPr>
          <w:p w14:paraId="0FD0F847">
            <w:pPr>
              <w:jc w:val="center"/>
              <w:rPr>
                <w:rFonts w:ascii="Calibri" w:hAnsi="Calibri" w:eastAsia="宋体" w:cs="Mongolian Baiti"/>
                <w:color w:val="000000"/>
              </w:rPr>
            </w:pPr>
          </w:p>
        </w:tc>
        <w:tc>
          <w:tcPr>
            <w:tcW w:w="920" w:type="pct"/>
            <w:vAlign w:val="center"/>
          </w:tcPr>
          <w:p w14:paraId="53A28945">
            <w:pPr>
              <w:jc w:val="center"/>
              <w:rPr>
                <w:rFonts w:ascii="Calibri" w:hAnsi="Calibri" w:eastAsia="宋体" w:cs="Mongolian Baiti"/>
                <w:color w:val="000000"/>
              </w:rPr>
            </w:pPr>
          </w:p>
        </w:tc>
        <w:tc>
          <w:tcPr>
            <w:tcW w:w="921" w:type="pct"/>
            <w:vAlign w:val="center"/>
          </w:tcPr>
          <w:p w14:paraId="0CAD61AA">
            <w:pPr>
              <w:jc w:val="center"/>
              <w:rPr>
                <w:rFonts w:ascii="Calibri" w:hAnsi="Calibri" w:eastAsia="宋体" w:cs="Mongolian Baiti"/>
                <w:color w:val="000000"/>
              </w:rPr>
            </w:pPr>
          </w:p>
        </w:tc>
      </w:tr>
      <w:tr w14:paraId="1109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687C4A9A">
            <w:pPr>
              <w:jc w:val="center"/>
              <w:rPr>
                <w:rFonts w:ascii="Calibri" w:hAnsi="Calibri" w:eastAsia="宋体" w:cs="Mongolian Baiti"/>
                <w:b/>
                <w:color w:val="000000"/>
                <w:sz w:val="24"/>
              </w:rPr>
            </w:pPr>
            <w:r>
              <w:rPr>
                <w:rFonts w:hint="eastAsia" w:ascii="Calibri" w:hAnsi="Calibri" w:eastAsia="宋体" w:cs="Mongolian Baiti"/>
                <w:color w:val="000000"/>
              </w:rPr>
              <w:t>12</w:t>
            </w:r>
          </w:p>
        </w:tc>
        <w:tc>
          <w:tcPr>
            <w:tcW w:w="1895" w:type="pct"/>
            <w:vAlign w:val="center"/>
          </w:tcPr>
          <w:p w14:paraId="1D225096">
            <w:pPr>
              <w:rPr>
                <w:rFonts w:ascii="Calibri" w:hAnsi="Calibri" w:eastAsia="宋体" w:cs="Mongolian Baiti"/>
                <w:color w:val="000000"/>
              </w:rPr>
            </w:pPr>
            <w:r>
              <w:rPr>
                <w:rFonts w:hint="eastAsia" w:ascii="Calibri" w:hAnsi="Calibri" w:eastAsia="宋体" w:cs="Mongolian Baiti"/>
                <w:color w:val="000000"/>
              </w:rPr>
              <w:t>1.研究人员费</w:t>
            </w:r>
          </w:p>
        </w:tc>
        <w:tc>
          <w:tcPr>
            <w:tcW w:w="831" w:type="pct"/>
            <w:vAlign w:val="center"/>
          </w:tcPr>
          <w:p w14:paraId="3420D38C">
            <w:pPr>
              <w:jc w:val="center"/>
              <w:rPr>
                <w:rFonts w:ascii="Calibri" w:hAnsi="Calibri" w:eastAsia="宋体" w:cs="Mongolian Baiti"/>
                <w:color w:val="000000"/>
              </w:rPr>
            </w:pPr>
          </w:p>
        </w:tc>
        <w:tc>
          <w:tcPr>
            <w:tcW w:w="920" w:type="pct"/>
            <w:vAlign w:val="center"/>
          </w:tcPr>
          <w:p w14:paraId="35B0D8AB">
            <w:pPr>
              <w:jc w:val="center"/>
              <w:rPr>
                <w:rFonts w:ascii="Calibri" w:hAnsi="Calibri" w:eastAsia="宋体" w:cs="Mongolian Baiti"/>
                <w:color w:val="000000"/>
              </w:rPr>
            </w:pPr>
          </w:p>
        </w:tc>
        <w:tc>
          <w:tcPr>
            <w:tcW w:w="921" w:type="pct"/>
            <w:vAlign w:val="center"/>
          </w:tcPr>
          <w:p w14:paraId="0D550F96">
            <w:pPr>
              <w:jc w:val="center"/>
              <w:rPr>
                <w:rFonts w:ascii="Calibri" w:hAnsi="Calibri" w:eastAsia="宋体" w:cs="Mongolian Baiti"/>
                <w:color w:val="000000"/>
              </w:rPr>
            </w:pPr>
          </w:p>
        </w:tc>
      </w:tr>
      <w:tr w14:paraId="6F12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7F106412">
            <w:pPr>
              <w:jc w:val="center"/>
              <w:rPr>
                <w:rFonts w:ascii="Calibri" w:hAnsi="Calibri" w:eastAsia="宋体" w:cs="Mongolian Baiti"/>
                <w:color w:val="000000"/>
              </w:rPr>
            </w:pPr>
            <w:r>
              <w:rPr>
                <w:rFonts w:hint="eastAsia" w:ascii="Calibri" w:hAnsi="Calibri" w:eastAsia="宋体" w:cs="Mongolian Baiti"/>
                <w:color w:val="000000"/>
              </w:rPr>
              <w:t>13</w:t>
            </w:r>
          </w:p>
        </w:tc>
        <w:tc>
          <w:tcPr>
            <w:tcW w:w="1895" w:type="pct"/>
            <w:vAlign w:val="center"/>
          </w:tcPr>
          <w:p w14:paraId="07D2B646">
            <w:pPr>
              <w:jc w:val="right"/>
              <w:rPr>
                <w:rFonts w:ascii="Calibri" w:hAnsi="Calibri" w:eastAsia="宋体" w:cs="Mongolian Baiti"/>
                <w:b/>
                <w:color w:val="000000"/>
                <w:sz w:val="24"/>
              </w:rPr>
            </w:pPr>
            <w:r>
              <w:rPr>
                <w:rFonts w:ascii="Calibri" w:hAnsi="Calibri" w:eastAsia="宋体" w:cs="Mongolian Baiti"/>
                <w:b/>
                <w:color w:val="000000"/>
                <w:sz w:val="24"/>
                <w:szCs w:val="24"/>
              </w:rPr>
              <w:t>合</w:t>
            </w:r>
            <w:r>
              <w:rPr>
                <w:rFonts w:hint="eastAsia" w:ascii="Calibri" w:hAnsi="Calibri" w:eastAsia="宋体" w:cs="Mongolian Baiti"/>
                <w:b/>
                <w:color w:val="000000"/>
                <w:sz w:val="24"/>
                <w:szCs w:val="24"/>
              </w:rPr>
              <w:t xml:space="preserve"> </w:t>
            </w:r>
            <w:r>
              <w:rPr>
                <w:rFonts w:ascii="Calibri" w:hAnsi="Calibri" w:eastAsia="宋体" w:cs="Mongolian Baiti"/>
                <w:b/>
                <w:color w:val="000000"/>
                <w:sz w:val="24"/>
                <w:szCs w:val="24"/>
              </w:rPr>
              <w:t>计</w:t>
            </w:r>
          </w:p>
        </w:tc>
        <w:tc>
          <w:tcPr>
            <w:tcW w:w="831" w:type="pct"/>
            <w:vAlign w:val="center"/>
          </w:tcPr>
          <w:p>
            <w:pPr>
              <w:spacing w:after="0" w:line="264" w:lineRule="auto"/>
              <w:jc w:val="center"/>
            </w:pPr>
            <w:r/>
            <w:r>
              <w:rPr>
                <w:rFonts w:ascii="Times New Roman" w:hAnsi="Times New Roman" w:eastAsia="宋体"/>
                <w:b w:val="0"/>
                <w:sz w:val="21"/>
              </w:rPr>
              <w:t>由申报单位核定</w:t>
            </w:r>
          </w:p>
        </w:tc>
        <w:tc>
          <w:tcPr>
            <w:tcW w:w="920" w:type="pct"/>
            <w:vAlign w:val="center"/>
          </w:tcPr>
          <w:p w14:paraId="7E94734D">
            <w:pPr>
              <w:jc w:val="center"/>
              <w:rPr>
                <w:rFonts w:ascii="Calibri" w:hAnsi="Calibri" w:eastAsia="宋体" w:cs="Mongolian Baiti"/>
                <w:color w:val="000000"/>
              </w:rPr>
            </w:pPr>
          </w:p>
        </w:tc>
        <w:tc>
          <w:tcPr>
            <w:tcW w:w="921" w:type="pct"/>
            <w:vAlign w:val="center"/>
          </w:tcPr>
          <w:p w14:paraId="3772BAEA">
            <w:pPr>
              <w:jc w:val="center"/>
              <w:rPr>
                <w:rFonts w:ascii="Calibri" w:hAnsi="Calibri" w:eastAsia="宋体" w:cs="Mongolian Baiti"/>
                <w:color w:val="000000"/>
              </w:rPr>
            </w:pPr>
          </w:p>
        </w:tc>
      </w:tr>
    </w:tbl>
    <w:p w14:paraId="41DC7236">
      <w:pPr>
        <w:rPr>
          <w:rFonts w:ascii="仿宋" w:hAnsi="仿宋" w:eastAsia="仿宋" w:cs="Times New Roman"/>
          <w:sz w:val="30"/>
          <w:szCs w:val="30"/>
        </w:rPr>
      </w:pPr>
    </w:p>
    <w:p w14:paraId="10562C53">
      <w:pPr>
        <w:wordWrap w:val="0"/>
        <w:ind w:right="600" w:firstLine="5250" w:firstLineChars="1750"/>
        <w:rPr>
          <w:rFonts w:ascii="仿宋" w:hAnsi="仿宋" w:eastAsia="仿宋" w:cs="Times New Roman"/>
          <w:sz w:val="30"/>
          <w:szCs w:val="30"/>
        </w:rPr>
      </w:pPr>
    </w:p>
    <w:p w14:paraId="7B34D2BF">
      <w:pPr>
        <w:ind w:left="3969" w:leftChars="1890" w:right="600"/>
        <w:jc w:val="left"/>
        <w:rPr>
          <w:rFonts w:ascii="仿宋" w:hAnsi="仿宋" w:eastAsia="仿宋" w:cs="Times New Roman"/>
          <w:sz w:val="30"/>
          <w:szCs w:val="30"/>
        </w:rPr>
      </w:pPr>
      <w:r>
        <w:rPr>
          <w:rFonts w:hint="eastAsia" w:ascii="仿宋" w:hAnsi="仿宋" w:eastAsia="仿宋" w:cs="Times New Roman"/>
          <w:sz w:val="30"/>
          <w:szCs w:val="30"/>
        </w:rPr>
        <w:t>部门负责人</w:t>
      </w:r>
      <w:r>
        <w:rPr>
          <w:rFonts w:ascii="仿宋" w:hAnsi="仿宋" w:eastAsia="仿宋" w:cs="Times New Roman"/>
          <w:sz w:val="30"/>
          <w:szCs w:val="30"/>
        </w:rPr>
        <w:t>签</w:t>
      </w:r>
      <w:r>
        <w:rPr>
          <w:rFonts w:hint="eastAsia" w:ascii="仿宋" w:hAnsi="仿宋" w:eastAsia="仿宋" w:cs="Times New Roman"/>
          <w:sz w:val="30"/>
          <w:szCs w:val="30"/>
        </w:rPr>
        <w:t>字</w:t>
      </w:r>
      <w:r>
        <w:rPr>
          <w:rFonts w:ascii="仿宋" w:hAnsi="仿宋" w:eastAsia="仿宋" w:cs="Times New Roman"/>
          <w:sz w:val="30"/>
          <w:szCs w:val="30"/>
        </w:rPr>
        <w:t>：</w:t>
      </w:r>
      <w:r>
        <w:rPr>
          <w:rFonts w:hint="eastAsia" w:ascii="仿宋" w:hAnsi="仿宋" w:eastAsia="仿宋" w:cs="Times New Roman"/>
          <w:sz w:val="30"/>
          <w:szCs w:val="30"/>
        </w:rPr>
        <w:t xml:space="preserve">          </w:t>
      </w:r>
    </w:p>
    <w:p w14:paraId="5AFE1FE3">
      <w:pPr>
        <w:ind w:left="3969" w:leftChars="1890" w:right="150"/>
        <w:jc w:val="left"/>
        <w:rPr>
          <w:rFonts w:ascii="仿宋" w:hAnsi="仿宋" w:eastAsia="仿宋" w:cs="Times New Roman"/>
          <w:sz w:val="30"/>
          <w:szCs w:val="30"/>
        </w:rPr>
      </w:pPr>
      <w:r>
        <w:rPr>
          <w:rFonts w:hint="eastAsia" w:ascii="仿宋" w:hAnsi="仿宋" w:eastAsia="仿宋" w:cs="Times New Roman"/>
          <w:sz w:val="30"/>
          <w:szCs w:val="30"/>
        </w:rPr>
        <w:t>项目负责人签字:</w:t>
      </w:r>
    </w:p>
    <w:p w14:paraId="0AEC1F2D">
      <w:pPr>
        <w:wordWrap w:val="0"/>
        <w:ind w:left="3969" w:leftChars="1890" w:right="600"/>
        <w:jc w:val="left"/>
      </w:pPr>
      <w:r>
        <w:rPr>
          <w:rFonts w:hint="eastAsia" w:ascii="仿宋" w:hAnsi="仿宋" w:eastAsia="仿宋" w:cs="Times New Roman"/>
          <w:sz w:val="30"/>
          <w:szCs w:val="30"/>
        </w:rPr>
        <w:t>年   月   日</w:t>
      </w:r>
    </w:p>
    <w:p>
      <w:pPr>
        <w:spacing w:after="60" w:line="300" w:lineRule="auto"/>
        <w:jc w:val="left"/>
      </w:pPr>
      <w:r>
        <w:rPr>
          <w:rFonts w:ascii="Times New Roman" w:hAnsi="Times New Roman" w:eastAsia="宋体"/>
          <w:b/>
          <w:sz w:val="21"/>
        </w:rPr>
        <w:t>经费预算说明：经费预算由申报单位依据项目周期、数据获取、外业监测、模型训练、软件开发、测试验证和第三方复核需求，按照单位科研经费管理办法核定并填入正式申报表。</w:t>
      </w:r>
    </w:p>
    <w:sectPr>
      <w:pgSz w:w="11906" w:h="16838"/>
      <w:pgMar w:top="2098" w:right="1474" w:bottom="1984" w:left="1587" w:header="851" w:footer="992" w:gutter="0"/>
      <w:cols w:space="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ongolian Baiti">
    <w:panose1 w:val="03000500000000000000"/>
    <w:charset w:val="00"/>
    <w:family w:val="script"/>
    <w:pitch w:val="default"/>
    <w:sig w:usb0="80000023" w:usb1="00000000" w:usb2="00020000" w:usb3="00000000" w:csb0="0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F1FF7"/>
    <w:multiLevelType w:val="singleLevel"/>
    <w:tmpl w:val="917F1FF7"/>
    <w:lvl w:ilvl="0" w:tentative="0">
      <w:start w:val="1"/>
      <w:numFmt w:val="decimal"/>
      <w:lvlText w:val="%1."/>
      <w:lvlJc w:val="left"/>
      <w:pPr>
        <w:ind w:left="425" w:hanging="425"/>
      </w:pPr>
      <w:rPr>
        <w:rFonts w:hint="default"/>
      </w:rPr>
    </w:lvl>
  </w:abstractNum>
  <w:abstractNum w:abstractNumId="1">
    <w:nsid w:val="A42CAB61"/>
    <w:multiLevelType w:val="singleLevel"/>
    <w:tmpl w:val="A42CAB61"/>
    <w:lvl w:ilvl="0" w:tentative="0">
      <w:start w:val="1"/>
      <w:numFmt w:val="decimal"/>
      <w:lvlText w:val="%1."/>
      <w:lvlJc w:val="left"/>
      <w:pPr>
        <w:ind w:left="425" w:hanging="425"/>
      </w:pPr>
      <w:rPr>
        <w:rFonts w:hint="default"/>
      </w:rPr>
    </w:lvl>
  </w:abstractNum>
  <w:abstractNum w:abstractNumId="2">
    <w:nsid w:val="B3C66DC5"/>
    <w:multiLevelType w:val="singleLevel"/>
    <w:tmpl w:val="B3C66DC5"/>
    <w:lvl w:ilvl="0" w:tentative="0">
      <w:start w:val="1"/>
      <w:numFmt w:val="decimal"/>
      <w:lvlText w:val="%1."/>
      <w:lvlJc w:val="left"/>
      <w:pPr>
        <w:ind w:left="425" w:hanging="425"/>
      </w:pPr>
      <w:rPr>
        <w:rFonts w:hint="default"/>
      </w:rPr>
    </w:lvl>
  </w:abstractNum>
  <w:abstractNum w:abstractNumId="3">
    <w:nsid w:val="0B4516AD"/>
    <w:multiLevelType w:val="multilevel"/>
    <w:tmpl w:val="0B4516AD"/>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4">
    <w:nsid w:val="32D855BF"/>
    <w:multiLevelType w:val="multilevel"/>
    <w:tmpl w:val="32D855BF"/>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5">
    <w:nsid w:val="3521EA1B"/>
    <w:multiLevelType w:val="singleLevel"/>
    <w:tmpl w:val="3521EA1B"/>
    <w:lvl w:ilvl="0" w:tentative="0">
      <w:start w:val="1"/>
      <w:numFmt w:val="decimal"/>
      <w:lvlText w:val="%1."/>
      <w:lvlJc w:val="left"/>
      <w:pPr>
        <w:ind w:left="425" w:hanging="425"/>
      </w:pPr>
      <w:rPr>
        <w:rFonts w:hint="default"/>
      </w:rPr>
    </w:lvl>
  </w:abstractNum>
  <w:abstractNum w:abstractNumId="6">
    <w:nsid w:val="4633234B"/>
    <w:multiLevelType w:val="singleLevel"/>
    <w:tmpl w:val="4633234B"/>
    <w:lvl w:ilvl="0" w:tentative="0">
      <w:start w:val="1"/>
      <w:numFmt w:val="decimal"/>
      <w:lvlText w:val="%1."/>
      <w:lvlJc w:val="left"/>
      <w:pPr>
        <w:ind w:left="425" w:hanging="425"/>
      </w:pPr>
      <w:rPr>
        <w:rFonts w:hint="default"/>
      </w:rPr>
    </w:lvl>
  </w:abstractNum>
  <w:abstractNum w:abstractNumId="7">
    <w:nsid w:val="4AE97CE7"/>
    <w:multiLevelType w:val="singleLevel"/>
    <w:tmpl w:val="4AE97CE7"/>
    <w:lvl w:ilvl="0" w:tentative="0">
      <w:start w:val="1"/>
      <w:numFmt w:val="decimal"/>
      <w:lvlText w:val="(%1)"/>
      <w:lvlJc w:val="left"/>
      <w:pPr>
        <w:ind w:left="425" w:hanging="425"/>
      </w:pPr>
      <w:rPr>
        <w:rFonts w:hint="default"/>
      </w:rPr>
    </w:lvl>
  </w:abstractNum>
  <w:abstractNum w:abstractNumId="8">
    <w:nsid w:val="53592643"/>
    <w:multiLevelType w:val="singleLevel"/>
    <w:tmpl w:val="53592643"/>
    <w:lvl w:ilvl="0" w:tentative="0">
      <w:start w:val="1"/>
      <w:numFmt w:val="decimal"/>
      <w:lvlText w:val="(%1)"/>
      <w:lvlJc w:val="left"/>
      <w:pPr>
        <w:tabs>
          <w:tab w:val="left" w:pos="420"/>
        </w:tabs>
        <w:ind w:left="845" w:hanging="425"/>
      </w:pPr>
      <w:rPr>
        <w:rFonts w:hint="default"/>
      </w:rPr>
    </w:lvl>
  </w:abstractNum>
  <w:abstractNum w:abstractNumId="9">
    <w:nsid w:val="5C5E598C"/>
    <w:multiLevelType w:val="multilevel"/>
    <w:tmpl w:val="5C5E598C"/>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0">
    <w:nsid w:val="672D8208"/>
    <w:multiLevelType w:val="singleLevel"/>
    <w:tmpl w:val="672D8208"/>
    <w:lvl w:ilvl="0" w:tentative="0">
      <w:start w:val="1"/>
      <w:numFmt w:val="decimal"/>
      <w:lvlText w:val="(%1)"/>
      <w:lvlJc w:val="left"/>
      <w:pPr>
        <w:ind w:left="425" w:hanging="425"/>
      </w:pPr>
      <w:rPr>
        <w:rFonts w:hint="default"/>
      </w:rPr>
    </w:lvl>
  </w:abstractNum>
  <w:num w:numId="1">
    <w:abstractNumId w:val="4"/>
  </w:num>
  <w:num w:numId="2">
    <w:abstractNumId w:val="8"/>
  </w:num>
  <w:num w:numId="3">
    <w:abstractNumId w:val="2"/>
  </w:num>
  <w:num w:numId="4">
    <w:abstractNumId w:val="6"/>
  </w:num>
  <w:num w:numId="5">
    <w:abstractNumId w:val="3"/>
  </w:num>
  <w:num w:numId="6">
    <w:abstractNumId w:val="1"/>
  </w:num>
  <w:num w:numId="7">
    <w:abstractNumId w:val="5"/>
  </w:num>
  <w:num w:numId="8">
    <w:abstractNumId w:val="9"/>
  </w:num>
  <w:num w:numId="9">
    <w:abstractNumId w:val="0"/>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221D12"/>
    <w:rsid w:val="006509CE"/>
    <w:rsid w:val="00B4153D"/>
    <w:rsid w:val="04FD4066"/>
    <w:rsid w:val="157F0E5E"/>
    <w:rsid w:val="19917F08"/>
    <w:rsid w:val="1F014566"/>
    <w:rsid w:val="212C5F7B"/>
    <w:rsid w:val="2A827F8B"/>
    <w:rsid w:val="364644CB"/>
    <w:rsid w:val="4256732B"/>
    <w:rsid w:val="4C221D12"/>
    <w:rsid w:val="4D597484"/>
    <w:rsid w:val="4FC878DB"/>
    <w:rsid w:val="512D08AC"/>
    <w:rsid w:val="59140B3F"/>
    <w:rsid w:val="5FA24B1B"/>
    <w:rsid w:val="68CC4702"/>
    <w:rsid w:val="6B3943AD"/>
    <w:rsid w:val="6D2A4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ns0:Relationships xmlns:ns0="http://schemas.openxmlformats.org/package/2006/relationships"><ns0:Relationship Id="rId6" Type="http://schemas.openxmlformats.org/officeDocument/2006/relationships/fontTable" Target="fontTable.xml" /><ns0:Relationship Id="rId5" Type="http://schemas.openxmlformats.org/officeDocument/2006/relationships/numbering" Target="numbering.xml" /><ns0:Relationship Id="rId3" Type="http://schemas.openxmlformats.org/officeDocument/2006/relationships/theme" Target="theme/theme1.xml" /><ns0:Relationship Id="rId2" Type="http://schemas.openxmlformats.org/officeDocument/2006/relationships/settings" Target="settings.xml" /><ns0:Relationship Id="rId1" Type="http://schemas.openxmlformats.org/officeDocument/2006/relationships/styles" Target="styles.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198</Words>
  <Characters>1132</Characters>
  <Lines>9</Lines>
  <Paragraphs>2</Paragraphs>
  <TotalTime>55</TotalTime>
  <ScaleCrop>false</ScaleCrop>
  <LinksUpToDate>false</LinksUpToDate>
  <CharactersWithSpaces>1328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2024-11-18T03:32:00Z</dcterms:created>
  <dc:creator>刘天昊</dc:creator>
  <cp:lastModifiedBy>CAO</cp:lastModifiedBy>
  <dcterms:modified xsi:type="dcterms:W3CDTF">2026-07-28T08:06:11Z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7C97A2052B1B4A7CA6EBE6B0744BDE20</vt:lpwstr>
  </property>
</Properties>
</file>