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91010">
      <w:pPr>
        <w:rPr>
          <w:rFonts w:ascii="Calibri" w:hAnsi="Calibri" w:eastAsia="宋体" w:cs="Times New Roman"/>
          <w:szCs w:val="20"/>
        </w:rPr>
      </w:pPr>
    </w:p>
    <w:p w14:paraId="08EBD00C">
      <w:pPr>
        <w:rPr>
          <w:rFonts w:ascii="Calibri" w:hAnsi="Calibri" w:eastAsia="宋体" w:cs="Times New Roman"/>
          <w:szCs w:val="20"/>
        </w:rPr>
      </w:pPr>
    </w:p>
    <w:p w14:paraId="3CD3F3C6">
      <w:pPr>
        <w:rPr>
          <w:rFonts w:ascii="Calibri" w:hAnsi="Calibri" w:eastAsia="宋体" w:cs="Times New Roman"/>
          <w:szCs w:val="20"/>
        </w:rPr>
      </w:pPr>
    </w:p>
    <w:p w14:paraId="04AF4326">
      <w:pPr>
        <w:spacing w:line="1200" w:lineRule="exact"/>
        <w:jc w:val="center"/>
        <w:rPr>
          <w:rFonts w:ascii="Calibri" w:hAnsi="Calibri" w:eastAsia="宋体" w:cs="Times New Roman"/>
          <w:b/>
          <w:spacing w:val="30"/>
          <w:sz w:val="56"/>
          <w:szCs w:val="56"/>
        </w:rPr>
      </w:pPr>
      <w:r>
        <w:rPr>
          <w:rFonts w:hint="eastAsia" w:ascii="Calibri" w:hAnsi="Calibri" w:eastAsia="宋体" w:cs="Times New Roman"/>
          <w:b/>
          <w:spacing w:val="30"/>
          <w:sz w:val="56"/>
          <w:szCs w:val="56"/>
        </w:rPr>
        <w:t>中国城市建设研究院有限公司</w:t>
      </w:r>
    </w:p>
    <w:p w14:paraId="1485493A">
      <w:pPr>
        <w:spacing w:line="1200" w:lineRule="exact"/>
        <w:jc w:val="center"/>
        <w:rPr>
          <w:rFonts w:ascii="Calibri" w:hAnsi="Calibri" w:eastAsia="宋体" w:cs="Times New Roman"/>
          <w:b/>
          <w:spacing w:val="30"/>
          <w:sz w:val="56"/>
          <w:szCs w:val="56"/>
        </w:rPr>
      </w:pPr>
      <w:r>
        <w:rPr>
          <w:rFonts w:hint="eastAsia" w:ascii="Calibri" w:hAnsi="Calibri" w:eastAsia="宋体" w:cs="Times New Roman"/>
          <w:b/>
          <w:spacing w:val="30"/>
          <w:sz w:val="56"/>
          <w:szCs w:val="56"/>
        </w:rPr>
        <w:t>自立科研项目申报书</w:t>
      </w:r>
    </w:p>
    <w:p w14:paraId="2A74C1DA">
      <w:pPr>
        <w:jc w:val="center"/>
        <w:rPr>
          <w:rFonts w:ascii="Calibri" w:hAnsi="Calibri" w:eastAsia="宋体" w:cs="Times New Roman"/>
          <w:b/>
          <w:sz w:val="36"/>
        </w:rPr>
      </w:pPr>
    </w:p>
    <w:p w14:paraId="688E58AF">
      <w:pPr>
        <w:jc w:val="center"/>
        <w:rPr>
          <w:rFonts w:ascii="Calibri" w:hAnsi="Calibri" w:eastAsia="宋体" w:cs="Times New Roman"/>
          <w:b/>
          <w:sz w:val="36"/>
        </w:rPr>
      </w:pPr>
    </w:p>
    <w:p w14:paraId="43E2DC33">
      <w:pPr>
        <w:jc w:val="center"/>
        <w:rPr>
          <w:rFonts w:ascii="Calibri" w:hAnsi="Calibri" w:eastAsia="宋体" w:cs="Times New Roman"/>
          <w:b/>
          <w:sz w:val="36"/>
        </w:rPr>
      </w:pPr>
    </w:p>
    <w:p w14:paraId="4A2F82E2">
      <w:pPr>
        <w:jc w:val="center"/>
        <w:rPr>
          <w:rFonts w:ascii="Calibri" w:hAnsi="Calibri" w:eastAsia="宋体" w:cs="Times New Roman"/>
          <w:b/>
          <w:sz w:val="36"/>
        </w:rPr>
      </w:pPr>
    </w:p>
    <w:p w14:paraId="5C802406">
      <w:pPr>
        <w:spacing w:line="300" w:lineRule="auto" w:after="80"/>
        <w:ind w:firstLine="0"/>
        <w:jc w:val="left"/>
        <w:rPr>
          <w:rFonts w:ascii="Calibri" w:hAnsi="Calibri" w:eastAsia="宋体" w:cs="Times New Roman"/>
          <w:b/>
          <w:sz w:val="32"/>
        </w:rPr>
      </w:pPr>
      <w:r>
        <w:rPr>
          <w:rFonts w:ascii="Times New Roman" w:hAnsi="Times New Roman" w:eastAsia="宋体"/>
          <w:b w:val="0"/>
          <w:sz w:val="24"/>
        </w:rPr>
        <w:t>申报项目名称： 基于玄女月度地理嵌入的生态系统生产总值核算技术研究</w:t>
      </w:r>
    </w:p>
    <w:p w14:paraId="2E7C10F2">
      <w:pPr>
        <w:spacing w:line="360" w:lineRule="auto"/>
        <w:rPr>
          <w:rFonts w:ascii="Calibri" w:hAnsi="Calibri" w:eastAsia="宋体" w:cs="Times New Roman"/>
          <w:b/>
          <w:sz w:val="32"/>
        </w:rPr>
      </w:pPr>
      <w:r>
        <w:rPr>
          <w:rFonts w:hint="eastAsia" w:ascii="Calibri" w:hAnsi="Calibri" w:eastAsia="宋体" w:cs="Times New Roman"/>
          <w:b/>
          <w:sz w:val="32"/>
        </w:rPr>
        <w:t xml:space="preserve">    申  报 部 门： </w:t>
      </w:r>
      <w:r>
        <w:rPr>
          <w:rFonts w:hint="eastAsia" w:ascii="Calibri" w:hAnsi="Calibri" w:eastAsia="宋体" w:cs="Times New Roman"/>
          <w:sz w:val="32"/>
          <w:u w:val="single"/>
        </w:rPr>
        <w:t xml:space="preserve">                                  </w:t>
      </w:r>
    </w:p>
    <w:p w14:paraId="4EAF207A">
      <w:pPr>
        <w:spacing w:line="360" w:lineRule="auto"/>
        <w:rPr>
          <w:rFonts w:ascii="Calibri" w:hAnsi="Calibri" w:eastAsia="宋体" w:cs="Times New Roman"/>
          <w:b/>
          <w:sz w:val="32"/>
        </w:rPr>
      </w:pPr>
      <w:r>
        <w:rPr>
          <w:rFonts w:hint="eastAsia" w:ascii="Calibri" w:hAnsi="Calibri" w:eastAsia="宋体" w:cs="Times New Roman"/>
          <w:b/>
          <w:sz w:val="32"/>
        </w:rPr>
        <w:t xml:space="preserve">    项目申报人：  </w:t>
      </w:r>
      <w:r>
        <w:rPr>
          <w:rFonts w:hint="eastAsia" w:ascii="Calibri" w:hAnsi="Calibri" w:eastAsia="宋体" w:cs="Times New Roman"/>
          <w:sz w:val="32"/>
          <w:u w:val="single"/>
        </w:rPr>
        <w:t xml:space="preserve">                                      </w:t>
      </w:r>
    </w:p>
    <w:p w14:paraId="5025B05C">
      <w:pPr>
        <w:spacing w:line="300" w:lineRule="auto" w:after="80"/>
        <w:ind w:firstLine="0"/>
        <w:jc w:val="left"/>
        <w:rPr>
          <w:rFonts w:ascii="Calibri" w:hAnsi="Calibri" w:eastAsia="宋体" w:cs="Times New Roman"/>
          <w:sz w:val="30"/>
        </w:rPr>
      </w:pPr>
      <w:r>
        <w:rPr>
          <w:rFonts w:ascii="Times New Roman" w:hAnsi="Times New Roman" w:eastAsia="宋体"/>
          <w:b w:val="0"/>
          <w:sz w:val="24"/>
        </w:rPr>
        <w:t>预计研究时间：2026年9月1日 至 2028年8月31日</w:t>
      </w:r>
    </w:p>
    <w:p w14:paraId="56786512">
      <w:pPr>
        <w:rPr>
          <w:rFonts w:ascii="Calibri" w:hAnsi="Calibri" w:eastAsia="宋体" w:cs="Times New Roman"/>
          <w:sz w:val="28"/>
        </w:rPr>
      </w:pPr>
    </w:p>
    <w:p w14:paraId="1AE1A3C5">
      <w:pPr>
        <w:spacing w:after="163" w:afterLines="50"/>
        <w:jc w:val="center"/>
        <w:rPr>
          <w:rFonts w:ascii="仿宋_GB2312" w:hAnsi="Calibri" w:eastAsia="仿宋_GB2312" w:cs="Times New Roman"/>
          <w:b/>
          <w:color w:val="000000"/>
          <w:sz w:val="36"/>
        </w:rPr>
      </w:pPr>
    </w:p>
    <w:p w14:paraId="696A2AD9">
      <w:pPr>
        <w:spacing w:after="163" w:afterLines="50"/>
        <w:jc w:val="center"/>
        <w:rPr>
          <w:rFonts w:ascii="仿宋_GB2312" w:hAnsi="Calibri" w:eastAsia="仿宋_GB2312" w:cs="Times New Roman"/>
          <w:b/>
          <w:color w:val="000000"/>
          <w:sz w:val="36"/>
        </w:rPr>
      </w:pPr>
    </w:p>
    <w:p w14:paraId="76D915D6">
      <w:pPr>
        <w:spacing w:after="163" w:afterLines="50"/>
        <w:jc w:val="center"/>
        <w:rPr>
          <w:rFonts w:ascii="仿宋_GB2312" w:hAnsi="Calibri" w:eastAsia="仿宋_GB2312" w:cs="Times New Roman"/>
          <w:b/>
          <w:color w:val="000000"/>
          <w:sz w:val="36"/>
        </w:rPr>
      </w:pPr>
    </w:p>
    <w:p w14:paraId="063BAFA6">
      <w:pPr>
        <w:spacing w:after="80" w:line="300" w:lineRule="auto"/>
        <w:ind w:firstLine="0"/>
        <w:jc w:val="left"/>
        <w:rPr>
          <w:rFonts w:ascii="Calibri" w:hAnsi="Calibri" w:eastAsia="宋体" w:cs="Times New Roman"/>
          <w:b/>
          <w:sz w:val="32"/>
        </w:rPr>
      </w:pPr>
      <w:r>
        <w:rPr>
          <w:rFonts w:ascii="Times New Roman" w:hAnsi="Times New Roman" w:eastAsia="宋体"/>
          <w:b w:val="0"/>
          <w:sz w:val="24"/>
        </w:rPr>
        <w:t>二〇二六年七月</w:t>
      </w:r>
    </w:p>
    <w:p w14:paraId="4D72ECE9">
      <w:pPr>
        <w:spacing w:after="163" w:afterLines="50"/>
        <w:jc w:val="center"/>
        <w:rPr>
          <w:rFonts w:ascii="仿宋_GB2312" w:hAnsi="Calibri" w:eastAsia="仿宋_GB2312" w:cs="Times New Roman"/>
          <w:b/>
          <w:color w:val="000000"/>
          <w:sz w:val="36"/>
        </w:rPr>
      </w:pPr>
      <w:r>
        <w:rPr>
          <w:rFonts w:ascii="仿宋_GB2312" w:hAnsi="Calibri" w:eastAsia="仿宋_GB2312" w:cs="Times New Roman"/>
          <w:b/>
          <w:color w:val="000000"/>
          <w:sz w:val="36"/>
        </w:rPr>
        <w:br w:type="page"/>
      </w:r>
      <w:r>
        <w:rPr>
          <w:rFonts w:hint="eastAsia" w:ascii="仿宋_GB2312" w:hAnsi="Calibri" w:eastAsia="仿宋_GB2312" w:cs="Times New Roman"/>
          <w:b/>
          <w:color w:val="000000"/>
          <w:sz w:val="36"/>
        </w:rPr>
        <w:t>项目信息表</w:t>
      </w:r>
    </w:p>
    <w:tbl>
      <w:tblPr>
        <w:tblStyle w:val="3"/>
        <w:tblW w:w="858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20"/>
        <w:gridCol w:w="900"/>
        <w:gridCol w:w="81"/>
        <w:gridCol w:w="1719"/>
        <w:gridCol w:w="1957"/>
        <w:gridCol w:w="1144"/>
        <w:gridCol w:w="2059"/>
      </w:tblGrid>
      <w:tr w14:paraId="180E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541C7A22">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项目名称</w:t>
            </w:r>
          </w:p>
        </w:tc>
        <w:tc>
          <w:tcPr>
            <w:tcW w:w="6879" w:type="dxa"/>
            <w:gridSpan w:val="4"/>
          </w:tcPr>
          <w:p>
            <w:pPr>
              <w:spacing w:after="80" w:line="300" w:lineRule="auto"/>
              <w:ind w:firstLine="0"/>
              <w:jc w:val="center"/>
            </w:pPr>
            <w:r>
              <w:rPr>
                <w:rFonts w:ascii="Times New Roman" w:hAnsi="Times New Roman" w:eastAsia="宋体"/>
                <w:b w:val="0"/>
                <w:sz w:val="21"/>
              </w:rPr>
              <w:t>基于玄女月度地理嵌入的生态系统生产总值核算技术研究</w:t>
            </w:r>
          </w:p>
        </w:tc>
      </w:tr>
      <w:tr w14:paraId="49590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2F11ACAD">
            <w:pPr>
              <w:spacing w:before="60" w:line="360" w:lineRule="auto"/>
              <w:ind w:right="28"/>
              <w:jc w:val="center"/>
              <w:rPr>
                <w:rFonts w:ascii="仿宋" w:hAnsi="仿宋" w:eastAsia="仿宋" w:cs="Times New Roman"/>
                <w:color w:val="000000"/>
                <w:spacing w:val="-20"/>
                <w:sz w:val="24"/>
              </w:rPr>
            </w:pPr>
            <w:r>
              <w:rPr>
                <w:rFonts w:hint="eastAsia" w:ascii="仿宋" w:hAnsi="仿宋" w:eastAsia="仿宋" w:cs="Times New Roman"/>
                <w:color w:val="000000"/>
                <w:sz w:val="24"/>
              </w:rPr>
              <w:t>成果</w:t>
            </w:r>
            <w:r>
              <w:rPr>
                <w:rFonts w:ascii="仿宋" w:hAnsi="仿宋" w:eastAsia="仿宋" w:cs="Times New Roman"/>
                <w:color w:val="000000"/>
                <w:sz w:val="24"/>
              </w:rPr>
              <w:t>转化方式</w:t>
            </w:r>
          </w:p>
        </w:tc>
        <w:tc>
          <w:tcPr>
            <w:tcW w:w="6879" w:type="dxa"/>
            <w:gridSpan w:val="4"/>
            <w:vAlign w:val="center"/>
          </w:tcPr>
          <w:p>
            <w:pPr>
              <w:spacing w:after="80" w:line="300" w:lineRule="auto"/>
              <w:ind w:firstLine="0"/>
              <w:jc w:val="left"/>
            </w:pPr>
            <w:r>
              <w:rPr>
                <w:rFonts w:ascii="Times New Roman" w:hAnsi="Times New Roman" w:eastAsia="宋体"/>
                <w:b w:val="0"/>
                <w:sz w:val="21"/>
              </w:rPr>
              <w:t>■1.业务化；■2.工程化；□3.产业化；□4.资本化</w:t>
            </w:r>
          </w:p>
        </w:tc>
      </w:tr>
      <w:tr w14:paraId="629C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6BEF05FB">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对应规划方向</w:t>
            </w:r>
          </w:p>
        </w:tc>
        <w:tc>
          <w:tcPr>
            <w:tcW w:w="6879" w:type="dxa"/>
            <w:gridSpan w:val="4"/>
          </w:tcPr>
          <w:p>
            <w:pPr>
              <w:spacing w:after="80" w:line="300" w:lineRule="auto"/>
              <w:ind w:firstLine="0"/>
              <w:jc w:val="left"/>
            </w:pPr>
            <w:r>
              <w:rPr>
                <w:rFonts w:ascii="Times New Roman" w:hAnsi="Times New Roman" w:eastAsia="宋体"/>
                <w:b w:val="0"/>
                <w:sz w:val="21"/>
              </w:rPr>
              <w:t>生态系统服务核算与遥感智能分析</w:t>
            </w:r>
          </w:p>
        </w:tc>
      </w:tr>
      <w:tr w14:paraId="3689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069DBF1B">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对应指南</w:t>
            </w:r>
            <w:r>
              <w:rPr>
                <w:rFonts w:ascii="仿宋" w:hAnsi="仿宋" w:eastAsia="仿宋" w:cs="Times New Roman"/>
                <w:color w:val="000000"/>
                <w:sz w:val="24"/>
              </w:rPr>
              <w:t>方向</w:t>
            </w:r>
          </w:p>
        </w:tc>
        <w:tc>
          <w:tcPr>
            <w:tcW w:w="6879" w:type="dxa"/>
            <w:gridSpan w:val="4"/>
          </w:tcPr>
          <w:p>
            <w:pPr>
              <w:spacing w:after="80" w:line="300" w:lineRule="auto"/>
              <w:ind w:firstLine="0"/>
              <w:jc w:val="left"/>
            </w:pPr>
            <w:r>
              <w:rPr>
                <w:rFonts w:ascii="Times New Roman" w:hAnsi="Times New Roman" w:eastAsia="宋体"/>
                <w:b w:val="0"/>
                <w:sz w:val="21"/>
              </w:rPr>
              <w:t>地理嵌入、生态过程核算与数字化工具</w:t>
            </w:r>
          </w:p>
        </w:tc>
      </w:tr>
      <w:tr w14:paraId="0CFA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65" w:hRule="atLeast"/>
        </w:trPr>
        <w:tc>
          <w:tcPr>
            <w:tcW w:w="1701" w:type="dxa"/>
            <w:gridSpan w:val="3"/>
            <w:vAlign w:val="center"/>
          </w:tcPr>
          <w:p w14:paraId="30C3B77F">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项目研究周期</w:t>
            </w:r>
          </w:p>
        </w:tc>
        <w:tc>
          <w:tcPr>
            <w:tcW w:w="6879" w:type="dxa"/>
            <w:gridSpan w:val="4"/>
            <w:vAlign w:val="center"/>
          </w:tcPr>
          <w:p>
            <w:pPr>
              <w:spacing w:after="80" w:line="300" w:lineRule="auto"/>
              <w:ind w:firstLine="0"/>
              <w:jc w:val="left"/>
            </w:pPr>
            <w:r>
              <w:rPr>
                <w:rFonts w:ascii="Times New Roman" w:hAnsi="Times New Roman" w:eastAsia="宋体"/>
                <w:b w:val="0"/>
                <w:sz w:val="21"/>
              </w:rPr>
              <w:t>□1年；■2年</w:t>
            </w:r>
          </w:p>
        </w:tc>
      </w:tr>
      <w:tr w14:paraId="20D9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773" w:hRule="atLeast"/>
        </w:trPr>
        <w:tc>
          <w:tcPr>
            <w:tcW w:w="1701" w:type="dxa"/>
            <w:gridSpan w:val="3"/>
            <w:vAlign w:val="center"/>
          </w:tcPr>
          <w:p w14:paraId="7B1E7388">
            <w:pPr>
              <w:snapToGrid w:val="0"/>
              <w:spacing w:before="60" w:line="264" w:lineRule="auto"/>
              <w:ind w:right="28"/>
              <w:jc w:val="center"/>
              <w:rPr>
                <w:rFonts w:ascii="仿宋" w:hAnsi="仿宋" w:eastAsia="仿宋" w:cs="Times New Roman"/>
                <w:color w:val="000000"/>
                <w:spacing w:val="-10"/>
                <w:sz w:val="24"/>
              </w:rPr>
            </w:pPr>
            <w:r>
              <w:rPr>
                <w:rFonts w:hint="eastAsia" w:ascii="仿宋" w:hAnsi="仿宋" w:eastAsia="仿宋" w:cs="Times New Roman"/>
                <w:color w:val="000000"/>
                <w:spacing w:val="-10"/>
                <w:sz w:val="24"/>
              </w:rPr>
              <w:t>项目概述</w:t>
            </w:r>
          </w:p>
          <w:p w14:paraId="55553E6C">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pacing w:val="-10"/>
                <w:sz w:val="24"/>
              </w:rPr>
              <w:t>（300字）</w:t>
            </w:r>
          </w:p>
        </w:tc>
        <w:tc>
          <w:tcPr>
            <w:tcW w:w="6879" w:type="dxa"/>
            <w:gridSpan w:val="4"/>
          </w:tcPr>
          <w:p>
            <w:pPr>
              <w:spacing w:after="80" w:line="300" w:lineRule="auto"/>
              <w:ind w:firstLine="0"/>
              <w:jc w:val="left"/>
            </w:pPr>
            <w:r>
              <w:rPr>
                <w:rFonts w:ascii="Times New Roman" w:hAnsi="Times New Roman" w:eastAsia="宋体"/>
                <w:b w:val="0"/>
                <w:sz w:val="21"/>
              </w:rPr>
              <w:t>面向可复制的生态系统生产总值核算需求，构建以玄女月度地理嵌入为基础的多源遥感数据处理、生态状态制图、过程单元核算和成果复核技术方法。海淀区现有工作仅作为已完成的技术验证示例，用于说明月度嵌入和少量标注专题制图的可行性；后续应用区域由项目任务确定。</w:t>
            </w:r>
          </w:p>
        </w:tc>
      </w:tr>
      <w:tr w14:paraId="0793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1210" w:hRule="atLeast"/>
        </w:trPr>
        <w:tc>
          <w:tcPr>
            <w:tcW w:w="720" w:type="dxa"/>
            <w:vMerge w:val="restart"/>
            <w:shd w:val="clear" w:color="auto" w:fill="auto"/>
            <w:textDirection w:val="tbRlV"/>
            <w:vAlign w:val="center"/>
          </w:tcPr>
          <w:p w14:paraId="54E583D2">
            <w:pPr>
              <w:snapToGrid w:val="0"/>
              <w:spacing w:before="60" w:line="264" w:lineRule="auto"/>
              <w:ind w:left="113" w:right="28"/>
              <w:jc w:val="center"/>
              <w:rPr>
                <w:rFonts w:ascii="仿宋" w:hAnsi="仿宋" w:eastAsia="仿宋" w:cs="Times New Roman"/>
                <w:color w:val="000000"/>
                <w:sz w:val="24"/>
              </w:rPr>
            </w:pPr>
            <w:r>
              <w:rPr>
                <w:rFonts w:hint="eastAsia" w:ascii="仿宋" w:hAnsi="仿宋" w:eastAsia="仿宋" w:cs="Times New Roman"/>
                <w:color w:val="000000"/>
                <w:sz w:val="24"/>
              </w:rPr>
              <w:t>项目预期成果与效益</w:t>
            </w:r>
          </w:p>
        </w:tc>
        <w:tc>
          <w:tcPr>
            <w:tcW w:w="7860" w:type="dxa"/>
            <w:gridSpan w:val="6"/>
          </w:tcPr>
          <w:p>
            <w:pPr>
              <w:spacing w:after="80" w:line="300" w:lineRule="auto"/>
              <w:ind w:firstLine="0"/>
              <w:jc w:val="left"/>
            </w:pPr>
            <w:r>
              <w:rPr>
                <w:rFonts w:ascii="Times New Roman" w:hAnsi="Times New Roman" w:eastAsia="宋体"/>
                <w:b w:val="0"/>
                <w:sz w:val="21"/>
              </w:rPr>
              <w:t>主要科技成果及形式：通用技术方案、数据与质量台账、月度生态状态产品、服务价值试点成果、专题图集、核算与查询工具。</w:t>
            </w:r>
          </w:p>
        </w:tc>
      </w:tr>
      <w:tr w14:paraId="6A6D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904" w:hRule="atLeast"/>
        </w:trPr>
        <w:tc>
          <w:tcPr>
            <w:tcW w:w="720" w:type="dxa"/>
            <w:vMerge w:val="continue"/>
            <w:shd w:val="clear" w:color="auto" w:fill="auto"/>
            <w:textDirection w:val="tbRlV"/>
            <w:vAlign w:val="center"/>
          </w:tcPr>
          <w:p w14:paraId="2D1552BE">
            <w:pPr>
              <w:snapToGrid w:val="0"/>
              <w:spacing w:before="60" w:line="264" w:lineRule="auto"/>
              <w:ind w:left="113" w:right="28"/>
              <w:jc w:val="center"/>
              <w:rPr>
                <w:rFonts w:ascii="仿宋" w:hAnsi="仿宋" w:eastAsia="仿宋" w:cs="Times New Roman"/>
                <w:color w:val="000000"/>
                <w:sz w:val="24"/>
              </w:rPr>
            </w:pPr>
          </w:p>
        </w:tc>
        <w:tc>
          <w:tcPr>
            <w:tcW w:w="7860" w:type="dxa"/>
            <w:gridSpan w:val="6"/>
          </w:tcPr>
          <w:p>
            <w:pPr>
              <w:spacing w:after="80" w:line="300" w:lineRule="auto"/>
              <w:ind w:firstLine="0"/>
              <w:jc w:val="left"/>
            </w:pPr>
            <w:r>
              <w:rPr>
                <w:rFonts w:ascii="Times New Roman" w:hAnsi="Times New Roman" w:eastAsia="宋体"/>
                <w:b w:val="0"/>
                <w:sz w:val="21"/>
              </w:rPr>
              <w:t>重点技术突破及产品：多源月度地理嵌入、少样本专题制图、过程单元核算、质量控制和可复算成果交付。</w:t>
            </w:r>
          </w:p>
        </w:tc>
      </w:tr>
      <w:tr w14:paraId="4A40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00" w:hRule="atLeast"/>
        </w:trPr>
        <w:tc>
          <w:tcPr>
            <w:tcW w:w="720" w:type="dxa"/>
            <w:vMerge w:val="continue"/>
            <w:shd w:val="clear" w:color="auto" w:fill="auto"/>
            <w:textDirection w:val="tbRlV"/>
            <w:vAlign w:val="center"/>
          </w:tcPr>
          <w:p w14:paraId="3BA2D224">
            <w:pPr>
              <w:snapToGrid w:val="0"/>
              <w:spacing w:before="60" w:line="264" w:lineRule="auto"/>
              <w:ind w:left="113" w:right="28"/>
              <w:jc w:val="center"/>
              <w:rPr>
                <w:rFonts w:ascii="仿宋" w:hAnsi="仿宋" w:eastAsia="仿宋" w:cs="Times New Roman"/>
                <w:color w:val="000000"/>
                <w:sz w:val="24"/>
              </w:rPr>
            </w:pPr>
          </w:p>
        </w:tc>
        <w:tc>
          <w:tcPr>
            <w:tcW w:w="7860" w:type="dxa"/>
            <w:gridSpan w:val="6"/>
          </w:tcPr>
          <w:p>
            <w:pPr>
              <w:spacing w:after="80" w:line="300" w:lineRule="auto"/>
              <w:ind w:firstLine="0"/>
              <w:jc w:val="left"/>
            </w:pPr>
            <w:r>
              <w:rPr>
                <w:rFonts w:ascii="Times New Roman" w:hAnsi="Times New Roman" w:eastAsia="宋体"/>
                <w:b w:val="0"/>
                <w:sz w:val="21"/>
              </w:rPr>
              <w:t>效益预期：提高多源数据整理、生态状态更新、核算底图制作、成果复核与年度更新效率，为不同区域生态系统服务价值核算提供可复用技术支撑。</w:t>
            </w:r>
          </w:p>
        </w:tc>
      </w:tr>
      <w:tr w14:paraId="2363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13" w:hRule="atLeast"/>
        </w:trPr>
        <w:tc>
          <w:tcPr>
            <w:tcW w:w="1620" w:type="dxa"/>
            <w:gridSpan w:val="2"/>
            <w:vAlign w:val="center"/>
          </w:tcPr>
          <w:p w14:paraId="05D1D1E3">
            <w:pPr>
              <w:spacing w:before="60" w:line="360" w:lineRule="auto"/>
              <w:ind w:right="28"/>
              <w:jc w:val="center"/>
              <w:rPr>
                <w:rFonts w:ascii="仿宋" w:hAnsi="仿宋" w:eastAsia="仿宋" w:cs="Times New Roman"/>
                <w:color w:val="000000"/>
                <w:spacing w:val="-20"/>
                <w:sz w:val="24"/>
              </w:rPr>
            </w:pPr>
            <w:r>
              <w:rPr>
                <w:rFonts w:hint="eastAsia" w:ascii="仿宋" w:hAnsi="仿宋" w:eastAsia="仿宋" w:cs="Times New Roman"/>
                <w:color w:val="000000"/>
                <w:spacing w:val="-20"/>
                <w:sz w:val="24"/>
              </w:rPr>
              <w:t>申报项目经费</w:t>
            </w:r>
          </w:p>
        </w:tc>
        <w:tc>
          <w:tcPr>
            <w:tcW w:w="6960" w:type="dxa"/>
            <w:gridSpan w:val="5"/>
            <w:vAlign w:val="center"/>
          </w:tcPr>
          <w:p>
            <w:pPr>
              <w:spacing w:after="80" w:line="300" w:lineRule="auto"/>
              <w:ind w:firstLine="0"/>
              <w:jc w:val="center"/>
            </w:pPr>
            <w:r>
              <w:rPr>
                <w:rFonts w:ascii="Times New Roman" w:hAnsi="Times New Roman" w:eastAsia="宋体"/>
                <w:b w:val="0"/>
                <w:sz w:val="21"/>
              </w:rPr>
              <w:t>由申报单位核定</w:t>
            </w:r>
          </w:p>
        </w:tc>
      </w:tr>
      <w:tr w14:paraId="3271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restart"/>
            <w:shd w:val="clear" w:color="auto" w:fill="auto"/>
            <w:vAlign w:val="center"/>
          </w:tcPr>
          <w:p w14:paraId="286023BF">
            <w:pPr>
              <w:snapToGrid w:val="0"/>
              <w:spacing w:before="60" w:line="264" w:lineRule="auto"/>
              <w:ind w:right="28"/>
              <w:jc w:val="center"/>
              <w:rPr>
                <w:rFonts w:ascii="仿宋" w:hAnsi="仿宋" w:eastAsia="仿宋" w:cs="Times New Roman"/>
                <w:color w:val="000000"/>
                <w:spacing w:val="-10"/>
                <w:sz w:val="24"/>
              </w:rPr>
            </w:pPr>
            <w:r>
              <w:rPr>
                <w:rFonts w:hint="eastAsia" w:ascii="仿宋" w:hAnsi="仿宋" w:eastAsia="仿宋" w:cs="Times New Roman"/>
                <w:color w:val="000000"/>
                <w:spacing w:val="-10"/>
                <w:sz w:val="24"/>
              </w:rPr>
              <w:t>项目申报负责人</w:t>
            </w:r>
          </w:p>
        </w:tc>
        <w:tc>
          <w:tcPr>
            <w:tcW w:w="1800" w:type="dxa"/>
            <w:gridSpan w:val="2"/>
            <w:vAlign w:val="center"/>
          </w:tcPr>
          <w:p w14:paraId="1770D90C">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姓名</w:t>
            </w:r>
          </w:p>
        </w:tc>
        <w:tc>
          <w:tcPr>
            <w:tcW w:w="1957" w:type="dxa"/>
            <w:vAlign w:val="center"/>
          </w:tcPr>
          <w:p w14:paraId="6386F51E">
            <w:pPr>
              <w:snapToGrid w:val="0"/>
              <w:spacing w:before="60" w:line="264" w:lineRule="auto"/>
              <w:ind w:right="28"/>
              <w:jc w:val="center"/>
              <w:rPr>
                <w:rFonts w:ascii="仿宋" w:hAnsi="仿宋" w:eastAsia="仿宋" w:cs="Times New Roman"/>
                <w:color w:val="000000"/>
                <w:sz w:val="24"/>
              </w:rPr>
            </w:pPr>
          </w:p>
        </w:tc>
        <w:tc>
          <w:tcPr>
            <w:tcW w:w="1144" w:type="dxa"/>
            <w:vAlign w:val="center"/>
          </w:tcPr>
          <w:p w14:paraId="36BB04AC">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出生年月</w:t>
            </w:r>
          </w:p>
        </w:tc>
        <w:tc>
          <w:tcPr>
            <w:tcW w:w="2059" w:type="dxa"/>
            <w:vAlign w:val="center"/>
          </w:tcPr>
          <w:p w14:paraId="5C7E6E24">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年 月</w:t>
            </w:r>
          </w:p>
        </w:tc>
      </w:tr>
      <w:tr w14:paraId="46FF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continue"/>
            <w:shd w:val="clear" w:color="auto" w:fill="auto"/>
            <w:vAlign w:val="center"/>
          </w:tcPr>
          <w:p w14:paraId="04A98E2F">
            <w:pPr>
              <w:snapToGrid w:val="0"/>
              <w:spacing w:before="60" w:line="264" w:lineRule="auto"/>
              <w:ind w:right="28"/>
              <w:jc w:val="center"/>
              <w:rPr>
                <w:rFonts w:ascii="仿宋" w:hAnsi="仿宋" w:eastAsia="仿宋" w:cs="Times New Roman"/>
                <w:color w:val="000000"/>
                <w:spacing w:val="-10"/>
                <w:sz w:val="24"/>
              </w:rPr>
            </w:pPr>
          </w:p>
        </w:tc>
        <w:tc>
          <w:tcPr>
            <w:tcW w:w="1800" w:type="dxa"/>
            <w:gridSpan w:val="2"/>
            <w:vAlign w:val="center"/>
          </w:tcPr>
          <w:p w14:paraId="64CF7BF1">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学 位</w:t>
            </w:r>
          </w:p>
        </w:tc>
        <w:tc>
          <w:tcPr>
            <w:tcW w:w="5160" w:type="dxa"/>
            <w:gridSpan w:val="3"/>
            <w:vAlign w:val="center"/>
          </w:tcPr>
          <w:p w14:paraId="28EE5661">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□博士  □硕士 □学士 □其他</w:t>
            </w:r>
          </w:p>
        </w:tc>
      </w:tr>
      <w:tr w14:paraId="7D9B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continue"/>
            <w:shd w:val="clear" w:color="auto" w:fill="auto"/>
            <w:vAlign w:val="center"/>
          </w:tcPr>
          <w:p w14:paraId="5BEB880A">
            <w:pPr>
              <w:snapToGrid w:val="0"/>
              <w:spacing w:before="60" w:line="264" w:lineRule="auto"/>
              <w:ind w:right="28"/>
              <w:jc w:val="center"/>
              <w:rPr>
                <w:rFonts w:ascii="仿宋" w:hAnsi="仿宋" w:eastAsia="仿宋" w:cs="Times New Roman"/>
                <w:color w:val="000000"/>
                <w:spacing w:val="-10"/>
                <w:sz w:val="24"/>
              </w:rPr>
            </w:pPr>
          </w:p>
        </w:tc>
        <w:tc>
          <w:tcPr>
            <w:tcW w:w="1800" w:type="dxa"/>
            <w:gridSpan w:val="2"/>
            <w:vAlign w:val="center"/>
          </w:tcPr>
          <w:p w14:paraId="363168B4">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职 称</w:t>
            </w:r>
          </w:p>
        </w:tc>
        <w:tc>
          <w:tcPr>
            <w:tcW w:w="5160" w:type="dxa"/>
            <w:gridSpan w:val="3"/>
            <w:vAlign w:val="center"/>
          </w:tcPr>
          <w:p w14:paraId="3F84D0EA">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□正高  □副高  □中级 □初级 □其他</w:t>
            </w:r>
          </w:p>
        </w:tc>
      </w:tr>
      <w:tr w14:paraId="56EB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continue"/>
            <w:shd w:val="clear" w:color="auto" w:fill="auto"/>
            <w:vAlign w:val="center"/>
          </w:tcPr>
          <w:p w14:paraId="018B10AB">
            <w:pPr>
              <w:snapToGrid w:val="0"/>
              <w:spacing w:before="60" w:line="264" w:lineRule="auto"/>
              <w:ind w:right="28"/>
              <w:jc w:val="center"/>
              <w:rPr>
                <w:rFonts w:ascii="仿宋" w:hAnsi="仿宋" w:eastAsia="仿宋" w:cs="Times New Roman"/>
                <w:color w:val="000000"/>
                <w:spacing w:val="-10"/>
                <w:sz w:val="24"/>
              </w:rPr>
            </w:pPr>
          </w:p>
        </w:tc>
        <w:tc>
          <w:tcPr>
            <w:tcW w:w="1800" w:type="dxa"/>
            <w:gridSpan w:val="2"/>
            <w:vAlign w:val="center"/>
          </w:tcPr>
          <w:p w14:paraId="4685C9CF">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电话（座机）</w:t>
            </w:r>
          </w:p>
        </w:tc>
        <w:tc>
          <w:tcPr>
            <w:tcW w:w="1957" w:type="dxa"/>
            <w:vAlign w:val="center"/>
          </w:tcPr>
          <w:p w14:paraId="018713C7">
            <w:pPr>
              <w:snapToGrid w:val="0"/>
              <w:spacing w:before="60" w:line="264" w:lineRule="auto"/>
              <w:ind w:right="28"/>
              <w:jc w:val="center"/>
              <w:rPr>
                <w:rFonts w:ascii="仿宋" w:hAnsi="仿宋" w:eastAsia="仿宋" w:cs="Times New Roman"/>
                <w:color w:val="000000"/>
                <w:sz w:val="24"/>
              </w:rPr>
            </w:pPr>
          </w:p>
        </w:tc>
        <w:tc>
          <w:tcPr>
            <w:tcW w:w="1144" w:type="dxa"/>
            <w:vAlign w:val="center"/>
          </w:tcPr>
          <w:p w14:paraId="57942903">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手机</w:t>
            </w:r>
          </w:p>
        </w:tc>
        <w:tc>
          <w:tcPr>
            <w:tcW w:w="2059" w:type="dxa"/>
            <w:vAlign w:val="center"/>
          </w:tcPr>
          <w:p w14:paraId="5A83FE1E">
            <w:pPr>
              <w:snapToGrid w:val="0"/>
              <w:spacing w:before="60" w:line="264" w:lineRule="auto"/>
              <w:ind w:right="28"/>
              <w:jc w:val="center"/>
              <w:rPr>
                <w:rFonts w:ascii="仿宋" w:hAnsi="仿宋" w:eastAsia="仿宋" w:cs="Times New Roman"/>
                <w:color w:val="000000"/>
                <w:sz w:val="24"/>
              </w:rPr>
            </w:pPr>
          </w:p>
        </w:tc>
      </w:tr>
      <w:tr w14:paraId="2687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630" w:hRule="atLeast"/>
        </w:trPr>
        <w:tc>
          <w:tcPr>
            <w:tcW w:w="1620" w:type="dxa"/>
            <w:gridSpan w:val="2"/>
            <w:vMerge w:val="continue"/>
            <w:shd w:val="clear" w:color="auto" w:fill="auto"/>
            <w:vAlign w:val="center"/>
          </w:tcPr>
          <w:p w14:paraId="6F6E2644">
            <w:pPr>
              <w:snapToGrid w:val="0"/>
              <w:spacing w:before="60" w:line="264" w:lineRule="auto"/>
              <w:ind w:right="28"/>
              <w:jc w:val="center"/>
              <w:rPr>
                <w:rFonts w:ascii="仿宋" w:hAnsi="仿宋" w:eastAsia="仿宋" w:cs="Times New Roman"/>
                <w:color w:val="000000"/>
                <w:sz w:val="24"/>
              </w:rPr>
            </w:pPr>
          </w:p>
        </w:tc>
        <w:tc>
          <w:tcPr>
            <w:tcW w:w="1800" w:type="dxa"/>
            <w:gridSpan w:val="2"/>
            <w:vAlign w:val="center"/>
          </w:tcPr>
          <w:p w14:paraId="542504C3">
            <w:pPr>
              <w:snapToGrid w:val="0"/>
              <w:spacing w:before="60" w:line="264" w:lineRule="auto"/>
              <w:ind w:right="28"/>
              <w:jc w:val="center"/>
              <w:rPr>
                <w:rFonts w:ascii="仿宋" w:hAnsi="仿宋" w:eastAsia="仿宋" w:cs="Times New Roman"/>
                <w:color w:val="000000"/>
                <w:sz w:val="24"/>
              </w:rPr>
            </w:pPr>
            <w:r>
              <w:rPr>
                <w:rFonts w:hint="eastAsia" w:ascii="仿宋" w:hAnsi="仿宋" w:eastAsia="仿宋" w:cs="Times New Roman"/>
                <w:color w:val="000000"/>
                <w:sz w:val="24"/>
              </w:rPr>
              <w:t>E-mail</w:t>
            </w:r>
          </w:p>
        </w:tc>
        <w:tc>
          <w:tcPr>
            <w:tcW w:w="1957" w:type="dxa"/>
            <w:vAlign w:val="center"/>
          </w:tcPr>
          <w:p w14:paraId="2CC9ED1D">
            <w:pPr>
              <w:snapToGrid w:val="0"/>
              <w:spacing w:before="60" w:line="264" w:lineRule="auto"/>
              <w:ind w:right="28"/>
              <w:jc w:val="center"/>
              <w:rPr>
                <w:rFonts w:ascii="仿宋" w:hAnsi="仿宋" w:eastAsia="仿宋" w:cs="Times New Roman"/>
                <w:color w:val="000000"/>
                <w:sz w:val="24"/>
              </w:rPr>
            </w:pPr>
          </w:p>
        </w:tc>
        <w:tc>
          <w:tcPr>
            <w:tcW w:w="1144" w:type="dxa"/>
            <w:vAlign w:val="center"/>
          </w:tcPr>
          <w:p w14:paraId="26465B8A">
            <w:pPr>
              <w:snapToGrid w:val="0"/>
              <w:spacing w:before="60" w:line="264" w:lineRule="auto"/>
              <w:ind w:right="28"/>
              <w:jc w:val="center"/>
              <w:rPr>
                <w:rFonts w:ascii="仿宋" w:hAnsi="仿宋" w:eastAsia="仿宋" w:cs="Times New Roman"/>
                <w:color w:val="000000"/>
                <w:sz w:val="24"/>
              </w:rPr>
            </w:pPr>
          </w:p>
        </w:tc>
        <w:tc>
          <w:tcPr>
            <w:tcW w:w="2059" w:type="dxa"/>
            <w:vAlign w:val="center"/>
          </w:tcPr>
          <w:p w14:paraId="212A33CF">
            <w:pPr>
              <w:snapToGrid w:val="0"/>
              <w:spacing w:before="60" w:line="264" w:lineRule="auto"/>
              <w:ind w:right="28"/>
              <w:jc w:val="center"/>
              <w:rPr>
                <w:rFonts w:ascii="仿宋" w:hAnsi="仿宋" w:eastAsia="仿宋" w:cs="Times New Roman"/>
                <w:color w:val="000000"/>
                <w:sz w:val="24"/>
              </w:rPr>
            </w:pPr>
          </w:p>
        </w:tc>
      </w:tr>
    </w:tbl>
    <w:p w14:paraId="1B9A5EAC">
      <w:pPr>
        <w:tabs>
          <w:tab w:val="left" w:pos="5115"/>
        </w:tabs>
        <w:spacing w:line="360" w:lineRule="auto"/>
        <w:ind w:right="567"/>
        <w:outlineLvl w:val="0"/>
        <w:rPr>
          <w:rFonts w:ascii="Calibri" w:hAnsi="Calibri" w:eastAsia="黑体" w:cs="Times New Roman"/>
          <w:sz w:val="32"/>
        </w:rPr>
      </w:pPr>
      <w:r>
        <w:rPr>
          <w:rFonts w:ascii="仿宋_GB2312" w:hAnsi="Calibri" w:eastAsia="仿宋_GB2312" w:cs="Times New Roman"/>
          <w:color w:val="000000"/>
          <w:sz w:val="28"/>
        </w:rPr>
        <w:br w:type="page"/>
      </w:r>
      <w:r>
        <w:rPr>
          <w:rFonts w:hint="eastAsia" w:ascii="Calibri" w:hAnsi="Calibri" w:eastAsia="黑体" w:cs="Times New Roman"/>
          <w:sz w:val="32"/>
        </w:rPr>
        <w:t>一</w:t>
      </w:r>
      <w:r>
        <w:rPr>
          <w:rFonts w:ascii="Calibri" w:hAnsi="Calibri" w:eastAsia="黑体" w:cs="Times New Roman"/>
          <w:sz w:val="32"/>
        </w:rPr>
        <w:t>、</w:t>
      </w:r>
      <w:r>
        <w:rPr>
          <w:rFonts w:hint="eastAsia" w:ascii="Calibri" w:hAnsi="Calibri" w:eastAsia="黑体" w:cs="Times New Roman"/>
          <w:sz w:val="32"/>
        </w:rPr>
        <w:t>目标与研究任务</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2710F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2" w:hRule="atLeast"/>
        </w:trPr>
        <w:tc>
          <w:tcPr>
            <w:tcW w:w="9061" w:type="dxa"/>
          </w:tcPr>
          <w:p>
            <w:pPr>
              <w:spacing w:after="80" w:line="300" w:lineRule="auto"/>
              <w:ind w:firstLine="0"/>
              <w:jc w:val="left"/>
            </w:pPr>
            <w:r>
              <w:rPr>
                <w:rFonts w:ascii="Times New Roman" w:hAnsi="Times New Roman" w:eastAsia="宋体"/>
                <w:b/>
                <w:sz w:val="24"/>
              </w:rPr>
              <w:t>项目研究的目的、必要性和可行性</w:t>
            </w:r>
          </w:p>
          <w:p>
            <w:pPr>
              <w:spacing w:after="80" w:line="300" w:lineRule="auto"/>
              <w:ind w:firstLine="420"/>
              <w:jc w:val="left"/>
            </w:pPr>
            <w:r>
              <w:rPr>
                <w:rFonts w:ascii="Times New Roman" w:hAnsi="Times New Roman" w:eastAsia="宋体"/>
                <w:b w:val="0"/>
                <w:sz w:val="21"/>
              </w:rPr>
              <w:t>生态系统生产总值核算需要统筹生态系统类型、遥感监测、生态过程、统计资料和价值参数。现有工作中，多源数据的时间、空间和质量信息不统一，生态状态制图与服务实物量核算之间衔接不足，难以支撑细尺度、可追溯的区域生态服务评估。本项目面向项目确定的试点区，建立“遥感状态表征—专题过程模型—标准价值核算—成果复核”的通用技术路径。</w:t>
            </w:r>
          </w:p>
          <w:p>
            <w:pPr>
              <w:spacing w:after="80" w:line="300" w:lineRule="auto"/>
              <w:ind w:firstLine="420"/>
              <w:jc w:val="left"/>
            </w:pPr>
            <w:r>
              <w:rPr>
                <w:rFonts w:ascii="Times New Roman" w:hAnsi="Times New Roman" w:eastAsia="宋体"/>
                <w:b w:val="0"/>
                <w:sz w:val="21"/>
              </w:rPr>
              <w:t>项目以GB/T 46869—2025为依据，首期聚焦固定二氧化碳、洪水调蓄和局部气候调节三类服务。玄女月度嵌入用于生态系统面积、覆盖比例和空间分配，不替代生物量、蒸散发、径流和近地气温等过程观测。项目已有海淀区多源月度嵌入验证基础，可作为数据对齐、嵌入生成和少量标注专题制图的技术参考；新区域仍需完成数据质量检查、类别适配、过程参数配置和独立验证。</w:t>
            </w:r>
          </w:p>
          <w:p>
            <w:pPr>
              <w:spacing w:after="80" w:line="300" w:lineRule="auto"/>
              <w:ind w:firstLine="0"/>
              <w:jc w:val="left"/>
            </w:pPr>
            <w:r>
              <w:rPr>
                <w:rFonts w:ascii="Times New Roman" w:hAnsi="Times New Roman" w:eastAsia="宋体"/>
                <w:b/>
                <w:sz w:val="24"/>
              </w:rPr>
              <w:t>项目目标及内容</w:t>
            </w:r>
          </w:p>
          <w:p>
            <w:pPr>
              <w:spacing w:after="80" w:line="300" w:lineRule="auto"/>
              <w:ind w:firstLine="0"/>
              <w:jc w:val="left"/>
            </w:pPr>
            <w:r>
              <w:rPr>
                <w:rFonts w:ascii="Times New Roman" w:hAnsi="Times New Roman" w:eastAsia="宋体"/>
                <w:b/>
                <w:sz w:val="24"/>
              </w:rPr>
              <w:t>1. 项目目标</w:t>
            </w:r>
          </w:p>
          <w:p>
            <w:pPr>
              <w:spacing w:after="80" w:line="300" w:lineRule="auto"/>
              <w:ind w:firstLine="420"/>
              <w:jc w:val="left"/>
            </w:pPr>
            <w:r>
              <w:rPr>
                <w:rFonts w:ascii="Times New Roman" w:hAnsi="Times New Roman" w:eastAsia="宋体"/>
                <w:b w:val="0"/>
                <w:sz w:val="21"/>
              </w:rPr>
              <w:t>总目标：建成面向区域生态系统生产总值核算的月度地理嵌入、专题制图、过程核算和成果复核方法体系，实现从多源数据整理到服务价值试点成果的可追溯技术流程。</w:t>
            </w:r>
          </w:p>
          <w:p>
            <w:pPr>
              <w:spacing w:after="80" w:line="300" w:lineRule="auto"/>
              <w:ind w:firstLine="420"/>
              <w:jc w:val="left"/>
            </w:pPr>
            <w:r>
              <w:rPr>
                <w:rFonts w:ascii="Times New Roman" w:hAnsi="Times New Roman" w:eastAsia="宋体"/>
                <w:b w:val="0"/>
                <w:sz w:val="21"/>
              </w:rPr>
              <w:t>具体可考核目标：建立目标区域数据与质量台账，完成一个核算年度12期月度生态状态基础产品；完成固定二氧化碳、洪水调蓄和局部气候调节三类服务的实物量与价值量试点；形成可复算的参数、版本和结果记录，以及面向专题制图、统计汇总和结果查询的工具原型。三类服务试点合计不作为完整GEP总值发布。</w:t>
            </w:r>
          </w:p>
          <w:p>
            <w:pPr>
              <w:spacing w:after="80" w:line="300" w:lineRule="auto"/>
              <w:ind w:firstLine="0"/>
              <w:jc w:val="left"/>
            </w:pPr>
            <w:r>
              <w:rPr>
                <w:rFonts w:ascii="Times New Roman" w:hAnsi="Times New Roman" w:eastAsia="宋体"/>
                <w:b/>
                <w:sz w:val="24"/>
              </w:rPr>
              <w:t>2. 研究内容</w:t>
            </w:r>
          </w:p>
          <w:p>
            <w:pPr>
              <w:spacing w:after="80" w:line="300" w:lineRule="auto"/>
              <w:ind w:firstLine="420"/>
              <w:jc w:val="left"/>
            </w:pPr>
            <w:r>
              <w:rPr>
                <w:rFonts w:ascii="Times New Roman" w:hAnsi="Times New Roman" w:eastAsia="宋体"/>
                <w:b w:val="0"/>
                <w:sz w:val="21"/>
              </w:rPr>
              <w:t>内容一：多源遥感数据对齐与GEP样本库构建。形成观测数据、生态状态数据、服务实物量数据和价值参数数据四类台账，纳入遥感影像、生态系统类型、地形、气象、土壤、水文、监测、统计和价格参数；建立空间参考、时间范围、质量标识和版本管理规则。</w:t>
            </w:r>
          </w:p>
          <w:p>
            <w:pPr>
              <w:spacing w:after="80" w:line="300" w:lineRule="auto"/>
              <w:ind w:firstLine="420"/>
              <w:jc w:val="left"/>
            </w:pPr>
            <w:r>
              <w:rPr>
                <w:rFonts w:ascii="Times New Roman" w:hAnsi="Times New Roman" w:eastAsia="宋体"/>
                <w:b w:val="0"/>
                <w:sz w:val="21"/>
              </w:rPr>
              <w:t>内容二：玄女月度地理嵌入与生态状态产品构建。以多源光学、雷达和辅助数据为输入，形成月度地表状态嵌入、生态系统分类、覆盖比例等基础产品。名义10米等效分析网格仅用于面积、覆盖比例和空间分配；固碳、洪水调蓄和局部气候调节分别在生态斑块或清查单元、子汇水区、绿地斑块及影响范围等过程单元开展计算。</w:t>
            </w:r>
          </w:p>
          <w:p>
            <w:pPr>
              <w:spacing w:after="80" w:line="300" w:lineRule="auto"/>
              <w:ind w:firstLine="420"/>
              <w:jc w:val="left"/>
            </w:pPr>
            <w:r>
              <w:rPr>
                <w:rFonts w:ascii="Times New Roman" w:hAnsi="Times New Roman" w:eastAsia="宋体"/>
                <w:b w:val="0"/>
                <w:sz w:val="21"/>
              </w:rPr>
              <w:t>内容三：GEP调节服务专题模型与动态核算。固定二氧化碳服务按照GB/T 46869—2025附录A.7，根据资料条件采用生物量法、固碳速率法或净生态系统生产力法；洪水调蓄服务按照附录A.6完成标准核算，城市生态覆盖增量雨洪效益作为补充分析并与标准结果分表；局部气候调节按照附录A.11完成蒸散发能量或实测温差核算。三项服务均结合独立资料开展验证。</w:t>
            </w:r>
          </w:p>
          <w:p>
            <w:pPr>
              <w:spacing w:after="80" w:line="300" w:lineRule="auto"/>
              <w:ind w:firstLine="420"/>
              <w:jc w:val="left"/>
            </w:pPr>
            <w:r>
              <w:rPr>
                <w:rFonts w:ascii="Times New Roman" w:hAnsi="Times New Roman" w:eastAsia="宋体"/>
                <w:b w:val="0"/>
                <w:sz w:val="21"/>
              </w:rPr>
              <w:t>内容四：面向核算辅助的查询、复核与报告工具。将数据来源、处理方法、模型版本、参数版本、空间范围、结果和不确定性纳入统一台账，形成受约束的专题查询、统计汇总、结果复算和报告生成流程。</w:t>
            </w:r>
          </w:p>
          <w:p>
            <w:pPr>
              <w:spacing w:after="80" w:line="300" w:lineRule="auto"/>
              <w:ind w:firstLine="0"/>
              <w:jc w:val="left"/>
            </w:pPr>
            <w:r>
              <w:rPr>
                <w:rFonts w:ascii="Times New Roman" w:hAnsi="Times New Roman" w:eastAsia="宋体"/>
                <w:b/>
                <w:sz w:val="24"/>
              </w:rPr>
              <w:t>创新点</w:t>
            </w:r>
          </w:p>
          <w:p>
            <w:pPr>
              <w:spacing w:after="80" w:line="300" w:lineRule="auto"/>
              <w:ind w:firstLine="420"/>
              <w:jc w:val="left"/>
            </w:pPr>
            <w:r>
              <w:rPr>
                <w:rFonts w:ascii="Times New Roman" w:hAnsi="Times New Roman" w:eastAsia="宋体"/>
                <w:b w:val="0"/>
                <w:sz w:val="21"/>
              </w:rPr>
              <w:t>范式创新：建立月度地理嵌入与生态服务核算衔接方法，以统一地表状态表征支撑生态系统类型、面积和覆盖比例空间化，同时保持生态过程模型和标准核算口径的独立性。</w:t>
            </w:r>
          </w:p>
          <w:p>
            <w:pPr>
              <w:spacing w:after="80" w:line="300" w:lineRule="auto"/>
              <w:ind w:firstLine="420"/>
              <w:jc w:val="left"/>
            </w:pPr>
            <w:r>
              <w:rPr>
                <w:rFonts w:ascii="Times New Roman" w:hAnsi="Times New Roman" w:eastAsia="宋体"/>
                <w:b w:val="0"/>
                <w:sz w:val="21"/>
              </w:rPr>
              <w:t>机制创新：建立基础模型与专题过程模型协同方法，将月度遥感表征、生态辅助数据和服务专题模型结合，在同一验证集上比较原始影像、嵌入产品与传统过程模型的作用，为多服务复用提供依据。</w:t>
            </w:r>
          </w:p>
          <w:p>
            <w:pPr>
              <w:spacing w:after="80" w:line="300" w:lineRule="auto"/>
              <w:ind w:firstLine="420"/>
              <w:jc w:val="left"/>
            </w:pPr>
            <w:r>
              <w:rPr>
                <w:rFonts w:ascii="Times New Roman" w:hAnsi="Times New Roman" w:eastAsia="宋体"/>
                <w:b w:val="0"/>
                <w:sz w:val="21"/>
              </w:rPr>
              <w:t>应用创新：建立数据、模型、参数和结果可追溯的核算辅助机制，支持质量控制、结果复算、专题图生成和报告编制，降低多源资料重复整理与人工核对成本。</w:t>
            </w:r>
          </w:p>
          <w:p>
            <w:pPr>
              <w:spacing w:after="80" w:line="300" w:lineRule="auto"/>
              <w:ind w:firstLine="0"/>
              <w:jc w:val="left"/>
            </w:pPr>
            <w:r>
              <w:rPr>
                <w:rFonts w:ascii="Times New Roman" w:hAnsi="Times New Roman" w:eastAsia="宋体"/>
                <w:b/>
                <w:sz w:val="24"/>
              </w:rPr>
              <w:t>关键技术及技术路线图</w:t>
            </w:r>
          </w:p>
          <w:p>
            <w:pPr>
              <w:spacing w:after="80" w:line="300" w:lineRule="auto"/>
              <w:ind w:firstLine="0"/>
              <w:jc w:val="left"/>
            </w:pPr>
            <w:r>
              <w:rPr>
                <w:rFonts w:ascii="Times New Roman" w:hAnsi="Times New Roman" w:eastAsia="宋体"/>
                <w:b/>
                <w:sz w:val="24"/>
              </w:rPr>
              <w:t>关键技术</w:t>
            </w:r>
          </w:p>
          <w:p>
            <w:pPr>
              <w:spacing w:after="80" w:line="300" w:lineRule="auto"/>
              <w:ind w:firstLine="420"/>
              <w:jc w:val="left"/>
            </w:pPr>
            <w:r>
              <w:rPr>
                <w:rFonts w:ascii="Times New Roman" w:hAnsi="Times New Roman" w:eastAsia="宋体"/>
                <w:b w:val="0"/>
                <w:sz w:val="21"/>
              </w:rPr>
              <w:t>关键技术一：多源遥感数据时空对齐与质量管理。统一空间参考、时间基准、质量标识和数据版本，形成可用于生态服务核算的月度基础数据产品。</w:t>
            </w:r>
          </w:p>
          <w:p>
            <w:pPr>
              <w:spacing w:after="80" w:line="300" w:lineRule="auto"/>
              <w:ind w:firstLine="420"/>
              <w:jc w:val="left"/>
            </w:pPr>
            <w:r>
              <w:rPr>
                <w:rFonts w:ascii="Times New Roman" w:hAnsi="Times New Roman" w:eastAsia="宋体"/>
                <w:b w:val="0"/>
                <w:sz w:val="21"/>
              </w:rPr>
              <w:t>关键技术二：月度地理嵌入与服务专题模型协同。以嵌入产品为空间状态证据，结合服务专题模型完成生态斑块、子汇水区和绿地影响范围等过程单元的实物量核算。</w:t>
            </w:r>
          </w:p>
          <w:p>
            <w:pPr>
              <w:spacing w:after="80" w:line="300" w:lineRule="auto"/>
              <w:ind w:firstLine="420"/>
              <w:jc w:val="left"/>
            </w:pPr>
            <w:r>
              <w:rPr>
                <w:rFonts w:ascii="Times New Roman" w:hAnsi="Times New Roman" w:eastAsia="宋体"/>
                <w:b w:val="0"/>
                <w:sz w:val="21"/>
              </w:rPr>
              <w:t>关键技术三：标准化价值量核算与可追溯工具。依据GB/T 46869—2025完成实物量、价值量、参数和结果记录，形成受约束的查询、制图和报告工具。</w:t>
            </w:r>
          </w:p>
          <w:p>
            <w:pPr>
              <w:spacing w:after="80" w:line="300" w:lineRule="auto"/>
              <w:ind w:firstLine="420"/>
              <w:jc w:val="left"/>
            </w:pPr>
            <w:r>
              <w:rPr>
                <w:rFonts w:ascii="Times New Roman" w:hAnsi="Times New Roman" w:eastAsia="宋体"/>
                <w:b w:val="0"/>
                <w:sz w:val="21"/>
              </w:rPr>
              <w:t>技术路线图及已有验证示例见本申报书末“附图：技术路线与已有验证示例”。</w:t>
            </w:r>
          </w:p>
        </w:tc>
      </w:tr>
    </w:tbl>
    <w:p w14:paraId="52E03140">
      <w:pPr>
        <w:spacing w:line="280" w:lineRule="atLeast"/>
        <w:ind w:right="326"/>
        <w:rPr>
          <w:rFonts w:ascii="仿宋_GB2312" w:hAnsi="Calibri" w:eastAsia="仿宋_GB2312" w:cs="Times New Roman"/>
          <w:color w:val="000000"/>
          <w:sz w:val="24"/>
        </w:rPr>
      </w:pPr>
    </w:p>
    <w:p w14:paraId="0C6B0436">
      <w:pPr>
        <w:spacing w:after="163" w:afterLines="50" w:line="360" w:lineRule="auto"/>
        <w:ind w:right="567"/>
        <w:rPr>
          <w:rFonts w:ascii="Calibri" w:hAnsi="Calibri" w:eastAsia="黑体" w:cs="Times New Roman"/>
          <w:sz w:val="32"/>
        </w:rPr>
      </w:pPr>
      <w:r>
        <w:rPr>
          <w:rFonts w:ascii="Calibri" w:hAnsi="Calibri" w:eastAsia="黑体" w:cs="Times New Roman"/>
          <w:sz w:val="32"/>
        </w:rPr>
        <w:br w:type="page"/>
      </w:r>
      <w:r>
        <w:rPr>
          <w:rFonts w:hint="eastAsia" w:ascii="Calibri" w:hAnsi="Calibri" w:eastAsia="黑体" w:cs="Times New Roman"/>
          <w:sz w:val="32"/>
        </w:rPr>
        <w:t>二、项目成果、考核指标及成果转化分析</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32E2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4" w:hRule="atLeast"/>
        </w:trPr>
        <w:tc>
          <w:tcPr>
            <w:tcW w:w="9061" w:type="dxa"/>
          </w:tcPr>
          <w:p>
            <w:pPr>
              <w:spacing w:after="80" w:line="300" w:lineRule="auto"/>
              <w:ind w:firstLine="0"/>
              <w:jc w:val="left"/>
            </w:pPr>
            <w:r>
              <w:rPr>
                <w:rFonts w:ascii="Times New Roman" w:hAnsi="Times New Roman" w:eastAsia="宋体"/>
                <w:b/>
                <w:sz w:val="24"/>
              </w:rPr>
              <w:t>项目预期成果</w:t>
            </w:r>
          </w:p>
          <w:p>
            <w:pPr>
              <w:spacing w:after="80" w:line="300" w:lineRule="auto"/>
              <w:ind w:firstLine="0"/>
              <w:jc w:val="left"/>
            </w:pPr>
            <w:r>
              <w:rPr>
                <w:rFonts w:ascii="Times New Roman" w:hAnsi="Times New Roman" w:eastAsia="宋体"/>
                <w:b/>
                <w:sz w:val="24"/>
              </w:rPr>
              <w:t>数据类成果</w:t>
            </w:r>
          </w:p>
          <w:p>
            <w:pPr>
              <w:spacing w:after="80" w:line="300" w:lineRule="auto"/>
              <w:ind w:firstLine="420"/>
              <w:jc w:val="left"/>
            </w:pPr>
            <w:r>
              <w:rPr>
                <w:rFonts w:ascii="Times New Roman" w:hAnsi="Times New Roman" w:eastAsia="宋体"/>
                <w:b w:val="0"/>
                <w:sz w:val="21"/>
              </w:rPr>
              <w:t>区域生态系统调节服务数据台账：形成遥感观测、生态状态、服务实物量、价值参数和质量记录五类可追溯数据。月度生态状态基础产品：完成经批准核算年度12期月度嵌入、生态系统分类或覆盖比例等基础产品，并保留空间参考、时间范围、处理版本和质量标识。</w:t>
            </w:r>
          </w:p>
          <w:p>
            <w:pPr>
              <w:spacing w:after="80" w:line="300" w:lineRule="auto"/>
              <w:ind w:firstLine="0"/>
              <w:jc w:val="left"/>
            </w:pPr>
            <w:r>
              <w:rPr>
                <w:rFonts w:ascii="Times New Roman" w:hAnsi="Times New Roman" w:eastAsia="宋体"/>
                <w:b/>
                <w:sz w:val="24"/>
              </w:rPr>
              <w:t>模型与算法类成果</w:t>
            </w:r>
          </w:p>
          <w:p>
            <w:pPr>
              <w:spacing w:after="80" w:line="300" w:lineRule="auto"/>
              <w:ind w:firstLine="420"/>
              <w:jc w:val="left"/>
            </w:pPr>
            <w:r>
              <w:rPr>
                <w:rFonts w:ascii="Times New Roman" w:hAnsi="Times New Roman" w:eastAsia="宋体"/>
                <w:b w:val="0"/>
                <w:sz w:val="21"/>
              </w:rPr>
              <w:t>玄女月度地理嵌入与专题制图流程：形成可配置的多源数据预处理、质量控制、月度嵌入生成和少样本专题制图流程。调节服务专题模型与参数台账：形成固定二氧化碳、洪水调蓄、局部气候调节三类服务的过程单元、参数、核算与验证说明。</w:t>
            </w:r>
          </w:p>
          <w:p>
            <w:pPr>
              <w:spacing w:after="80" w:line="300" w:lineRule="auto"/>
              <w:ind w:firstLine="0"/>
              <w:jc w:val="left"/>
            </w:pPr>
            <w:r>
              <w:rPr>
                <w:rFonts w:ascii="Times New Roman" w:hAnsi="Times New Roman" w:eastAsia="宋体"/>
                <w:b/>
                <w:sz w:val="24"/>
              </w:rPr>
              <w:t>软件平台类成果</w:t>
            </w:r>
          </w:p>
          <w:p>
            <w:pPr>
              <w:spacing w:after="80" w:line="300" w:lineRule="auto"/>
              <w:ind w:firstLine="420"/>
              <w:jc w:val="left"/>
            </w:pPr>
            <w:r>
              <w:rPr>
                <w:rFonts w:ascii="Times New Roman" w:hAnsi="Times New Roman" w:eastAsia="宋体"/>
                <w:b w:val="0"/>
                <w:sz w:val="21"/>
              </w:rPr>
              <w:t>核算辅助工具原型：支持数据范围、时间、版本和参数查询，专题制图、统计汇总、结果复算和报告导出；所有结果返回数据来源、模型版本、参数版本、方法和不确定性说明。</w:t>
            </w:r>
          </w:p>
          <w:p>
            <w:pPr>
              <w:spacing w:after="80" w:line="300" w:lineRule="auto"/>
              <w:ind w:firstLine="0"/>
              <w:jc w:val="left"/>
            </w:pPr>
            <w:r>
              <w:rPr>
                <w:rFonts w:ascii="Times New Roman" w:hAnsi="Times New Roman" w:eastAsia="宋体"/>
                <w:b/>
                <w:sz w:val="24"/>
              </w:rPr>
              <w:t>知识产权与标准类成果</w:t>
            </w:r>
          </w:p>
          <w:p>
            <w:pPr>
              <w:spacing w:after="80" w:line="300" w:lineRule="auto"/>
              <w:ind w:firstLine="420"/>
              <w:jc w:val="left"/>
            </w:pPr>
            <w:r>
              <w:rPr>
                <w:rFonts w:ascii="Times New Roman" w:hAnsi="Times New Roman" w:eastAsia="宋体"/>
                <w:b w:val="0"/>
                <w:sz w:val="21"/>
              </w:rPr>
              <w:t>根据项目实施情况形成软件著作权、专利或论文等成果；沉淀区域GEP核算技术规程、数据字典和成果交付规范。具体数量由申报单位结合项目管理要求确定。</w:t>
            </w:r>
          </w:p>
          <w:p>
            <w:pPr>
              <w:spacing w:after="80" w:line="300" w:lineRule="auto"/>
              <w:ind w:firstLine="0"/>
              <w:jc w:val="left"/>
            </w:pPr>
            <w:r>
              <w:rPr>
                <w:rFonts w:ascii="Times New Roman" w:hAnsi="Times New Roman" w:eastAsia="宋体"/>
                <w:b/>
                <w:sz w:val="24"/>
              </w:rPr>
              <w:t>考核指标</w:t>
            </w:r>
          </w:p>
          <w:p>
            <w:pPr>
              <w:spacing w:after="80" w:line="300" w:lineRule="auto"/>
              <w:ind w:firstLine="420"/>
              <w:jc w:val="left"/>
            </w:pPr>
            <w:r>
              <w:rPr>
                <w:rFonts w:ascii="Times New Roman" w:hAnsi="Times New Roman" w:eastAsia="宋体"/>
                <w:b w:val="0"/>
                <w:sz w:val="21"/>
              </w:rPr>
              <w:t>1. 数据与基础产品：完成经批准核算年度12期月度生态状态基础产品，全部产品具有完整的数据来源、时间、空间参考、处理版本和质量标识；形成数据、模型、参数和结果关联台账。</w:t>
            </w:r>
          </w:p>
          <w:p>
            <w:pPr>
              <w:spacing w:after="80" w:line="300" w:lineRule="auto"/>
              <w:ind w:firstLine="420"/>
              <w:jc w:val="left"/>
            </w:pPr>
            <w:r>
              <w:rPr>
                <w:rFonts w:ascii="Times New Roman" w:hAnsi="Times New Roman" w:eastAsia="宋体"/>
                <w:b w:val="0"/>
                <w:sz w:val="21"/>
              </w:rPr>
              <w:t>2. 生态状态专题：生态系统分类采用空间分块独立样本评价，报告总体精度、各类别精度、面积偏差和置信区间；连续变量及水文过程按服务类型报告相应精度、偏差和不确定性。</w:t>
            </w:r>
          </w:p>
          <w:p>
            <w:pPr>
              <w:spacing w:after="80" w:line="300" w:lineRule="auto"/>
              <w:ind w:firstLine="420"/>
              <w:jc w:val="left"/>
            </w:pPr>
            <w:r>
              <w:rPr>
                <w:rFonts w:ascii="Times New Roman" w:hAnsi="Times New Roman" w:eastAsia="宋体"/>
                <w:b w:val="0"/>
                <w:sz w:val="21"/>
              </w:rPr>
              <w:t>3. 服务核算：完成固定二氧化碳、洪水调蓄和局部气候调节三类服务试点。每项服务明确实物量定义、单位、过程单元、价值参数、独立验证资料和核算范围；三类服务合计不替代完整GEP总值。</w:t>
            </w:r>
          </w:p>
          <w:p>
            <w:pPr>
              <w:spacing w:after="80" w:line="300" w:lineRule="auto"/>
              <w:ind w:firstLine="420"/>
              <w:jc w:val="left"/>
            </w:pPr>
            <w:r>
              <w:rPr>
                <w:rFonts w:ascii="Times New Roman" w:hAnsi="Times New Roman" w:eastAsia="宋体"/>
                <w:b w:val="0"/>
                <w:sz w:val="21"/>
              </w:rPr>
              <w:t>4. 可复算与工具：冻结的数据、参数和处理流程可重复复算；工具输出具备数据时间、空间范围、模型版本、参数版本、方法和不确定性字段。</w:t>
            </w:r>
          </w:p>
          <w:p>
            <w:pPr>
              <w:spacing w:after="80" w:line="300" w:lineRule="auto"/>
              <w:ind w:firstLine="0"/>
              <w:jc w:val="left"/>
            </w:pPr>
            <w:r>
              <w:rPr>
                <w:rFonts w:ascii="Times New Roman" w:hAnsi="Times New Roman" w:eastAsia="宋体"/>
                <w:b/>
                <w:sz w:val="24"/>
              </w:rPr>
              <w:t>项目成果转化分析</w:t>
            </w:r>
          </w:p>
          <w:p>
            <w:pPr>
              <w:spacing w:after="80" w:line="300" w:lineRule="auto"/>
              <w:ind w:firstLine="420"/>
              <w:jc w:val="left"/>
            </w:pPr>
            <w:r>
              <w:rPr>
                <w:rFonts w:ascii="Times New Roman" w:hAnsi="Times New Roman" w:eastAsia="宋体"/>
                <w:b w:val="0"/>
                <w:sz w:val="21"/>
              </w:rPr>
              <w:t>业务化：以数据台账、月度生态状态产品、服务核算流程和专题图集支撑目标试点区生态空间监测、生态保护成效评估、年度更新和成果审查。工程化：将数据处理、专题模型、参数管理、质量复核和报告工具模块化部署，并与既有遥感、自然资源和生态环境数据平台衔接。跨区域应用前重新核验生态类型、数据可得性、参数适用性和独立验证资料。</w:t>
            </w:r>
          </w:p>
          <w:p>
            <w:pPr>
              <w:spacing w:after="80" w:line="300" w:lineRule="auto"/>
              <w:ind w:firstLine="420"/>
              <w:jc w:val="left"/>
            </w:pPr>
            <w:r>
              <w:rPr>
                <w:rFonts w:ascii="Times New Roman" w:hAnsi="Times New Roman" w:eastAsia="宋体"/>
                <w:b w:val="0"/>
                <w:sz w:val="21"/>
              </w:rPr>
              <w:t>产业化和资本化不作为本项目的刚性考核内容。项目可在业务化和工程化验证成熟后，面向生态评估、数据服务和平台集成等实际需求开展后续转化。</w:t>
            </w:r>
          </w:p>
        </w:tc>
      </w:tr>
    </w:tbl>
    <w:p w14:paraId="0DFA4B9C">
      <w:pPr>
        <w:keepNext/>
        <w:keepLines/>
        <w:spacing w:before="163" w:beforeLines="50" w:after="163" w:afterLines="50" w:line="360" w:lineRule="auto"/>
        <w:outlineLvl w:val="0"/>
        <w:rPr>
          <w:rFonts w:ascii="黑体" w:hAnsi="Times New Roman" w:eastAsia="黑体" w:cs="Times New Roman"/>
          <w:b/>
          <w:bCs/>
          <w:kern w:val="44"/>
          <w:sz w:val="32"/>
          <w:szCs w:val="44"/>
        </w:rPr>
      </w:pPr>
      <w:r>
        <w:rPr>
          <w:rFonts w:ascii="Times New Roman" w:hAnsi="Times New Roman" w:eastAsia="黑体" w:cs="Times New Roman"/>
          <w:b/>
          <w:bCs/>
          <w:kern w:val="44"/>
          <w:sz w:val="32"/>
          <w:szCs w:val="44"/>
        </w:rPr>
        <w:br w:type="page"/>
      </w:r>
      <w:r>
        <w:rPr>
          <w:rFonts w:hint="eastAsia" w:ascii="黑体" w:hAnsi="Times New Roman" w:eastAsia="黑体" w:cs="Times New Roman"/>
          <w:b/>
          <w:bCs/>
          <w:kern w:val="44"/>
          <w:sz w:val="32"/>
          <w:szCs w:val="44"/>
        </w:rPr>
        <w:t>三、现有工作基础与优势</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1"/>
      </w:tblGrid>
      <w:tr w14:paraId="3C4E4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43" w:hRule="atLeast"/>
        </w:trPr>
        <w:tc>
          <w:tcPr>
            <w:tcW w:w="9061" w:type="dxa"/>
          </w:tcPr>
          <w:p>
            <w:pPr>
              <w:spacing w:after="80" w:line="300" w:lineRule="auto"/>
              <w:ind w:firstLine="0"/>
              <w:jc w:val="left"/>
            </w:pPr>
            <w:r>
              <w:rPr>
                <w:rFonts w:ascii="Times New Roman" w:hAnsi="Times New Roman" w:eastAsia="宋体"/>
                <w:b/>
                <w:sz w:val="24"/>
              </w:rPr>
              <w:t>课题主要研究技术内容的国内外发展现状与趋势，现有技术基础</w:t>
            </w:r>
          </w:p>
          <w:p>
            <w:pPr>
              <w:spacing w:after="80" w:line="300" w:lineRule="auto"/>
              <w:ind w:firstLine="0"/>
              <w:jc w:val="left"/>
            </w:pPr>
            <w:r>
              <w:rPr>
                <w:rFonts w:ascii="Times New Roman" w:hAnsi="Times New Roman" w:eastAsia="宋体"/>
                <w:b/>
                <w:sz w:val="24"/>
              </w:rPr>
              <w:t>国内外发展现状与趋势</w:t>
            </w:r>
          </w:p>
          <w:p>
            <w:pPr>
              <w:spacing w:after="80" w:line="300" w:lineRule="auto"/>
              <w:ind w:firstLine="0"/>
              <w:jc w:val="left"/>
            </w:pPr>
            <w:r>
              <w:rPr>
                <w:rFonts w:ascii="Times New Roman" w:hAnsi="Times New Roman" w:eastAsia="宋体"/>
                <w:b/>
                <w:sz w:val="24"/>
              </w:rPr>
              <w:t>地球观测基础模型</w:t>
            </w:r>
          </w:p>
          <w:p>
            <w:pPr>
              <w:spacing w:after="80" w:line="300" w:lineRule="auto"/>
              <w:ind w:firstLine="420"/>
              <w:jc w:val="left"/>
            </w:pPr>
            <w:r>
              <w:rPr>
                <w:rFonts w:ascii="Times New Roman" w:hAnsi="Times New Roman" w:eastAsia="宋体"/>
                <w:b w:val="0"/>
                <w:sz w:val="21"/>
              </w:rPr>
              <w:t>国际上，Prithvi、SatMAE、SpectralGPT和AlphaEarth Foundations等工作推动遥感由单期影像分类向多源、多时相通用表征学习发展。该类方法通过自监督预训练生成密集地理嵌入，可在统一特征空间支撑不同下游制图任务。发展趋势是增强多源协同、时间连续性、质量感知和跨区域适配能力。</w:t>
            </w:r>
          </w:p>
          <w:p>
            <w:pPr>
              <w:spacing w:after="80" w:line="300" w:lineRule="auto"/>
              <w:ind w:firstLine="0"/>
              <w:jc w:val="left"/>
            </w:pPr>
            <w:r>
              <w:rPr>
                <w:rFonts w:ascii="Times New Roman" w:hAnsi="Times New Roman" w:eastAsia="宋体"/>
                <w:b/>
                <w:sz w:val="24"/>
              </w:rPr>
              <w:t>生态系统生产总值核算技术</w:t>
            </w:r>
          </w:p>
          <w:p>
            <w:pPr>
              <w:spacing w:after="80" w:line="300" w:lineRule="auto"/>
              <w:ind w:firstLine="420"/>
              <w:jc w:val="left"/>
            </w:pPr>
            <w:r>
              <w:rPr>
                <w:rFonts w:ascii="Times New Roman" w:hAnsi="Times New Roman" w:eastAsia="宋体"/>
                <w:b w:val="0"/>
                <w:sz w:val="21"/>
              </w:rPr>
              <w:t>生态系统服务评估主流技术包括SEEA-EA核算框架、InVEST、CASA等模型。我国GB/T 46869—2025明确了生态产品价值核算的服务类别、实物量和价值量核算原则。遥感产品适合用于生态系统面积、植被状态、水体和土地覆盖的空间化；生态过程与价值量仍应由专题模型、监测、统计资料和参数共同支撑。发展趋势是从年度静态评估向可更新的月/季尺度基础状态产品演进。</w:t>
            </w:r>
          </w:p>
          <w:p>
            <w:pPr>
              <w:spacing w:after="80" w:line="300" w:lineRule="auto"/>
              <w:ind w:firstLine="0"/>
              <w:jc w:val="left"/>
            </w:pPr>
            <w:r>
              <w:rPr>
                <w:rFonts w:ascii="Times New Roman" w:hAnsi="Times New Roman" w:eastAsia="宋体"/>
                <w:b/>
                <w:sz w:val="24"/>
              </w:rPr>
              <w:t>遥感智能交互决策</w:t>
            </w:r>
          </w:p>
          <w:p>
            <w:pPr>
              <w:spacing w:after="80" w:line="300" w:lineRule="auto"/>
              <w:ind w:firstLine="420"/>
              <w:jc w:val="left"/>
            </w:pPr>
            <w:r>
              <w:rPr>
                <w:rFonts w:ascii="Times New Roman" w:hAnsi="Times New Roman" w:eastAsia="宋体"/>
                <w:b w:val="0"/>
                <w:sz w:val="21"/>
              </w:rPr>
              <w:t>地理空间智能体正逐步将自然语言解析与GIS、遥感和模型工具链结合。本项目采用受约束的查询与核算流程：用户查询被解析为已登记的数据、参数和模型调用，返回结果时同步提供版本、范围、方法和不确定性，不以自由生成内容替代核算。</w:t>
            </w:r>
          </w:p>
          <w:p>
            <w:pPr>
              <w:spacing w:after="80" w:line="300" w:lineRule="auto"/>
              <w:ind w:firstLine="0"/>
              <w:jc w:val="left"/>
            </w:pPr>
            <w:r>
              <w:rPr>
                <w:rFonts w:ascii="Times New Roman" w:hAnsi="Times New Roman" w:eastAsia="宋体"/>
                <w:b/>
                <w:sz w:val="24"/>
              </w:rPr>
              <w:t>现有技术基础</w:t>
            </w:r>
          </w:p>
          <w:p>
            <w:pPr>
              <w:spacing w:after="80" w:line="300" w:lineRule="auto"/>
              <w:ind w:firstLine="420"/>
              <w:jc w:val="left"/>
            </w:pPr>
            <w:r>
              <w:rPr>
                <w:rFonts w:ascii="Times New Roman" w:hAnsi="Times New Roman" w:eastAsia="宋体"/>
                <w:b w:val="0"/>
                <w:sz w:val="21"/>
              </w:rPr>
              <w:t>玄女项目已在海淀区完成多源月度地理嵌入训练与下游验证。现有生产模型使用2025年12月至2026年5月数据，在320个1,280米×1,280米样本单元上生成128×128×64的名义10米等效分析网格，输入包括Sentinel-1、Sentinel-2、Landsat、高分光学和高分SAR等数据。建筑、道路和水体结果采用与预训练开放地图弱语义同源的标签，属于内部制图验证，不作为生态服务或GEP核算精度依据。</w:t>
            </w:r>
          </w:p>
          <w:p>
            <w:pPr>
              <w:spacing w:after="80" w:line="300" w:lineRule="auto"/>
              <w:ind w:firstLine="420"/>
              <w:jc w:val="left"/>
            </w:pPr>
            <w:r>
              <w:rPr>
                <w:rFonts w:ascii="Times New Roman" w:hAnsi="Times New Roman" w:eastAsia="宋体"/>
                <w:b w:val="0"/>
                <w:sz w:val="21"/>
              </w:rPr>
              <w:t>项目已具备多源遥感数据处理、月度嵌入生成、专题制图、数据版本管理、下游模型评测和多卡训练环境等基础。现有训练配置、数据处理脚本和评测流程可作为新区域研发起点；生态系统类型、气象、水文、监测、统计和价值参数资料将在项目启动阶段与相关数据责任方对接，形成数据取得清单和时间安排。</w:t>
            </w:r>
          </w:p>
          <w:p>
            <w:pPr>
              <w:spacing w:after="80" w:line="300" w:lineRule="auto"/>
              <w:ind w:firstLine="0"/>
              <w:jc w:val="left"/>
            </w:pPr>
            <w:r>
              <w:rPr>
                <w:rFonts w:ascii="Times New Roman" w:hAnsi="Times New Roman" w:eastAsia="宋体"/>
                <w:b/>
                <w:sz w:val="24"/>
              </w:rPr>
              <w:t>课题申请部门及主要参与单位研究基础</w:t>
            </w:r>
          </w:p>
          <w:p>
            <w:pPr>
              <w:spacing w:after="80" w:line="300" w:lineRule="auto"/>
              <w:ind w:firstLine="420"/>
              <w:jc w:val="left"/>
            </w:pPr>
            <w:r>
              <w:rPr>
                <w:rFonts w:ascii="Times New Roman" w:hAnsi="Times New Roman" w:eastAsia="宋体"/>
                <w:b w:val="0"/>
                <w:sz w:val="21"/>
              </w:rPr>
              <w:t>申报部门既有生态评估、遥感地理信息、工程咨询与软件平台建设经历，以及人员、平台和相关项目成果，请由申报单位在正式申报时据实补充。项目拟设置项目统筹、遥感与数据工程、生态核算、水文与气候专题模型、平台与软件、质量控制与独立复核等岗位。</w:t>
            </w:r>
          </w:p>
          <w:p>
            <w:pPr>
              <w:spacing w:after="80" w:line="300" w:lineRule="auto"/>
              <w:ind w:firstLine="420"/>
              <w:jc w:val="left"/>
            </w:pPr>
            <w:r>
              <w:rPr>
                <w:rFonts w:ascii="Times New Roman" w:hAnsi="Times New Roman" w:eastAsia="宋体"/>
                <w:b w:val="0"/>
                <w:sz w:val="21"/>
              </w:rPr>
              <w:t>实施安排：第一阶段完成核算边界、生态产品清单、数据来源、质量规范和验证方案确认；第二阶段完成月度生态状态基础产品、生态系统分类和三类服务专题模型开发；第三阶段完成实物量与价值量试点、独立验证、不确定性分析、核算工具和示范报告；第四阶段完成成果复核、交付固化和后续推广建议。</w:t>
            </w:r>
          </w:p>
          <w:p>
            <w:pPr>
              <w:spacing w:after="80" w:line="300" w:lineRule="auto"/>
              <w:ind w:firstLine="420"/>
              <w:jc w:val="left"/>
            </w:pPr>
            <w:r>
              <w:rPr>
                <w:rFonts w:ascii="Times New Roman" w:hAnsi="Times New Roman" w:eastAsia="宋体"/>
                <w:b w:val="0"/>
                <w:sz w:val="21"/>
              </w:rPr>
              <w:t>参考依据：GB/T 46869—2025《生态系统评估 陆域生态产品总值核算技术指南》；Ouyang Z. et al. Gross ecosystem product: concept, accounting framework and case study, PNAS, 2020；Potter C. S. et al. Terrestrial ecosystem production: A process model based on global satellite and surface data, Global Biogeochemical Cycles, 1993。</w:t>
            </w:r>
          </w:p>
        </w:tc>
      </w:tr>
    </w:tbl>
    <w:p w14:paraId="1D77E40D">
      <w:pPr>
        <w:keepNext/>
        <w:keepLines/>
        <w:spacing w:before="163" w:beforeLines="50" w:after="163" w:afterLines="50" w:line="360" w:lineRule="auto"/>
        <w:outlineLvl w:val="0"/>
        <w:rPr>
          <w:rFonts w:ascii="黑体" w:hAnsi="Times New Roman" w:eastAsia="黑体" w:cs="Times New Roman"/>
          <w:b/>
          <w:bCs/>
          <w:kern w:val="44"/>
          <w:sz w:val="32"/>
          <w:szCs w:val="44"/>
        </w:rPr>
      </w:pPr>
      <w:r>
        <w:rPr>
          <w:rFonts w:hint="eastAsia" w:ascii="黑体" w:hAnsi="Times New Roman" w:eastAsia="黑体" w:cs="Times New Roman"/>
          <w:b/>
          <w:bCs/>
          <w:kern w:val="44"/>
          <w:sz w:val="32"/>
          <w:szCs w:val="44"/>
        </w:rPr>
        <w:t>四、拟投入的研发人员</w:t>
      </w:r>
    </w:p>
    <w:tbl>
      <w:tblPr>
        <w:tblStyle w:val="3"/>
        <w:tblpPr w:leftFromText="180" w:rightFromText="180" w:vertAnchor="text" w:horzAnchor="margin" w:tblpY="815"/>
        <w:tblW w:w="484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
        <w:gridCol w:w="723"/>
        <w:gridCol w:w="904"/>
        <w:gridCol w:w="1085"/>
        <w:gridCol w:w="1085"/>
        <w:gridCol w:w="1085"/>
        <w:gridCol w:w="1085"/>
        <w:gridCol w:w="1909"/>
      </w:tblGrid>
      <w:tr w14:paraId="76A4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14:paraId="77801052">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姓名</w:t>
            </w:r>
          </w:p>
        </w:tc>
        <w:tc>
          <w:tcPr>
            <w:tcW w:w="412" w:type="pct"/>
            <w:vAlign w:val="center"/>
          </w:tcPr>
          <w:p w14:paraId="088B9AFD">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性别</w:t>
            </w:r>
          </w:p>
        </w:tc>
        <w:tc>
          <w:tcPr>
            <w:tcW w:w="515" w:type="pct"/>
            <w:vAlign w:val="center"/>
          </w:tcPr>
          <w:p w14:paraId="60B8E4FB">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出生年月</w:t>
            </w:r>
          </w:p>
        </w:tc>
        <w:tc>
          <w:tcPr>
            <w:tcW w:w="618" w:type="pct"/>
            <w:vAlign w:val="center"/>
          </w:tcPr>
          <w:p w14:paraId="28402207">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职务职称</w:t>
            </w:r>
          </w:p>
        </w:tc>
        <w:tc>
          <w:tcPr>
            <w:tcW w:w="618" w:type="pct"/>
            <w:vAlign w:val="center"/>
          </w:tcPr>
          <w:p w14:paraId="02B7CAE5">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所学专业</w:t>
            </w:r>
          </w:p>
        </w:tc>
        <w:tc>
          <w:tcPr>
            <w:tcW w:w="618" w:type="pct"/>
            <w:vAlign w:val="center"/>
          </w:tcPr>
          <w:p w14:paraId="3F5F2B20">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现从事专业</w:t>
            </w:r>
          </w:p>
        </w:tc>
        <w:tc>
          <w:tcPr>
            <w:tcW w:w="618" w:type="pct"/>
            <w:vAlign w:val="center"/>
          </w:tcPr>
          <w:p w14:paraId="5C69B4EE">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所在单位</w:t>
            </w:r>
          </w:p>
        </w:tc>
        <w:tc>
          <w:tcPr>
            <w:tcW w:w="1088" w:type="pct"/>
            <w:vAlign w:val="center"/>
          </w:tcPr>
          <w:p w14:paraId="6914F3CA">
            <w:pPr>
              <w:spacing w:line="400" w:lineRule="exact"/>
              <w:jc w:val="center"/>
              <w:rPr>
                <w:rFonts w:ascii="仿宋_GB2312" w:hAnsi="仿宋" w:eastAsia="仿宋_GB2312" w:cs="Times New Roman"/>
                <w:color w:val="000000"/>
                <w:sz w:val="24"/>
              </w:rPr>
            </w:pPr>
            <w:r>
              <w:rPr>
                <w:rFonts w:hint="eastAsia" w:ascii="仿宋_GB2312" w:hAnsi="仿宋" w:eastAsia="仿宋_GB2312" w:cs="Times New Roman"/>
                <w:color w:val="000000"/>
                <w:sz w:val="24"/>
              </w:rPr>
              <w:t>在本项目中承担的任务</w:t>
            </w:r>
          </w:p>
        </w:tc>
      </w:tr>
      <w:tr w14:paraId="1AFF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gridSpan w:val="8"/>
            <w:vAlign w:val="center"/>
          </w:tcPr>
          <w:p>
            <w:pPr>
              <w:spacing w:after="80" w:line="300" w:lineRule="auto"/>
              <w:ind w:firstLine="0"/>
              <w:jc w:val="center"/>
            </w:pPr>
            <w:r>
              <w:rPr>
                <w:rFonts w:ascii="Times New Roman" w:hAnsi="Times New Roman" w:eastAsia="宋体"/>
                <w:b w:val="0"/>
                <w:sz w:val="21"/>
              </w:rPr>
              <w:t>总体统筹、技术路线与成果质量控制</w:t>
            </w:r>
          </w:p>
        </w:tc>
      </w:tr>
      <w:tr w14:paraId="443D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14:paraId="5515C621">
            <w:pPr>
              <w:spacing w:line="400" w:lineRule="exact"/>
              <w:jc w:val="center"/>
              <w:rPr>
                <w:rFonts w:ascii="仿宋_GB2312" w:hAnsi="仿宋" w:eastAsia="仿宋_GB2312" w:cs="Times New Roman"/>
                <w:color w:val="000000"/>
                <w:sz w:val="24"/>
              </w:rPr>
            </w:pPr>
          </w:p>
        </w:tc>
        <w:tc>
          <w:tcPr>
            <w:tcW w:w="412" w:type="pct"/>
            <w:vAlign w:val="center"/>
          </w:tcPr>
          <w:p w14:paraId="0AD43D1B">
            <w:pPr>
              <w:spacing w:line="240" w:lineRule="atLeast"/>
              <w:jc w:val="center"/>
              <w:rPr>
                <w:rFonts w:ascii="仿宋_GB2312" w:hAnsi="仿宋" w:eastAsia="仿宋_GB2312" w:cs="Times New Roman"/>
                <w:color w:val="000000"/>
                <w:sz w:val="24"/>
              </w:rPr>
            </w:pPr>
          </w:p>
        </w:tc>
        <w:tc>
          <w:tcPr>
            <w:tcW w:w="515" w:type="pct"/>
            <w:vAlign w:val="center"/>
          </w:tcPr>
          <w:p w14:paraId="0DCCEE33">
            <w:pPr>
              <w:spacing w:line="240" w:lineRule="atLeast"/>
              <w:jc w:val="center"/>
              <w:rPr>
                <w:rFonts w:ascii="仿宋_GB2312" w:hAnsi="仿宋" w:eastAsia="仿宋_GB2312" w:cs="Times New Roman"/>
                <w:color w:val="000000"/>
                <w:sz w:val="24"/>
              </w:rPr>
            </w:pPr>
          </w:p>
        </w:tc>
        <w:tc>
          <w:tcPr>
            <w:tcW w:w="618" w:type="pct"/>
            <w:vAlign w:val="center"/>
          </w:tcPr>
          <w:p w14:paraId="6AFC2094">
            <w:pPr>
              <w:spacing w:line="240" w:lineRule="atLeast"/>
              <w:jc w:val="center"/>
              <w:rPr>
                <w:rFonts w:ascii="仿宋_GB2312" w:hAnsi="仿宋" w:eastAsia="仿宋_GB2312" w:cs="Times New Roman"/>
                <w:color w:val="000000"/>
                <w:sz w:val="24"/>
              </w:rPr>
            </w:pPr>
          </w:p>
        </w:tc>
        <w:tc>
          <w:tcPr>
            <w:tcW w:w="618" w:type="pct"/>
            <w:vAlign w:val="center"/>
          </w:tcPr>
          <w:p w14:paraId="2503945C">
            <w:pPr>
              <w:spacing w:line="240" w:lineRule="atLeast"/>
              <w:jc w:val="center"/>
              <w:rPr>
                <w:rFonts w:ascii="仿宋_GB2312" w:hAnsi="仿宋" w:eastAsia="仿宋_GB2312" w:cs="Times New Roman"/>
                <w:color w:val="000000"/>
                <w:sz w:val="24"/>
              </w:rPr>
            </w:pPr>
          </w:p>
        </w:tc>
        <w:tc>
          <w:tcPr>
            <w:tcW w:w="618" w:type="pct"/>
            <w:vAlign w:val="center"/>
          </w:tcPr>
          <w:p w14:paraId="400E0CD8">
            <w:pPr>
              <w:spacing w:line="240" w:lineRule="atLeast"/>
              <w:jc w:val="center"/>
              <w:rPr>
                <w:rFonts w:ascii="仿宋_GB2312" w:hAnsi="仿宋" w:eastAsia="仿宋_GB2312" w:cs="Times New Roman"/>
                <w:color w:val="000000"/>
                <w:sz w:val="24"/>
              </w:rPr>
            </w:pPr>
          </w:p>
        </w:tc>
        <w:tc>
          <w:tcPr>
            <w:tcW w:w="618" w:type="pct"/>
            <w:vAlign w:val="center"/>
          </w:tcPr>
          <w:p w14:paraId="40515DDC">
            <w:pPr>
              <w:spacing w:line="240" w:lineRule="atLeast"/>
              <w:jc w:val="center"/>
              <w:rPr>
                <w:rFonts w:ascii="仿宋_GB2312" w:hAnsi="仿宋" w:eastAsia="仿宋_GB2312" w:cs="Times New Roman"/>
                <w:color w:val="000000"/>
                <w:sz w:val="24"/>
              </w:rPr>
            </w:pPr>
          </w:p>
        </w:tc>
        <w:tc>
          <w:tcPr>
            <w:tcW w:w="1088" w:type="pct"/>
            <w:vAlign w:val="center"/>
          </w:tcPr>
          <w:p w14:paraId="45925398">
            <w:pPr>
              <w:spacing w:line="240" w:lineRule="atLeast"/>
              <w:jc w:val="center"/>
              <w:rPr>
                <w:rFonts w:ascii="仿宋_GB2312" w:hAnsi="仿宋" w:eastAsia="仿宋_GB2312" w:cs="Times New Roman"/>
                <w:color w:val="000000"/>
                <w:sz w:val="24"/>
              </w:rPr>
            </w:pPr>
          </w:p>
        </w:tc>
      </w:tr>
      <w:tr w14:paraId="3FA6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gridSpan w:val="8"/>
            <w:vAlign w:val="center"/>
          </w:tcPr>
          <w:p w14:paraId="175849A6">
            <w:pPr>
              <w:spacing w:line="400" w:lineRule="exact"/>
              <w:rPr>
                <w:rFonts w:ascii="仿宋_GB2312" w:hAnsi="仿宋" w:eastAsia="仿宋_GB2312" w:cs="Times New Roman"/>
                <w:color w:val="000000"/>
                <w:sz w:val="24"/>
              </w:rPr>
            </w:pPr>
            <w:r>
              <w:rPr>
                <w:rFonts w:hint="eastAsia" w:ascii="仿宋_GB2312" w:hAnsi="仿宋" w:eastAsia="仿宋_GB2312" w:cs="Times New Roman"/>
                <w:color w:val="000000"/>
                <w:sz w:val="24"/>
              </w:rPr>
              <w:t>主要参加人员</w:t>
            </w:r>
          </w:p>
        </w:tc>
      </w:tr>
      <w:tr w14:paraId="3931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pPr>
              <w:spacing w:after="80" w:line="300" w:lineRule="auto"/>
              <w:ind w:firstLine="0"/>
              <w:jc w:val="center"/>
            </w:pPr>
            <w:r>
              <w:rPr>
                <w:rFonts w:ascii="Times New Roman" w:hAnsi="Times New Roman" w:eastAsia="宋体"/>
                <w:b w:val="0"/>
                <w:sz w:val="21"/>
              </w:rPr>
              <w:t>遥感与数据工程人员（待填）</w:t>
            </w:r>
          </w:p>
        </w:tc>
        <w:tc>
          <w:tcPr>
            <w:tcW w:w="412" w:type="pct"/>
            <w:vAlign w:val="center"/>
          </w:tcPr>
          <w:p w14:paraId="33CE7242">
            <w:pPr>
              <w:spacing w:line="240" w:lineRule="atLeast"/>
              <w:jc w:val="center"/>
              <w:rPr>
                <w:rFonts w:ascii="仿宋_GB2312" w:hAnsi="仿宋" w:eastAsia="仿宋_GB2312" w:cs="Times New Roman"/>
                <w:color w:val="000000"/>
                <w:sz w:val="24"/>
              </w:rPr>
            </w:pPr>
          </w:p>
        </w:tc>
        <w:tc>
          <w:tcPr>
            <w:tcW w:w="515" w:type="pct"/>
            <w:vAlign w:val="center"/>
          </w:tcPr>
          <w:p w14:paraId="3057F1B9">
            <w:pPr>
              <w:spacing w:line="240" w:lineRule="atLeast"/>
              <w:jc w:val="center"/>
              <w:rPr>
                <w:rFonts w:ascii="仿宋_GB2312" w:hAnsi="仿宋" w:eastAsia="仿宋_GB2312" w:cs="Times New Roman"/>
                <w:color w:val="000000"/>
                <w:sz w:val="24"/>
              </w:rPr>
            </w:pPr>
          </w:p>
        </w:tc>
        <w:tc>
          <w:tcPr>
            <w:tcW w:w="618" w:type="pct"/>
            <w:vAlign w:val="center"/>
          </w:tcPr>
          <w:p w14:paraId="72A71862">
            <w:pPr>
              <w:spacing w:line="240" w:lineRule="atLeast"/>
              <w:jc w:val="center"/>
              <w:rPr>
                <w:rFonts w:ascii="仿宋_GB2312" w:hAnsi="仿宋" w:eastAsia="仿宋_GB2312" w:cs="Times New Roman"/>
                <w:color w:val="000000"/>
                <w:sz w:val="24"/>
              </w:rPr>
            </w:pPr>
          </w:p>
        </w:tc>
        <w:tc>
          <w:tcPr>
            <w:tcW w:w="618" w:type="pct"/>
            <w:vAlign w:val="center"/>
          </w:tcPr>
          <w:p w14:paraId="29B87E33">
            <w:pPr>
              <w:spacing w:line="240" w:lineRule="atLeast"/>
              <w:jc w:val="center"/>
              <w:rPr>
                <w:rFonts w:ascii="仿宋_GB2312" w:hAnsi="仿宋" w:eastAsia="仿宋_GB2312" w:cs="Times New Roman"/>
                <w:color w:val="000000"/>
                <w:sz w:val="24"/>
              </w:rPr>
            </w:pPr>
          </w:p>
        </w:tc>
        <w:tc>
          <w:tcPr>
            <w:tcW w:w="618" w:type="pct"/>
            <w:vAlign w:val="center"/>
          </w:tcPr>
          <w:p w14:paraId="622B2E3B">
            <w:pPr>
              <w:spacing w:line="240" w:lineRule="atLeast"/>
              <w:jc w:val="center"/>
              <w:rPr>
                <w:rFonts w:ascii="仿宋_GB2312" w:hAnsi="仿宋" w:eastAsia="仿宋_GB2312" w:cs="Times New Roman"/>
                <w:color w:val="000000"/>
                <w:sz w:val="24"/>
              </w:rPr>
            </w:pPr>
          </w:p>
        </w:tc>
        <w:tc>
          <w:tcPr>
            <w:tcW w:w="618" w:type="pct"/>
            <w:vAlign w:val="center"/>
          </w:tcPr>
          <w:p w14:paraId="6560763C">
            <w:pPr>
              <w:spacing w:line="240" w:lineRule="atLeast"/>
              <w:jc w:val="center"/>
              <w:rPr>
                <w:rFonts w:ascii="仿宋_GB2312" w:hAnsi="仿宋" w:eastAsia="仿宋_GB2312" w:cs="Times New Roman"/>
                <w:color w:val="000000"/>
                <w:sz w:val="24"/>
              </w:rPr>
            </w:pPr>
          </w:p>
        </w:tc>
        <w:tc>
          <w:tcPr>
            <w:tcW w:w="1088" w:type="pct"/>
            <w:vAlign w:val="center"/>
          </w:tcPr>
          <w:p>
            <w:pPr>
              <w:spacing w:after="80" w:line="300" w:lineRule="auto"/>
              <w:ind w:firstLine="0"/>
              <w:jc w:val="center"/>
            </w:pPr>
            <w:r>
              <w:rPr>
                <w:rFonts w:ascii="Times New Roman" w:hAnsi="Times New Roman" w:eastAsia="宋体"/>
                <w:b w:val="0"/>
                <w:sz w:val="21"/>
              </w:rPr>
              <w:t>数据处理、月度产品、质量与版本管理</w:t>
            </w:r>
          </w:p>
        </w:tc>
      </w:tr>
      <w:tr w14:paraId="0C7A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pPr>
              <w:spacing w:after="80" w:line="300" w:lineRule="auto"/>
              <w:ind w:firstLine="0"/>
              <w:jc w:val="center"/>
            </w:pPr>
            <w:r>
              <w:rPr>
                <w:rFonts w:ascii="Times New Roman" w:hAnsi="Times New Roman" w:eastAsia="宋体"/>
                <w:b w:val="0"/>
                <w:sz w:val="21"/>
              </w:rPr>
              <w:t>生态核算与专题模型人员（待填）</w:t>
            </w:r>
          </w:p>
        </w:tc>
        <w:tc>
          <w:tcPr>
            <w:tcW w:w="412" w:type="pct"/>
            <w:vAlign w:val="center"/>
          </w:tcPr>
          <w:p w14:paraId="723AF177">
            <w:pPr>
              <w:spacing w:line="240" w:lineRule="atLeast"/>
              <w:jc w:val="center"/>
              <w:rPr>
                <w:rFonts w:ascii="仿宋_GB2312" w:hAnsi="仿宋" w:eastAsia="仿宋_GB2312" w:cs="Times New Roman"/>
                <w:color w:val="000000"/>
                <w:sz w:val="24"/>
              </w:rPr>
            </w:pPr>
          </w:p>
        </w:tc>
        <w:tc>
          <w:tcPr>
            <w:tcW w:w="515" w:type="pct"/>
            <w:vAlign w:val="center"/>
          </w:tcPr>
          <w:p w14:paraId="7FBAE825">
            <w:pPr>
              <w:spacing w:line="240" w:lineRule="atLeast"/>
              <w:jc w:val="center"/>
              <w:rPr>
                <w:rFonts w:ascii="仿宋_GB2312" w:hAnsi="仿宋" w:eastAsia="仿宋_GB2312" w:cs="Times New Roman"/>
                <w:color w:val="000000"/>
                <w:sz w:val="24"/>
              </w:rPr>
            </w:pPr>
          </w:p>
        </w:tc>
        <w:tc>
          <w:tcPr>
            <w:tcW w:w="618" w:type="pct"/>
            <w:vAlign w:val="center"/>
          </w:tcPr>
          <w:p w14:paraId="0CDDECC6">
            <w:pPr>
              <w:spacing w:line="240" w:lineRule="atLeast"/>
              <w:jc w:val="center"/>
              <w:rPr>
                <w:rFonts w:ascii="仿宋_GB2312" w:hAnsi="仿宋" w:eastAsia="仿宋_GB2312" w:cs="Times New Roman"/>
                <w:color w:val="000000"/>
                <w:sz w:val="24"/>
              </w:rPr>
            </w:pPr>
          </w:p>
        </w:tc>
        <w:tc>
          <w:tcPr>
            <w:tcW w:w="618" w:type="pct"/>
            <w:vAlign w:val="center"/>
          </w:tcPr>
          <w:p w14:paraId="15DE15FC">
            <w:pPr>
              <w:spacing w:line="240" w:lineRule="atLeast"/>
              <w:jc w:val="center"/>
              <w:rPr>
                <w:rFonts w:ascii="仿宋_GB2312" w:hAnsi="仿宋" w:eastAsia="仿宋_GB2312" w:cs="Times New Roman"/>
                <w:color w:val="000000"/>
                <w:sz w:val="24"/>
              </w:rPr>
            </w:pPr>
          </w:p>
        </w:tc>
        <w:tc>
          <w:tcPr>
            <w:tcW w:w="618" w:type="pct"/>
            <w:vAlign w:val="center"/>
          </w:tcPr>
          <w:p w14:paraId="28F9E3C3">
            <w:pPr>
              <w:spacing w:line="240" w:lineRule="atLeast"/>
              <w:jc w:val="center"/>
              <w:rPr>
                <w:rFonts w:ascii="仿宋_GB2312" w:hAnsi="仿宋" w:eastAsia="仿宋_GB2312" w:cs="Times New Roman"/>
                <w:color w:val="000000"/>
                <w:sz w:val="24"/>
              </w:rPr>
            </w:pPr>
          </w:p>
        </w:tc>
        <w:tc>
          <w:tcPr>
            <w:tcW w:w="618" w:type="pct"/>
            <w:vAlign w:val="center"/>
          </w:tcPr>
          <w:p w14:paraId="6A53AE53">
            <w:pPr>
              <w:spacing w:line="240" w:lineRule="atLeast"/>
              <w:jc w:val="center"/>
              <w:rPr>
                <w:rFonts w:ascii="仿宋_GB2312" w:hAnsi="仿宋" w:eastAsia="仿宋_GB2312" w:cs="Times New Roman"/>
                <w:color w:val="000000"/>
                <w:sz w:val="24"/>
              </w:rPr>
            </w:pPr>
          </w:p>
        </w:tc>
        <w:tc>
          <w:tcPr>
            <w:tcW w:w="1088" w:type="pct"/>
            <w:vAlign w:val="center"/>
          </w:tcPr>
          <w:p>
            <w:pPr>
              <w:spacing w:after="80" w:line="300" w:lineRule="auto"/>
              <w:ind w:firstLine="0"/>
              <w:jc w:val="center"/>
            </w:pPr>
            <w:r>
              <w:rPr>
                <w:rFonts w:ascii="Times New Roman" w:hAnsi="Times New Roman" w:eastAsia="宋体"/>
                <w:b w:val="0"/>
                <w:sz w:val="21"/>
              </w:rPr>
              <w:t>服务核算、独立验证与参数管理</w:t>
            </w:r>
          </w:p>
        </w:tc>
      </w:tr>
      <w:tr w14:paraId="0489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000" w:type="pct"/>
            <w:gridSpan w:val="8"/>
            <w:vAlign w:val="center"/>
          </w:tcPr>
          <w:p w14:paraId="1C27B973">
            <w:pPr>
              <w:spacing w:line="240" w:lineRule="atLeast"/>
              <w:rPr>
                <w:rFonts w:ascii="仿宋_GB2312" w:hAnsi="仿宋" w:eastAsia="仿宋_GB2312" w:cs="Times New Roman"/>
                <w:color w:val="000000"/>
                <w:sz w:val="24"/>
              </w:rPr>
            </w:pPr>
            <w:r>
              <w:rPr>
                <w:rFonts w:hint="eastAsia" w:ascii="仿宋_GB2312" w:hAnsi="仿宋" w:eastAsia="仿宋_GB2312" w:cs="Times New Roman"/>
                <w:color w:val="000000"/>
                <w:sz w:val="24"/>
              </w:rPr>
              <w:t>管理人员（辅助人员）</w:t>
            </w:r>
          </w:p>
        </w:tc>
      </w:tr>
      <w:tr w14:paraId="148A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513" w:type="pct"/>
            <w:vAlign w:val="center"/>
          </w:tcPr>
          <w:p>
            <w:pPr>
              <w:spacing w:after="80" w:line="300" w:lineRule="auto"/>
              <w:ind w:firstLine="0"/>
              <w:jc w:val="center"/>
            </w:pPr>
            <w:r>
              <w:rPr>
                <w:rFonts w:ascii="Times New Roman" w:hAnsi="Times New Roman" w:eastAsia="宋体"/>
                <w:b w:val="0"/>
                <w:sz w:val="21"/>
              </w:rPr>
              <w:t>平台与质量复核人员（待填）</w:t>
            </w:r>
          </w:p>
        </w:tc>
        <w:tc>
          <w:tcPr>
            <w:tcW w:w="412" w:type="pct"/>
            <w:vAlign w:val="center"/>
          </w:tcPr>
          <w:p w14:paraId="05123B3C">
            <w:pPr>
              <w:spacing w:line="240" w:lineRule="atLeast"/>
              <w:jc w:val="center"/>
              <w:rPr>
                <w:rFonts w:ascii="仿宋_GB2312" w:hAnsi="仿宋" w:eastAsia="仿宋_GB2312" w:cs="Times New Roman"/>
                <w:color w:val="000000"/>
                <w:sz w:val="24"/>
              </w:rPr>
            </w:pPr>
          </w:p>
        </w:tc>
        <w:tc>
          <w:tcPr>
            <w:tcW w:w="515" w:type="pct"/>
            <w:vAlign w:val="center"/>
          </w:tcPr>
          <w:p w14:paraId="03F51906">
            <w:pPr>
              <w:spacing w:line="240" w:lineRule="atLeast"/>
              <w:jc w:val="center"/>
              <w:rPr>
                <w:rFonts w:ascii="仿宋_GB2312" w:hAnsi="仿宋" w:eastAsia="仿宋_GB2312" w:cs="Times New Roman"/>
                <w:color w:val="000000"/>
                <w:sz w:val="24"/>
              </w:rPr>
            </w:pPr>
          </w:p>
        </w:tc>
        <w:tc>
          <w:tcPr>
            <w:tcW w:w="618" w:type="pct"/>
            <w:vAlign w:val="center"/>
          </w:tcPr>
          <w:p w14:paraId="3B825D4D">
            <w:pPr>
              <w:spacing w:line="240" w:lineRule="atLeast"/>
              <w:jc w:val="center"/>
              <w:rPr>
                <w:rFonts w:ascii="仿宋_GB2312" w:hAnsi="仿宋" w:eastAsia="仿宋_GB2312" w:cs="Times New Roman"/>
                <w:color w:val="000000"/>
                <w:sz w:val="24"/>
              </w:rPr>
            </w:pPr>
          </w:p>
        </w:tc>
        <w:tc>
          <w:tcPr>
            <w:tcW w:w="618" w:type="pct"/>
            <w:vAlign w:val="center"/>
          </w:tcPr>
          <w:p w14:paraId="42B1A52B">
            <w:pPr>
              <w:spacing w:line="240" w:lineRule="atLeast"/>
              <w:jc w:val="center"/>
              <w:rPr>
                <w:rFonts w:ascii="仿宋_GB2312" w:hAnsi="仿宋" w:eastAsia="仿宋_GB2312" w:cs="Times New Roman"/>
                <w:color w:val="000000"/>
                <w:sz w:val="24"/>
              </w:rPr>
            </w:pPr>
          </w:p>
        </w:tc>
        <w:tc>
          <w:tcPr>
            <w:tcW w:w="618" w:type="pct"/>
            <w:vAlign w:val="center"/>
          </w:tcPr>
          <w:p w14:paraId="233ED173">
            <w:pPr>
              <w:spacing w:line="240" w:lineRule="atLeast"/>
              <w:jc w:val="center"/>
              <w:rPr>
                <w:rFonts w:ascii="仿宋_GB2312" w:hAnsi="仿宋" w:eastAsia="仿宋_GB2312" w:cs="Times New Roman"/>
                <w:color w:val="000000"/>
                <w:sz w:val="24"/>
              </w:rPr>
            </w:pPr>
          </w:p>
        </w:tc>
        <w:tc>
          <w:tcPr>
            <w:tcW w:w="618" w:type="pct"/>
            <w:vAlign w:val="center"/>
          </w:tcPr>
          <w:p w14:paraId="03525BE4">
            <w:pPr>
              <w:spacing w:line="240" w:lineRule="atLeast"/>
              <w:jc w:val="center"/>
              <w:rPr>
                <w:rFonts w:ascii="仿宋_GB2312" w:hAnsi="仿宋" w:eastAsia="仿宋_GB2312" w:cs="Times New Roman"/>
                <w:color w:val="000000"/>
                <w:sz w:val="24"/>
              </w:rPr>
            </w:pPr>
          </w:p>
        </w:tc>
        <w:tc>
          <w:tcPr>
            <w:tcW w:w="1088" w:type="pct"/>
            <w:vAlign w:val="center"/>
          </w:tcPr>
          <w:p>
            <w:pPr>
              <w:spacing w:after="80" w:line="300" w:lineRule="auto"/>
              <w:ind w:firstLine="0"/>
              <w:jc w:val="center"/>
            </w:pPr>
            <w:r>
              <w:rPr>
                <w:rFonts w:ascii="Times New Roman" w:hAnsi="Times New Roman" w:eastAsia="宋体"/>
                <w:b w:val="0"/>
                <w:sz w:val="21"/>
              </w:rPr>
              <w:t>工具开发、结果复算与成果交付</w:t>
            </w:r>
          </w:p>
        </w:tc>
      </w:tr>
    </w:tbl>
    <w:p w14:paraId="03E5CC79">
      <w:pPr>
        <w:rPr>
          <w:rFonts w:ascii="黑体" w:hAnsi="Times New Roman" w:eastAsia="黑体" w:cs="Times New Roman"/>
          <w:b/>
          <w:bCs/>
          <w:kern w:val="44"/>
          <w:sz w:val="32"/>
          <w:szCs w:val="44"/>
        </w:rPr>
      </w:pPr>
    </w:p>
    <w:p w14:paraId="11F6B994">
      <w:pPr>
        <w:rPr>
          <w:rFonts w:ascii="黑体" w:hAnsi="Times New Roman" w:eastAsia="黑体" w:cs="Times New Roman"/>
          <w:b/>
          <w:bCs/>
          <w:kern w:val="44"/>
          <w:sz w:val="32"/>
          <w:szCs w:val="44"/>
        </w:rPr>
      </w:pPr>
    </w:p>
    <w:p w14:paraId="79D086DA">
      <w:pPr>
        <w:rPr>
          <w:rFonts w:ascii="黑体" w:hAnsi="Times New Roman" w:eastAsia="黑体" w:cs="Times New Roman"/>
          <w:b/>
          <w:bCs/>
          <w:kern w:val="44"/>
          <w:sz w:val="32"/>
          <w:szCs w:val="44"/>
        </w:rPr>
      </w:pPr>
    </w:p>
    <w:p w14:paraId="3627FDA5">
      <w:pPr>
        <w:rPr>
          <w:rFonts w:ascii="黑体" w:hAnsi="Times New Roman" w:eastAsia="黑体" w:cs="Times New Roman"/>
          <w:b/>
          <w:bCs/>
          <w:kern w:val="44"/>
          <w:sz w:val="32"/>
          <w:szCs w:val="44"/>
        </w:rPr>
      </w:pPr>
      <w:r>
        <w:rPr>
          <w:rFonts w:hint="eastAsia" w:ascii="黑体" w:hAnsi="Times New Roman" w:eastAsia="黑体" w:cs="Times New Roman"/>
          <w:b/>
          <w:bCs/>
          <w:kern w:val="44"/>
          <w:sz w:val="32"/>
          <w:szCs w:val="44"/>
        </w:rPr>
        <w:br w:type="page"/>
      </w:r>
    </w:p>
    <w:p w14:paraId="45910775">
      <w:pPr>
        <w:keepNext/>
        <w:keepLines/>
        <w:spacing w:before="163" w:beforeLines="50" w:after="163" w:afterLines="50" w:line="360" w:lineRule="auto"/>
        <w:outlineLvl w:val="0"/>
        <w:rPr>
          <w:rFonts w:ascii="黑体" w:hAnsi="Times New Roman" w:eastAsia="黑体" w:cs="Times New Roman"/>
          <w:b/>
          <w:bCs/>
          <w:kern w:val="44"/>
          <w:sz w:val="32"/>
          <w:szCs w:val="44"/>
        </w:rPr>
      </w:pPr>
      <w:r>
        <w:rPr>
          <w:rFonts w:hint="eastAsia" w:ascii="黑体" w:hAnsi="Times New Roman" w:eastAsia="黑体" w:cs="Times New Roman"/>
          <w:b/>
          <w:bCs/>
          <w:kern w:val="44"/>
          <w:sz w:val="32"/>
          <w:szCs w:val="44"/>
        </w:rPr>
        <w:t>五、经费预算</w:t>
      </w:r>
    </w:p>
    <w:p w14:paraId="4BACC91B">
      <w:pPr>
        <w:spacing w:line="360" w:lineRule="auto"/>
        <w:ind w:right="567" w:firstLine="6600" w:firstLineChars="2750"/>
        <w:rPr>
          <w:rFonts w:ascii="仿宋" w:hAnsi="仿宋" w:eastAsia="仿宋" w:cs="Mongolian Baiti"/>
          <w:color w:val="000000"/>
          <w:sz w:val="24"/>
        </w:rPr>
      </w:pPr>
      <w:r>
        <w:rPr>
          <w:rFonts w:hint="eastAsia" w:ascii="Calibri" w:hAnsi="Calibri" w:eastAsia="宋体" w:cs="Mongolian Baiti"/>
          <w:color w:val="000000"/>
          <w:sz w:val="24"/>
        </w:rPr>
        <w:t>单位：万元</w:t>
      </w:r>
    </w:p>
    <w:tbl>
      <w:tblPr>
        <w:tblStyle w:val="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3434"/>
        <w:gridCol w:w="1506"/>
        <w:gridCol w:w="1667"/>
        <w:gridCol w:w="1671"/>
      </w:tblGrid>
      <w:tr w14:paraId="64FF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430" w:type="pct"/>
            <w:vMerge w:val="restart"/>
            <w:vAlign w:val="center"/>
          </w:tcPr>
          <w:p w14:paraId="6D8FAC38">
            <w:pPr>
              <w:jc w:val="center"/>
              <w:rPr>
                <w:rFonts w:ascii="Calibri" w:hAnsi="Calibri" w:eastAsia="宋体" w:cs="Mongolian Baiti"/>
                <w:b/>
                <w:color w:val="000000"/>
                <w:sz w:val="24"/>
              </w:rPr>
            </w:pPr>
            <w:r>
              <w:rPr>
                <w:rFonts w:hint="eastAsia" w:ascii="Calibri" w:hAnsi="Calibri" w:eastAsia="宋体" w:cs="Mongolian Baiti"/>
                <w:b/>
                <w:color w:val="000000"/>
                <w:sz w:val="24"/>
              </w:rPr>
              <w:t>序号</w:t>
            </w:r>
          </w:p>
        </w:tc>
        <w:tc>
          <w:tcPr>
            <w:tcW w:w="1895" w:type="pct"/>
            <w:vMerge w:val="restart"/>
            <w:vAlign w:val="center"/>
          </w:tcPr>
          <w:p w14:paraId="4FB24B47">
            <w:pPr>
              <w:jc w:val="center"/>
              <w:rPr>
                <w:rFonts w:ascii="Calibri" w:hAnsi="Calibri" w:eastAsia="宋体" w:cs="Mongolian Baiti"/>
                <w:b/>
                <w:color w:val="000000"/>
                <w:sz w:val="24"/>
              </w:rPr>
            </w:pPr>
            <w:r>
              <w:rPr>
                <w:rFonts w:hint="eastAsia" w:ascii="Calibri" w:hAnsi="Calibri" w:eastAsia="宋体" w:cs="Mongolian Baiti"/>
                <w:b/>
                <w:color w:val="000000"/>
                <w:sz w:val="24"/>
              </w:rPr>
              <w:t>预算科目</w:t>
            </w:r>
          </w:p>
        </w:tc>
        <w:tc>
          <w:tcPr>
            <w:tcW w:w="2673" w:type="pct"/>
            <w:gridSpan w:val="3"/>
            <w:vAlign w:val="center"/>
          </w:tcPr>
          <w:p w14:paraId="069434BD">
            <w:pPr>
              <w:jc w:val="center"/>
              <w:rPr>
                <w:rFonts w:ascii="Calibri" w:hAnsi="Calibri" w:eastAsia="宋体" w:cs="Mongolian Baiti"/>
                <w:b/>
                <w:color w:val="000000"/>
                <w:sz w:val="24"/>
              </w:rPr>
            </w:pPr>
            <w:r>
              <w:rPr>
                <w:rFonts w:hint="eastAsia" w:ascii="Calibri" w:hAnsi="Calibri" w:eastAsia="宋体" w:cs="Mongolian Baiti"/>
                <w:b/>
                <w:color w:val="000000"/>
                <w:sz w:val="24"/>
              </w:rPr>
              <w:t>经费金额</w:t>
            </w:r>
          </w:p>
        </w:tc>
      </w:tr>
      <w:tr w14:paraId="47589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Merge w:val="continue"/>
            <w:vAlign w:val="center"/>
          </w:tcPr>
          <w:p w14:paraId="5047C9A8">
            <w:pPr>
              <w:jc w:val="center"/>
              <w:rPr>
                <w:rFonts w:ascii="Calibri" w:hAnsi="Calibri" w:eastAsia="宋体" w:cs="Mongolian Baiti"/>
                <w:color w:val="000000"/>
                <w:sz w:val="24"/>
              </w:rPr>
            </w:pPr>
          </w:p>
        </w:tc>
        <w:tc>
          <w:tcPr>
            <w:tcW w:w="1895" w:type="pct"/>
            <w:vMerge w:val="continue"/>
            <w:vAlign w:val="center"/>
          </w:tcPr>
          <w:p w14:paraId="4986D02B">
            <w:pPr>
              <w:jc w:val="center"/>
              <w:rPr>
                <w:rFonts w:ascii="Calibri" w:hAnsi="Calibri" w:eastAsia="宋体" w:cs="Mongolian Baiti"/>
                <w:b/>
                <w:color w:val="000000"/>
                <w:sz w:val="24"/>
              </w:rPr>
            </w:pPr>
          </w:p>
        </w:tc>
        <w:tc>
          <w:tcPr>
            <w:tcW w:w="831" w:type="pct"/>
            <w:vAlign w:val="center"/>
          </w:tcPr>
          <w:p w14:paraId="2035F28C">
            <w:pPr>
              <w:jc w:val="center"/>
              <w:rPr>
                <w:rFonts w:ascii="Calibri" w:hAnsi="Calibri" w:eastAsia="宋体" w:cs="Mongolian Baiti"/>
                <w:b/>
                <w:color w:val="000000"/>
                <w:sz w:val="24"/>
              </w:rPr>
            </w:pPr>
            <w:r>
              <w:rPr>
                <w:rFonts w:hint="eastAsia" w:ascii="Calibri" w:hAnsi="Calibri" w:eastAsia="宋体" w:cs="Mongolian Baiti"/>
                <w:b/>
                <w:color w:val="000000"/>
                <w:sz w:val="24"/>
              </w:rPr>
              <w:t>企业投入</w:t>
            </w:r>
          </w:p>
        </w:tc>
        <w:tc>
          <w:tcPr>
            <w:tcW w:w="920" w:type="pct"/>
            <w:vAlign w:val="center"/>
          </w:tcPr>
          <w:p w14:paraId="00C28779">
            <w:pPr>
              <w:jc w:val="center"/>
              <w:rPr>
                <w:rFonts w:ascii="Calibri" w:hAnsi="Calibri" w:eastAsia="宋体" w:cs="Mongolian Baiti"/>
                <w:b/>
                <w:color w:val="000000"/>
                <w:sz w:val="24"/>
              </w:rPr>
            </w:pPr>
            <w:r>
              <w:rPr>
                <w:rFonts w:hint="eastAsia" w:ascii="Calibri" w:hAnsi="Calibri" w:eastAsia="宋体" w:cs="Mongolian Baiti"/>
                <w:b/>
                <w:color w:val="000000"/>
                <w:sz w:val="24"/>
              </w:rPr>
              <w:t>部门配套</w:t>
            </w:r>
          </w:p>
        </w:tc>
        <w:tc>
          <w:tcPr>
            <w:tcW w:w="921" w:type="pct"/>
            <w:vAlign w:val="center"/>
          </w:tcPr>
          <w:p w14:paraId="61F8F4CF">
            <w:pPr>
              <w:jc w:val="center"/>
              <w:rPr>
                <w:rFonts w:ascii="Calibri" w:hAnsi="Calibri" w:eastAsia="宋体" w:cs="Mongolian Baiti"/>
                <w:b/>
                <w:color w:val="000000"/>
                <w:sz w:val="24"/>
              </w:rPr>
            </w:pPr>
            <w:r>
              <w:rPr>
                <w:rFonts w:hint="eastAsia" w:ascii="Calibri" w:hAnsi="Calibri" w:eastAsia="宋体" w:cs="Mongolian Baiti"/>
                <w:b/>
                <w:color w:val="000000"/>
                <w:sz w:val="24"/>
              </w:rPr>
              <w:t>小计</w:t>
            </w:r>
          </w:p>
        </w:tc>
      </w:tr>
      <w:tr w14:paraId="686F4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2307E2F5">
            <w:pPr>
              <w:jc w:val="center"/>
              <w:rPr>
                <w:rFonts w:ascii="Calibri" w:hAnsi="Calibri" w:eastAsia="宋体" w:cs="Mongolian Baiti"/>
                <w:color w:val="000000"/>
                <w:sz w:val="24"/>
              </w:rPr>
            </w:pPr>
            <w:r>
              <w:rPr>
                <w:rFonts w:hint="eastAsia" w:ascii="Calibri" w:hAnsi="Calibri" w:eastAsia="宋体" w:cs="Mongolian Baiti"/>
                <w:color w:val="000000"/>
                <w:sz w:val="24"/>
              </w:rPr>
              <w:t>1</w:t>
            </w:r>
          </w:p>
        </w:tc>
        <w:tc>
          <w:tcPr>
            <w:tcW w:w="1895" w:type="pct"/>
            <w:vAlign w:val="center"/>
          </w:tcPr>
          <w:p w14:paraId="547F1926">
            <w:pPr>
              <w:jc w:val="left"/>
              <w:rPr>
                <w:rFonts w:ascii="Calibri" w:hAnsi="Calibri" w:eastAsia="宋体" w:cs="Mongolian Baiti"/>
                <w:b/>
                <w:color w:val="000000"/>
                <w:sz w:val="24"/>
              </w:rPr>
            </w:pPr>
            <w:r>
              <w:rPr>
                <w:rFonts w:hint="eastAsia" w:ascii="Calibri" w:hAnsi="Calibri" w:eastAsia="宋体" w:cs="Mongolian Baiti"/>
                <w:b/>
                <w:color w:val="000000"/>
                <w:sz w:val="24"/>
              </w:rPr>
              <w:t>(一) 直接研发费</w:t>
            </w:r>
          </w:p>
        </w:tc>
        <w:tc>
          <w:tcPr>
            <w:tcW w:w="831" w:type="pct"/>
            <w:vAlign w:val="center"/>
          </w:tcPr>
          <w:p>
            <w:pPr>
              <w:spacing w:after="80" w:line="300" w:lineRule="auto"/>
              <w:ind w:firstLine="0"/>
              <w:jc w:val="center"/>
            </w:pPr>
            <w:r>
              <w:rPr>
                <w:rFonts w:ascii="Times New Roman" w:hAnsi="Times New Roman" w:eastAsia="宋体"/>
                <w:b w:val="0"/>
                <w:sz w:val="21"/>
              </w:rPr>
              <w:t>由申报单位核定</w:t>
            </w:r>
          </w:p>
        </w:tc>
        <w:tc>
          <w:tcPr>
            <w:tcW w:w="920" w:type="pct"/>
            <w:vAlign w:val="center"/>
          </w:tcPr>
          <w:p w14:paraId="4E7ECBC5">
            <w:pPr>
              <w:jc w:val="center"/>
              <w:rPr>
                <w:rFonts w:ascii="Calibri" w:hAnsi="Calibri" w:eastAsia="宋体" w:cs="Mongolian Baiti"/>
                <w:color w:val="000000"/>
                <w:sz w:val="24"/>
              </w:rPr>
            </w:pPr>
          </w:p>
        </w:tc>
        <w:tc>
          <w:tcPr>
            <w:tcW w:w="921" w:type="pct"/>
            <w:vAlign w:val="center"/>
          </w:tcPr>
          <w:p w14:paraId="71F94420">
            <w:pPr>
              <w:jc w:val="center"/>
              <w:rPr>
                <w:rFonts w:ascii="Calibri" w:hAnsi="Calibri" w:eastAsia="宋体" w:cs="Mongolian Baiti"/>
                <w:color w:val="000000"/>
                <w:sz w:val="24"/>
              </w:rPr>
            </w:pPr>
          </w:p>
        </w:tc>
      </w:tr>
      <w:tr w14:paraId="3CAC9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5BE2461E">
            <w:pPr>
              <w:jc w:val="center"/>
              <w:rPr>
                <w:rFonts w:ascii="Calibri" w:hAnsi="Calibri" w:eastAsia="宋体" w:cs="Mongolian Baiti"/>
                <w:color w:val="000000"/>
                <w:sz w:val="24"/>
              </w:rPr>
            </w:pPr>
            <w:r>
              <w:rPr>
                <w:rFonts w:hint="eastAsia" w:ascii="Calibri" w:hAnsi="Calibri" w:eastAsia="宋体" w:cs="Mongolian Baiti"/>
                <w:color w:val="000000"/>
                <w:sz w:val="24"/>
              </w:rPr>
              <w:t>2</w:t>
            </w:r>
          </w:p>
        </w:tc>
        <w:tc>
          <w:tcPr>
            <w:tcW w:w="1895" w:type="pct"/>
            <w:vAlign w:val="center"/>
          </w:tcPr>
          <w:p w14:paraId="162081B2">
            <w:pPr>
              <w:rPr>
                <w:rFonts w:ascii="Calibri" w:hAnsi="Calibri" w:eastAsia="宋体" w:cs="Mongolian Baiti"/>
                <w:color w:val="000000"/>
              </w:rPr>
            </w:pPr>
            <w:r>
              <w:rPr>
                <w:rFonts w:hint="eastAsia" w:ascii="Calibri" w:hAnsi="Calibri" w:eastAsia="宋体" w:cs="Mongolian Baiti"/>
                <w:color w:val="000000"/>
              </w:rPr>
              <w:t>1.设备费</w:t>
            </w:r>
          </w:p>
        </w:tc>
        <w:tc>
          <w:tcPr>
            <w:tcW w:w="831" w:type="pct"/>
            <w:vAlign w:val="center"/>
          </w:tcPr>
          <w:p w14:paraId="64E32FA3">
            <w:pPr>
              <w:jc w:val="center"/>
              <w:rPr>
                <w:rFonts w:ascii="Calibri" w:hAnsi="Calibri" w:eastAsia="宋体" w:cs="Mongolian Baiti"/>
                <w:color w:val="000000"/>
                <w:sz w:val="24"/>
              </w:rPr>
            </w:pPr>
          </w:p>
        </w:tc>
        <w:tc>
          <w:tcPr>
            <w:tcW w:w="920" w:type="pct"/>
            <w:vAlign w:val="center"/>
          </w:tcPr>
          <w:p w14:paraId="4CC5D74B">
            <w:pPr>
              <w:jc w:val="center"/>
              <w:rPr>
                <w:rFonts w:ascii="Calibri" w:hAnsi="Calibri" w:eastAsia="宋体" w:cs="Mongolian Baiti"/>
                <w:color w:val="000000"/>
              </w:rPr>
            </w:pPr>
          </w:p>
        </w:tc>
        <w:tc>
          <w:tcPr>
            <w:tcW w:w="921" w:type="pct"/>
            <w:vAlign w:val="center"/>
          </w:tcPr>
          <w:p w14:paraId="6D25B6AC">
            <w:pPr>
              <w:jc w:val="center"/>
              <w:rPr>
                <w:rFonts w:ascii="Calibri" w:hAnsi="Calibri" w:eastAsia="宋体" w:cs="Mongolian Baiti"/>
                <w:color w:val="000000"/>
              </w:rPr>
            </w:pPr>
          </w:p>
        </w:tc>
      </w:tr>
      <w:tr w14:paraId="1148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150D1C02">
            <w:pPr>
              <w:jc w:val="center"/>
              <w:rPr>
                <w:rFonts w:ascii="Calibri" w:hAnsi="Calibri" w:eastAsia="宋体" w:cs="Mongolian Baiti"/>
                <w:color w:val="000000"/>
              </w:rPr>
            </w:pPr>
            <w:r>
              <w:rPr>
                <w:rFonts w:hint="eastAsia" w:ascii="Calibri" w:hAnsi="Calibri" w:eastAsia="宋体" w:cs="Mongolian Baiti"/>
                <w:color w:val="000000"/>
              </w:rPr>
              <w:t>3</w:t>
            </w:r>
          </w:p>
        </w:tc>
        <w:tc>
          <w:tcPr>
            <w:tcW w:w="1895" w:type="pct"/>
            <w:vAlign w:val="center"/>
          </w:tcPr>
          <w:p w14:paraId="3321957F">
            <w:pPr>
              <w:rPr>
                <w:rFonts w:ascii="Calibri" w:hAnsi="Calibri" w:eastAsia="宋体" w:cs="Mongolian Baiti"/>
                <w:color w:val="000000"/>
              </w:rPr>
            </w:pPr>
            <w:r>
              <w:rPr>
                <w:rFonts w:hint="eastAsia" w:ascii="Calibri" w:hAnsi="Calibri" w:eastAsia="宋体" w:cs="Mongolian Baiti"/>
                <w:color w:val="000000"/>
              </w:rPr>
              <w:t>2.材料费</w:t>
            </w:r>
          </w:p>
        </w:tc>
        <w:tc>
          <w:tcPr>
            <w:tcW w:w="831" w:type="pct"/>
            <w:vAlign w:val="center"/>
          </w:tcPr>
          <w:p w14:paraId="1C89E7BF">
            <w:pPr>
              <w:jc w:val="center"/>
              <w:rPr>
                <w:rFonts w:ascii="Calibri" w:hAnsi="Calibri" w:eastAsia="宋体" w:cs="Mongolian Baiti"/>
                <w:bCs/>
                <w:color w:val="000000"/>
                <w:sz w:val="24"/>
              </w:rPr>
            </w:pPr>
          </w:p>
        </w:tc>
        <w:tc>
          <w:tcPr>
            <w:tcW w:w="920" w:type="pct"/>
            <w:vAlign w:val="center"/>
          </w:tcPr>
          <w:p w14:paraId="68E904C9">
            <w:pPr>
              <w:jc w:val="center"/>
              <w:rPr>
                <w:rFonts w:ascii="Calibri" w:hAnsi="Calibri" w:eastAsia="宋体" w:cs="Mongolian Baiti"/>
                <w:b/>
                <w:color w:val="000000"/>
              </w:rPr>
            </w:pPr>
          </w:p>
        </w:tc>
        <w:tc>
          <w:tcPr>
            <w:tcW w:w="921" w:type="pct"/>
            <w:vAlign w:val="center"/>
          </w:tcPr>
          <w:p w14:paraId="7E8BE56D">
            <w:pPr>
              <w:jc w:val="center"/>
              <w:rPr>
                <w:rFonts w:ascii="Calibri" w:hAnsi="Calibri" w:eastAsia="宋体" w:cs="Mongolian Baiti"/>
                <w:b/>
                <w:color w:val="000000"/>
              </w:rPr>
            </w:pPr>
          </w:p>
        </w:tc>
      </w:tr>
      <w:tr w14:paraId="218F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2D1AD91A">
            <w:pPr>
              <w:jc w:val="center"/>
              <w:rPr>
                <w:rFonts w:ascii="Calibri" w:hAnsi="Calibri" w:eastAsia="宋体" w:cs="Mongolian Baiti"/>
                <w:color w:val="000000"/>
              </w:rPr>
            </w:pPr>
            <w:r>
              <w:rPr>
                <w:rFonts w:hint="eastAsia" w:ascii="Calibri" w:hAnsi="Calibri" w:eastAsia="宋体" w:cs="Mongolian Baiti"/>
                <w:color w:val="000000"/>
              </w:rPr>
              <w:t>4</w:t>
            </w:r>
          </w:p>
        </w:tc>
        <w:tc>
          <w:tcPr>
            <w:tcW w:w="1895" w:type="pct"/>
            <w:vAlign w:val="center"/>
          </w:tcPr>
          <w:p w14:paraId="7D1DB193">
            <w:pPr>
              <w:rPr>
                <w:rFonts w:ascii="Calibri" w:hAnsi="Calibri" w:eastAsia="宋体" w:cs="Mongolian Baiti"/>
                <w:color w:val="000000"/>
              </w:rPr>
            </w:pPr>
            <w:r>
              <w:rPr>
                <w:rFonts w:hint="eastAsia" w:ascii="Calibri" w:hAnsi="Calibri" w:eastAsia="宋体" w:cs="Mongolian Baiti"/>
                <w:color w:val="000000"/>
              </w:rPr>
              <w:t>3.测试化验加工费</w:t>
            </w:r>
          </w:p>
        </w:tc>
        <w:tc>
          <w:tcPr>
            <w:tcW w:w="831" w:type="pct"/>
            <w:vAlign w:val="center"/>
          </w:tcPr>
          <w:p w14:paraId="2C4124EF">
            <w:pPr>
              <w:jc w:val="center"/>
              <w:rPr>
                <w:rFonts w:ascii="Calibri" w:hAnsi="Calibri" w:eastAsia="宋体" w:cs="Mongolian Baiti"/>
                <w:color w:val="000000"/>
                <w:sz w:val="24"/>
              </w:rPr>
            </w:pPr>
          </w:p>
        </w:tc>
        <w:tc>
          <w:tcPr>
            <w:tcW w:w="920" w:type="pct"/>
            <w:vAlign w:val="center"/>
          </w:tcPr>
          <w:p w14:paraId="1BC7D792">
            <w:pPr>
              <w:jc w:val="center"/>
              <w:rPr>
                <w:rFonts w:ascii="Calibri" w:hAnsi="Calibri" w:eastAsia="宋体" w:cs="Mongolian Baiti"/>
                <w:color w:val="000000"/>
              </w:rPr>
            </w:pPr>
          </w:p>
        </w:tc>
        <w:tc>
          <w:tcPr>
            <w:tcW w:w="921" w:type="pct"/>
            <w:vAlign w:val="center"/>
          </w:tcPr>
          <w:p w14:paraId="6F328100">
            <w:pPr>
              <w:jc w:val="center"/>
              <w:rPr>
                <w:rFonts w:ascii="Calibri" w:hAnsi="Calibri" w:eastAsia="宋体" w:cs="Mongolian Baiti"/>
                <w:color w:val="000000"/>
              </w:rPr>
            </w:pPr>
          </w:p>
        </w:tc>
      </w:tr>
      <w:tr w14:paraId="1FE9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38C24EEA">
            <w:pPr>
              <w:jc w:val="center"/>
              <w:rPr>
                <w:rFonts w:ascii="Calibri" w:hAnsi="Calibri" w:eastAsia="宋体" w:cs="Mongolian Baiti"/>
                <w:color w:val="000000"/>
                <w:sz w:val="24"/>
              </w:rPr>
            </w:pPr>
            <w:r>
              <w:rPr>
                <w:rFonts w:hint="eastAsia" w:ascii="Calibri" w:hAnsi="Calibri" w:eastAsia="宋体" w:cs="Mongolian Baiti"/>
                <w:color w:val="000000"/>
                <w:sz w:val="24"/>
              </w:rPr>
              <w:t>5</w:t>
            </w:r>
          </w:p>
        </w:tc>
        <w:tc>
          <w:tcPr>
            <w:tcW w:w="1895" w:type="pct"/>
            <w:vAlign w:val="center"/>
          </w:tcPr>
          <w:p w14:paraId="0A0503A3">
            <w:pPr>
              <w:rPr>
                <w:rFonts w:ascii="Calibri" w:hAnsi="Calibri" w:eastAsia="宋体" w:cs="Mongolian Baiti"/>
                <w:color w:val="000000"/>
              </w:rPr>
            </w:pPr>
            <w:r>
              <w:rPr>
                <w:rFonts w:hint="eastAsia" w:ascii="Calibri" w:hAnsi="Calibri" w:eastAsia="宋体" w:cs="Mongolian Baiti"/>
                <w:color w:val="000000"/>
              </w:rPr>
              <w:t>4.差旅费</w:t>
            </w:r>
          </w:p>
        </w:tc>
        <w:tc>
          <w:tcPr>
            <w:tcW w:w="831" w:type="pct"/>
            <w:vAlign w:val="center"/>
          </w:tcPr>
          <w:p w14:paraId="399991B9">
            <w:pPr>
              <w:jc w:val="center"/>
              <w:rPr>
                <w:rFonts w:ascii="Calibri" w:hAnsi="Calibri" w:eastAsia="宋体" w:cs="Mongolian Baiti"/>
                <w:color w:val="000000"/>
              </w:rPr>
            </w:pPr>
          </w:p>
        </w:tc>
        <w:tc>
          <w:tcPr>
            <w:tcW w:w="920" w:type="pct"/>
            <w:vAlign w:val="center"/>
          </w:tcPr>
          <w:p w14:paraId="68CBB2F6">
            <w:pPr>
              <w:jc w:val="center"/>
              <w:rPr>
                <w:rFonts w:ascii="Calibri" w:hAnsi="Calibri" w:eastAsia="宋体" w:cs="Mongolian Baiti"/>
                <w:color w:val="000000"/>
              </w:rPr>
            </w:pPr>
          </w:p>
        </w:tc>
        <w:tc>
          <w:tcPr>
            <w:tcW w:w="921" w:type="pct"/>
            <w:vAlign w:val="center"/>
          </w:tcPr>
          <w:p w14:paraId="7C6A8590">
            <w:pPr>
              <w:jc w:val="center"/>
              <w:rPr>
                <w:rFonts w:ascii="Calibri" w:hAnsi="Calibri" w:eastAsia="宋体" w:cs="Mongolian Baiti"/>
                <w:color w:val="000000"/>
              </w:rPr>
            </w:pPr>
          </w:p>
        </w:tc>
      </w:tr>
      <w:tr w14:paraId="0E36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049FF417">
            <w:pPr>
              <w:jc w:val="center"/>
              <w:rPr>
                <w:rFonts w:ascii="Calibri" w:hAnsi="Calibri" w:eastAsia="宋体" w:cs="Mongolian Baiti"/>
                <w:color w:val="000000"/>
              </w:rPr>
            </w:pPr>
            <w:r>
              <w:rPr>
                <w:rFonts w:hint="eastAsia" w:ascii="Calibri" w:hAnsi="Calibri" w:eastAsia="宋体" w:cs="Mongolian Baiti"/>
                <w:color w:val="000000"/>
              </w:rPr>
              <w:t>6</w:t>
            </w:r>
          </w:p>
        </w:tc>
        <w:tc>
          <w:tcPr>
            <w:tcW w:w="1895" w:type="pct"/>
            <w:vAlign w:val="center"/>
          </w:tcPr>
          <w:p w14:paraId="7D321C6D">
            <w:pPr>
              <w:rPr>
                <w:rFonts w:ascii="Calibri" w:hAnsi="Calibri" w:eastAsia="宋体" w:cs="Mongolian Baiti"/>
                <w:color w:val="000000"/>
              </w:rPr>
            </w:pPr>
            <w:r>
              <w:rPr>
                <w:rFonts w:hint="eastAsia" w:ascii="Calibri" w:hAnsi="Calibri" w:eastAsia="宋体" w:cs="Mongolian Baiti"/>
                <w:color w:val="000000"/>
              </w:rPr>
              <w:t>5.会议费</w:t>
            </w:r>
          </w:p>
        </w:tc>
        <w:tc>
          <w:tcPr>
            <w:tcW w:w="831" w:type="pct"/>
            <w:vAlign w:val="center"/>
          </w:tcPr>
          <w:p w14:paraId="32D7023B">
            <w:pPr>
              <w:jc w:val="center"/>
              <w:rPr>
                <w:rFonts w:ascii="Calibri" w:hAnsi="Calibri" w:eastAsia="宋体" w:cs="Mongolian Baiti"/>
                <w:color w:val="000000"/>
              </w:rPr>
            </w:pPr>
          </w:p>
        </w:tc>
        <w:tc>
          <w:tcPr>
            <w:tcW w:w="920" w:type="pct"/>
            <w:vAlign w:val="center"/>
          </w:tcPr>
          <w:p w14:paraId="63CDD853">
            <w:pPr>
              <w:jc w:val="center"/>
              <w:rPr>
                <w:rFonts w:ascii="Calibri" w:hAnsi="Calibri" w:eastAsia="宋体" w:cs="Mongolian Baiti"/>
                <w:color w:val="000000"/>
              </w:rPr>
            </w:pPr>
          </w:p>
        </w:tc>
        <w:tc>
          <w:tcPr>
            <w:tcW w:w="921" w:type="pct"/>
            <w:vAlign w:val="center"/>
          </w:tcPr>
          <w:p w14:paraId="285A36F9">
            <w:pPr>
              <w:jc w:val="center"/>
              <w:rPr>
                <w:rFonts w:ascii="Calibri" w:hAnsi="Calibri" w:eastAsia="宋体" w:cs="Mongolian Baiti"/>
                <w:color w:val="000000"/>
              </w:rPr>
            </w:pPr>
          </w:p>
        </w:tc>
      </w:tr>
      <w:tr w14:paraId="07C93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1D0D4671">
            <w:pPr>
              <w:jc w:val="center"/>
              <w:rPr>
                <w:rFonts w:ascii="Calibri" w:hAnsi="Calibri" w:eastAsia="宋体" w:cs="Mongolian Baiti"/>
                <w:color w:val="000000"/>
              </w:rPr>
            </w:pPr>
            <w:r>
              <w:rPr>
                <w:rFonts w:hint="eastAsia" w:ascii="Calibri" w:hAnsi="Calibri" w:eastAsia="宋体" w:cs="Mongolian Baiti"/>
                <w:color w:val="000000"/>
              </w:rPr>
              <w:t>7</w:t>
            </w:r>
          </w:p>
        </w:tc>
        <w:tc>
          <w:tcPr>
            <w:tcW w:w="1895" w:type="pct"/>
            <w:vAlign w:val="center"/>
          </w:tcPr>
          <w:p w14:paraId="61C598DB">
            <w:pPr>
              <w:rPr>
                <w:rFonts w:ascii="Calibri" w:hAnsi="Calibri" w:eastAsia="宋体" w:cs="Mongolian Baiti"/>
                <w:color w:val="000000"/>
              </w:rPr>
            </w:pPr>
            <w:r>
              <w:rPr>
                <w:rFonts w:hint="eastAsia" w:ascii="Calibri" w:hAnsi="Calibri" w:eastAsia="宋体" w:cs="Mongolian Baiti"/>
                <w:color w:val="000000"/>
              </w:rPr>
              <w:t>6.国际交流与合作费</w:t>
            </w:r>
          </w:p>
        </w:tc>
        <w:tc>
          <w:tcPr>
            <w:tcW w:w="831" w:type="pct"/>
            <w:vAlign w:val="center"/>
          </w:tcPr>
          <w:p w14:paraId="6DECE1E6">
            <w:pPr>
              <w:jc w:val="center"/>
              <w:rPr>
                <w:rFonts w:ascii="Calibri" w:hAnsi="Calibri" w:eastAsia="宋体" w:cs="Mongolian Baiti"/>
                <w:color w:val="000000"/>
              </w:rPr>
            </w:pPr>
          </w:p>
        </w:tc>
        <w:tc>
          <w:tcPr>
            <w:tcW w:w="920" w:type="pct"/>
            <w:vAlign w:val="center"/>
          </w:tcPr>
          <w:p w14:paraId="44E9B05B">
            <w:pPr>
              <w:jc w:val="center"/>
              <w:rPr>
                <w:rFonts w:ascii="Calibri" w:hAnsi="Calibri" w:eastAsia="宋体" w:cs="Mongolian Baiti"/>
                <w:color w:val="000000"/>
              </w:rPr>
            </w:pPr>
          </w:p>
        </w:tc>
        <w:tc>
          <w:tcPr>
            <w:tcW w:w="921" w:type="pct"/>
            <w:vAlign w:val="center"/>
          </w:tcPr>
          <w:p w14:paraId="583331BE">
            <w:pPr>
              <w:jc w:val="center"/>
              <w:rPr>
                <w:rFonts w:ascii="Calibri" w:hAnsi="Calibri" w:eastAsia="宋体" w:cs="Mongolian Baiti"/>
                <w:color w:val="000000"/>
              </w:rPr>
            </w:pPr>
          </w:p>
        </w:tc>
      </w:tr>
      <w:tr w14:paraId="2137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6D5BD4DA">
            <w:pPr>
              <w:ind w:left="-124" w:firstLine="124"/>
              <w:jc w:val="center"/>
              <w:rPr>
                <w:rFonts w:ascii="Calibri" w:hAnsi="Calibri" w:eastAsia="宋体" w:cs="Mongolian Baiti"/>
                <w:color w:val="000000"/>
              </w:rPr>
            </w:pPr>
            <w:r>
              <w:rPr>
                <w:rFonts w:hint="eastAsia" w:ascii="Calibri" w:hAnsi="Calibri" w:eastAsia="宋体" w:cs="Mongolian Baiti"/>
                <w:color w:val="000000"/>
              </w:rPr>
              <w:t>8</w:t>
            </w:r>
          </w:p>
        </w:tc>
        <w:tc>
          <w:tcPr>
            <w:tcW w:w="1895" w:type="pct"/>
            <w:vAlign w:val="center"/>
          </w:tcPr>
          <w:p w14:paraId="7F48EE68">
            <w:pPr>
              <w:rPr>
                <w:rFonts w:ascii="Calibri" w:hAnsi="Calibri" w:eastAsia="宋体" w:cs="Mongolian Baiti"/>
                <w:color w:val="000000"/>
              </w:rPr>
            </w:pPr>
            <w:r>
              <w:rPr>
                <w:rFonts w:hint="eastAsia" w:ascii="Calibri" w:hAnsi="Calibri" w:eastAsia="宋体" w:cs="Mongolian Baiti"/>
                <w:color w:val="000000"/>
              </w:rPr>
              <w:t>7.出版/文献/知识产权费</w:t>
            </w:r>
          </w:p>
        </w:tc>
        <w:tc>
          <w:tcPr>
            <w:tcW w:w="831" w:type="pct"/>
            <w:vAlign w:val="center"/>
          </w:tcPr>
          <w:p w14:paraId="35075B19">
            <w:pPr>
              <w:jc w:val="center"/>
              <w:rPr>
                <w:rFonts w:ascii="Calibri" w:hAnsi="Calibri" w:eastAsia="宋体" w:cs="Mongolian Baiti"/>
                <w:color w:val="000000"/>
              </w:rPr>
            </w:pPr>
          </w:p>
        </w:tc>
        <w:tc>
          <w:tcPr>
            <w:tcW w:w="920" w:type="pct"/>
            <w:vAlign w:val="center"/>
          </w:tcPr>
          <w:p w14:paraId="3FDE525E">
            <w:pPr>
              <w:jc w:val="center"/>
              <w:rPr>
                <w:rFonts w:ascii="Calibri" w:hAnsi="Calibri" w:eastAsia="宋体" w:cs="Mongolian Baiti"/>
                <w:color w:val="000000"/>
              </w:rPr>
            </w:pPr>
          </w:p>
        </w:tc>
        <w:tc>
          <w:tcPr>
            <w:tcW w:w="921" w:type="pct"/>
            <w:vAlign w:val="center"/>
          </w:tcPr>
          <w:p w14:paraId="460060F9">
            <w:pPr>
              <w:jc w:val="center"/>
              <w:rPr>
                <w:rFonts w:ascii="Calibri" w:hAnsi="Calibri" w:eastAsia="宋体" w:cs="Mongolian Baiti"/>
                <w:color w:val="000000"/>
              </w:rPr>
            </w:pPr>
          </w:p>
        </w:tc>
      </w:tr>
      <w:tr w14:paraId="5A99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2A3AEFA8">
            <w:pPr>
              <w:jc w:val="center"/>
              <w:rPr>
                <w:rFonts w:ascii="Calibri" w:hAnsi="Calibri" w:eastAsia="宋体" w:cs="Mongolian Baiti"/>
                <w:color w:val="000000"/>
              </w:rPr>
            </w:pPr>
            <w:r>
              <w:rPr>
                <w:rFonts w:hint="eastAsia" w:ascii="Calibri" w:hAnsi="Calibri" w:eastAsia="宋体" w:cs="Mongolian Baiti"/>
                <w:color w:val="000000"/>
              </w:rPr>
              <w:t>9</w:t>
            </w:r>
          </w:p>
        </w:tc>
        <w:tc>
          <w:tcPr>
            <w:tcW w:w="1895" w:type="pct"/>
            <w:vAlign w:val="center"/>
          </w:tcPr>
          <w:p w14:paraId="13168527">
            <w:pPr>
              <w:rPr>
                <w:rFonts w:ascii="Calibri" w:hAnsi="Calibri" w:eastAsia="宋体" w:cs="Mongolian Baiti"/>
                <w:b/>
                <w:color w:val="000000"/>
                <w:sz w:val="24"/>
              </w:rPr>
            </w:pPr>
            <w:r>
              <w:rPr>
                <w:rFonts w:hint="eastAsia" w:ascii="Calibri" w:hAnsi="Calibri" w:eastAsia="宋体" w:cs="Mongolian Baiti"/>
                <w:color w:val="000000"/>
              </w:rPr>
              <w:t>8.专家咨询费</w:t>
            </w:r>
          </w:p>
        </w:tc>
        <w:tc>
          <w:tcPr>
            <w:tcW w:w="831" w:type="pct"/>
            <w:vAlign w:val="center"/>
          </w:tcPr>
          <w:p w14:paraId="78A81823">
            <w:pPr>
              <w:jc w:val="center"/>
              <w:rPr>
                <w:rFonts w:ascii="Calibri" w:hAnsi="Calibri" w:eastAsia="宋体" w:cs="Mongolian Baiti"/>
                <w:color w:val="000000"/>
              </w:rPr>
            </w:pPr>
          </w:p>
        </w:tc>
        <w:tc>
          <w:tcPr>
            <w:tcW w:w="920" w:type="pct"/>
            <w:vAlign w:val="center"/>
          </w:tcPr>
          <w:p w14:paraId="7B9F0420">
            <w:pPr>
              <w:jc w:val="center"/>
              <w:rPr>
                <w:rFonts w:ascii="Calibri" w:hAnsi="Calibri" w:eastAsia="宋体" w:cs="Mongolian Baiti"/>
                <w:color w:val="000000"/>
              </w:rPr>
            </w:pPr>
          </w:p>
        </w:tc>
        <w:tc>
          <w:tcPr>
            <w:tcW w:w="921" w:type="pct"/>
            <w:vAlign w:val="center"/>
          </w:tcPr>
          <w:p w14:paraId="2858E963">
            <w:pPr>
              <w:jc w:val="center"/>
              <w:rPr>
                <w:rFonts w:ascii="Calibri" w:hAnsi="Calibri" w:eastAsia="宋体" w:cs="Mongolian Baiti"/>
                <w:color w:val="000000"/>
              </w:rPr>
            </w:pPr>
          </w:p>
        </w:tc>
      </w:tr>
      <w:tr w14:paraId="2614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68EA6B70">
            <w:pPr>
              <w:jc w:val="center"/>
              <w:rPr>
                <w:rFonts w:ascii="Calibri" w:hAnsi="Calibri" w:eastAsia="宋体" w:cs="Mongolian Baiti"/>
                <w:color w:val="000000"/>
              </w:rPr>
            </w:pPr>
            <w:r>
              <w:rPr>
                <w:rFonts w:hint="eastAsia" w:ascii="Calibri" w:hAnsi="Calibri" w:eastAsia="宋体" w:cs="Mongolian Baiti"/>
                <w:color w:val="000000"/>
              </w:rPr>
              <w:t>10</w:t>
            </w:r>
          </w:p>
        </w:tc>
        <w:tc>
          <w:tcPr>
            <w:tcW w:w="1895" w:type="pct"/>
            <w:vAlign w:val="center"/>
          </w:tcPr>
          <w:p w14:paraId="33A871B3">
            <w:pPr>
              <w:rPr>
                <w:rFonts w:ascii="Calibri" w:hAnsi="Calibri" w:eastAsia="宋体" w:cs="Mongolian Baiti"/>
                <w:b/>
                <w:color w:val="000000"/>
                <w:sz w:val="24"/>
              </w:rPr>
            </w:pPr>
            <w:r>
              <w:rPr>
                <w:rFonts w:hint="eastAsia" w:ascii="Calibri" w:hAnsi="Calibri" w:eastAsia="宋体" w:cs="Mongolian Baiti"/>
                <w:color w:val="000000"/>
              </w:rPr>
              <w:t>9.劳务费</w:t>
            </w:r>
          </w:p>
        </w:tc>
        <w:tc>
          <w:tcPr>
            <w:tcW w:w="831" w:type="pct"/>
            <w:vAlign w:val="center"/>
          </w:tcPr>
          <w:p w14:paraId="77D81E98">
            <w:pPr>
              <w:jc w:val="center"/>
              <w:rPr>
                <w:rFonts w:ascii="Calibri" w:hAnsi="Calibri" w:eastAsia="宋体" w:cs="Mongolian Baiti"/>
                <w:color w:val="000000"/>
              </w:rPr>
            </w:pPr>
          </w:p>
        </w:tc>
        <w:tc>
          <w:tcPr>
            <w:tcW w:w="920" w:type="pct"/>
            <w:vAlign w:val="center"/>
          </w:tcPr>
          <w:p w14:paraId="1A9CB2A9">
            <w:pPr>
              <w:jc w:val="center"/>
              <w:rPr>
                <w:rFonts w:ascii="Calibri" w:hAnsi="Calibri" w:eastAsia="宋体" w:cs="Mongolian Baiti"/>
                <w:color w:val="000000"/>
              </w:rPr>
            </w:pPr>
          </w:p>
        </w:tc>
        <w:tc>
          <w:tcPr>
            <w:tcW w:w="921" w:type="pct"/>
            <w:vAlign w:val="center"/>
          </w:tcPr>
          <w:p w14:paraId="4DF464F8">
            <w:pPr>
              <w:jc w:val="center"/>
              <w:rPr>
                <w:rFonts w:ascii="Calibri" w:hAnsi="Calibri" w:eastAsia="宋体" w:cs="Mongolian Baiti"/>
                <w:color w:val="000000"/>
              </w:rPr>
            </w:pPr>
          </w:p>
        </w:tc>
      </w:tr>
      <w:tr w14:paraId="6FD1F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007ED8E8">
            <w:pPr>
              <w:jc w:val="center"/>
              <w:rPr>
                <w:rFonts w:ascii="Calibri" w:hAnsi="Calibri" w:eastAsia="宋体" w:cs="Mongolian Baiti"/>
                <w:color w:val="000000"/>
              </w:rPr>
            </w:pPr>
            <w:r>
              <w:rPr>
                <w:rFonts w:hint="eastAsia" w:ascii="Calibri" w:hAnsi="Calibri" w:eastAsia="宋体" w:cs="Mongolian Baiti"/>
                <w:color w:val="000000"/>
              </w:rPr>
              <w:t>11</w:t>
            </w:r>
          </w:p>
        </w:tc>
        <w:tc>
          <w:tcPr>
            <w:tcW w:w="1895" w:type="pct"/>
            <w:vAlign w:val="center"/>
          </w:tcPr>
          <w:p w14:paraId="2B90CB98">
            <w:pPr>
              <w:rPr>
                <w:rFonts w:ascii="Calibri" w:hAnsi="Calibri" w:eastAsia="宋体" w:cs="Mongolian Baiti"/>
                <w:color w:val="000000"/>
              </w:rPr>
            </w:pPr>
            <w:r>
              <w:rPr>
                <w:rFonts w:hint="eastAsia" w:ascii="Calibri" w:hAnsi="Calibri" w:eastAsia="宋体" w:cs="Mongolian Baiti"/>
                <w:b/>
                <w:color w:val="000000"/>
                <w:sz w:val="24"/>
              </w:rPr>
              <w:t>(二) 人工费</w:t>
            </w:r>
          </w:p>
        </w:tc>
        <w:tc>
          <w:tcPr>
            <w:tcW w:w="831" w:type="pct"/>
            <w:vAlign w:val="center"/>
          </w:tcPr>
          <w:p w14:paraId="0FD0F847">
            <w:pPr>
              <w:jc w:val="center"/>
              <w:rPr>
                <w:rFonts w:ascii="Calibri" w:hAnsi="Calibri" w:eastAsia="宋体" w:cs="Mongolian Baiti"/>
                <w:color w:val="000000"/>
              </w:rPr>
            </w:pPr>
          </w:p>
        </w:tc>
        <w:tc>
          <w:tcPr>
            <w:tcW w:w="920" w:type="pct"/>
            <w:vAlign w:val="center"/>
          </w:tcPr>
          <w:p w14:paraId="53A28945">
            <w:pPr>
              <w:jc w:val="center"/>
              <w:rPr>
                <w:rFonts w:ascii="Calibri" w:hAnsi="Calibri" w:eastAsia="宋体" w:cs="Mongolian Baiti"/>
                <w:color w:val="000000"/>
              </w:rPr>
            </w:pPr>
          </w:p>
        </w:tc>
        <w:tc>
          <w:tcPr>
            <w:tcW w:w="921" w:type="pct"/>
            <w:vAlign w:val="center"/>
          </w:tcPr>
          <w:p w14:paraId="0CAD61AA">
            <w:pPr>
              <w:jc w:val="center"/>
              <w:rPr>
                <w:rFonts w:ascii="Calibri" w:hAnsi="Calibri" w:eastAsia="宋体" w:cs="Mongolian Baiti"/>
                <w:color w:val="000000"/>
              </w:rPr>
            </w:pPr>
          </w:p>
        </w:tc>
      </w:tr>
      <w:tr w14:paraId="1109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687C4A9A">
            <w:pPr>
              <w:jc w:val="center"/>
              <w:rPr>
                <w:rFonts w:ascii="Calibri" w:hAnsi="Calibri" w:eastAsia="宋体" w:cs="Mongolian Baiti"/>
                <w:b/>
                <w:color w:val="000000"/>
                <w:sz w:val="24"/>
              </w:rPr>
            </w:pPr>
            <w:r>
              <w:rPr>
                <w:rFonts w:hint="eastAsia" w:ascii="Calibri" w:hAnsi="Calibri" w:eastAsia="宋体" w:cs="Mongolian Baiti"/>
                <w:color w:val="000000"/>
              </w:rPr>
              <w:t>12</w:t>
            </w:r>
          </w:p>
        </w:tc>
        <w:tc>
          <w:tcPr>
            <w:tcW w:w="1895" w:type="pct"/>
            <w:vAlign w:val="center"/>
          </w:tcPr>
          <w:p w14:paraId="1D225096">
            <w:pPr>
              <w:rPr>
                <w:rFonts w:ascii="Calibri" w:hAnsi="Calibri" w:eastAsia="宋体" w:cs="Mongolian Baiti"/>
                <w:color w:val="000000"/>
              </w:rPr>
            </w:pPr>
            <w:r>
              <w:rPr>
                <w:rFonts w:hint="eastAsia" w:ascii="Calibri" w:hAnsi="Calibri" w:eastAsia="宋体" w:cs="Mongolian Baiti"/>
                <w:color w:val="000000"/>
              </w:rPr>
              <w:t>1.研究人员费</w:t>
            </w:r>
          </w:p>
        </w:tc>
        <w:tc>
          <w:tcPr>
            <w:tcW w:w="831" w:type="pct"/>
            <w:vAlign w:val="center"/>
          </w:tcPr>
          <w:p w14:paraId="3420D38C">
            <w:pPr>
              <w:jc w:val="center"/>
              <w:rPr>
                <w:rFonts w:ascii="Calibri" w:hAnsi="Calibri" w:eastAsia="宋体" w:cs="Mongolian Baiti"/>
                <w:color w:val="000000"/>
              </w:rPr>
            </w:pPr>
          </w:p>
        </w:tc>
        <w:tc>
          <w:tcPr>
            <w:tcW w:w="920" w:type="pct"/>
            <w:vAlign w:val="center"/>
          </w:tcPr>
          <w:p w14:paraId="35B0D8AB">
            <w:pPr>
              <w:jc w:val="center"/>
              <w:rPr>
                <w:rFonts w:ascii="Calibri" w:hAnsi="Calibri" w:eastAsia="宋体" w:cs="Mongolian Baiti"/>
                <w:color w:val="000000"/>
              </w:rPr>
            </w:pPr>
          </w:p>
        </w:tc>
        <w:tc>
          <w:tcPr>
            <w:tcW w:w="921" w:type="pct"/>
            <w:vAlign w:val="center"/>
          </w:tcPr>
          <w:p w14:paraId="0D550F96">
            <w:pPr>
              <w:jc w:val="center"/>
              <w:rPr>
                <w:rFonts w:ascii="Calibri" w:hAnsi="Calibri" w:eastAsia="宋体" w:cs="Mongolian Baiti"/>
                <w:color w:val="000000"/>
              </w:rPr>
            </w:pPr>
          </w:p>
        </w:tc>
      </w:tr>
      <w:tr w14:paraId="6F12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430" w:type="pct"/>
            <w:vAlign w:val="center"/>
          </w:tcPr>
          <w:p w14:paraId="7F106412">
            <w:pPr>
              <w:jc w:val="center"/>
              <w:rPr>
                <w:rFonts w:ascii="Calibri" w:hAnsi="Calibri" w:eastAsia="宋体" w:cs="Mongolian Baiti"/>
                <w:color w:val="000000"/>
              </w:rPr>
            </w:pPr>
            <w:r>
              <w:rPr>
                <w:rFonts w:hint="eastAsia" w:ascii="Calibri" w:hAnsi="Calibri" w:eastAsia="宋体" w:cs="Mongolian Baiti"/>
                <w:color w:val="000000"/>
              </w:rPr>
              <w:t>13</w:t>
            </w:r>
          </w:p>
        </w:tc>
        <w:tc>
          <w:tcPr>
            <w:tcW w:w="1895" w:type="pct"/>
            <w:vAlign w:val="center"/>
          </w:tcPr>
          <w:p w14:paraId="07D2B646">
            <w:pPr>
              <w:jc w:val="right"/>
              <w:rPr>
                <w:rFonts w:ascii="Calibri" w:hAnsi="Calibri" w:eastAsia="宋体" w:cs="Mongolian Baiti"/>
                <w:b/>
                <w:color w:val="000000"/>
                <w:sz w:val="24"/>
              </w:rPr>
            </w:pPr>
            <w:r>
              <w:rPr>
                <w:rFonts w:ascii="Calibri" w:hAnsi="Calibri" w:eastAsia="宋体" w:cs="Mongolian Baiti"/>
                <w:b/>
                <w:color w:val="000000"/>
                <w:sz w:val="24"/>
                <w:szCs w:val="24"/>
              </w:rPr>
              <w:t>合</w:t>
            </w:r>
            <w:r>
              <w:rPr>
                <w:rFonts w:hint="eastAsia" w:ascii="Calibri" w:hAnsi="Calibri" w:eastAsia="宋体" w:cs="Mongolian Baiti"/>
                <w:b/>
                <w:color w:val="000000"/>
                <w:sz w:val="24"/>
                <w:szCs w:val="24"/>
              </w:rPr>
              <w:t xml:space="preserve"> </w:t>
            </w:r>
            <w:r>
              <w:rPr>
                <w:rFonts w:ascii="Calibri" w:hAnsi="Calibri" w:eastAsia="宋体" w:cs="Mongolian Baiti"/>
                <w:b/>
                <w:color w:val="000000"/>
                <w:sz w:val="24"/>
                <w:szCs w:val="24"/>
              </w:rPr>
              <w:t>计</w:t>
            </w:r>
          </w:p>
        </w:tc>
        <w:tc>
          <w:tcPr>
            <w:tcW w:w="831" w:type="pct"/>
            <w:vAlign w:val="center"/>
          </w:tcPr>
          <w:p>
            <w:pPr>
              <w:spacing w:after="80" w:line="300" w:lineRule="auto"/>
              <w:ind w:firstLine="0"/>
              <w:jc w:val="center"/>
            </w:pPr>
            <w:r>
              <w:rPr>
                <w:rFonts w:ascii="Times New Roman" w:hAnsi="Times New Roman" w:eastAsia="宋体"/>
                <w:b w:val="0"/>
                <w:sz w:val="21"/>
              </w:rPr>
              <w:t>由申报单位核定</w:t>
            </w:r>
          </w:p>
        </w:tc>
        <w:tc>
          <w:tcPr>
            <w:tcW w:w="920" w:type="pct"/>
            <w:vAlign w:val="center"/>
          </w:tcPr>
          <w:p w14:paraId="7E94734D">
            <w:pPr>
              <w:jc w:val="center"/>
              <w:rPr>
                <w:rFonts w:ascii="Calibri" w:hAnsi="Calibri" w:eastAsia="宋体" w:cs="Mongolian Baiti"/>
                <w:color w:val="000000"/>
              </w:rPr>
            </w:pPr>
          </w:p>
        </w:tc>
        <w:tc>
          <w:tcPr>
            <w:tcW w:w="921" w:type="pct"/>
            <w:vAlign w:val="center"/>
          </w:tcPr>
          <w:p w14:paraId="3772BAEA">
            <w:pPr>
              <w:jc w:val="center"/>
              <w:rPr>
                <w:rFonts w:ascii="Calibri" w:hAnsi="Calibri" w:eastAsia="宋体" w:cs="Mongolian Baiti"/>
                <w:color w:val="000000"/>
              </w:rPr>
            </w:pPr>
          </w:p>
        </w:tc>
      </w:tr>
    </w:tbl>
    <w:p w14:paraId="41DC7236">
      <w:pPr>
        <w:rPr>
          <w:rFonts w:ascii="仿宋" w:hAnsi="仿宋" w:eastAsia="仿宋" w:cs="Times New Roman"/>
          <w:sz w:val="30"/>
          <w:szCs w:val="30"/>
        </w:rPr>
      </w:pPr>
    </w:p>
    <w:p w14:paraId="10562C53">
      <w:pPr>
        <w:wordWrap w:val="0"/>
        <w:ind w:right="600" w:firstLine="5250" w:firstLineChars="1750"/>
        <w:rPr>
          <w:rFonts w:ascii="仿宋" w:hAnsi="仿宋" w:eastAsia="仿宋" w:cs="Times New Roman"/>
          <w:sz w:val="30"/>
          <w:szCs w:val="30"/>
        </w:rPr>
      </w:pPr>
    </w:p>
    <w:p w14:paraId="7B34D2BF">
      <w:pPr>
        <w:ind w:left="3969" w:leftChars="1890" w:right="600"/>
        <w:jc w:val="left"/>
        <w:rPr>
          <w:rFonts w:ascii="仿宋" w:hAnsi="仿宋" w:eastAsia="仿宋" w:cs="Times New Roman"/>
          <w:sz w:val="30"/>
          <w:szCs w:val="30"/>
        </w:rPr>
      </w:pPr>
      <w:r>
        <w:rPr>
          <w:rFonts w:hint="eastAsia" w:ascii="仿宋" w:hAnsi="仿宋" w:eastAsia="仿宋" w:cs="Times New Roman"/>
          <w:sz w:val="30"/>
          <w:szCs w:val="30"/>
        </w:rPr>
        <w:t>部门负责人</w:t>
      </w:r>
      <w:r>
        <w:rPr>
          <w:rFonts w:ascii="仿宋" w:hAnsi="仿宋" w:eastAsia="仿宋" w:cs="Times New Roman"/>
          <w:sz w:val="30"/>
          <w:szCs w:val="30"/>
        </w:rPr>
        <w:t>签</w:t>
      </w:r>
      <w:r>
        <w:rPr>
          <w:rFonts w:hint="eastAsia" w:ascii="仿宋" w:hAnsi="仿宋" w:eastAsia="仿宋" w:cs="Times New Roman"/>
          <w:sz w:val="30"/>
          <w:szCs w:val="30"/>
        </w:rPr>
        <w:t>字</w:t>
      </w:r>
      <w:r>
        <w:rPr>
          <w:rFonts w:ascii="仿宋" w:hAnsi="仿宋" w:eastAsia="仿宋" w:cs="Times New Roman"/>
          <w:sz w:val="30"/>
          <w:szCs w:val="30"/>
        </w:rPr>
        <w:t>：</w:t>
      </w:r>
      <w:r>
        <w:rPr>
          <w:rFonts w:hint="eastAsia" w:ascii="仿宋" w:hAnsi="仿宋" w:eastAsia="仿宋" w:cs="Times New Roman"/>
          <w:sz w:val="30"/>
          <w:szCs w:val="30"/>
        </w:rPr>
        <w:t xml:space="preserve">          </w:t>
      </w:r>
    </w:p>
    <w:p w14:paraId="5AFE1FE3">
      <w:pPr>
        <w:ind w:left="3969" w:leftChars="1890" w:right="150"/>
        <w:jc w:val="left"/>
        <w:rPr>
          <w:rFonts w:ascii="仿宋" w:hAnsi="仿宋" w:eastAsia="仿宋" w:cs="Times New Roman"/>
          <w:sz w:val="30"/>
          <w:szCs w:val="30"/>
        </w:rPr>
      </w:pPr>
      <w:r>
        <w:rPr>
          <w:rFonts w:hint="eastAsia" w:ascii="仿宋" w:hAnsi="仿宋" w:eastAsia="仿宋" w:cs="Times New Roman"/>
          <w:sz w:val="30"/>
          <w:szCs w:val="30"/>
        </w:rPr>
        <w:t>项目负责人签字:</w:t>
      </w:r>
    </w:p>
    <w:p w14:paraId="0AEC1F2D">
      <w:pPr>
        <w:wordWrap w:val="0"/>
        <w:ind w:left="3969" w:leftChars="1890" w:right="600"/>
        <w:jc w:val="left"/>
      </w:pPr>
      <w:r>
        <w:rPr>
          <w:rFonts w:hint="eastAsia" w:ascii="仿宋" w:hAnsi="仿宋" w:eastAsia="仿宋" w:cs="Times New Roman"/>
          <w:sz w:val="30"/>
          <w:szCs w:val="30"/>
        </w:rPr>
        <w:t>年   月   日</w:t>
      </w:r>
    </w:p>
    <w:p>
      <w:r>
        <w:br w:type="page"/>
      </w:r>
    </w:p>
    <w:p>
      <w:pPr>
        <w:spacing w:after="80" w:line="300" w:lineRule="auto"/>
        <w:ind w:firstLine="0"/>
        <w:jc w:val="center"/>
      </w:pPr>
      <w:r>
        <w:rPr>
          <w:rFonts w:ascii="Times New Roman" w:hAnsi="Times New Roman" w:eastAsia="宋体"/>
          <w:b/>
          <w:sz w:val="32"/>
        </w:rPr>
        <w:t>附图：技术路线与已有验证示例</w:t>
      </w:r>
    </w:p>
    <w:p>
      <w:pPr>
        <w:spacing w:after="80" w:line="300" w:lineRule="auto"/>
        <w:ind w:firstLine="420"/>
        <w:jc w:val="left"/>
      </w:pPr>
      <w:r>
        <w:rPr>
          <w:rFonts w:ascii="Times New Roman" w:hAnsi="Times New Roman" w:eastAsia="宋体"/>
          <w:b w:val="0"/>
          <w:sz w:val="21"/>
        </w:rPr>
        <w:t>本附图置于申报书正文之后。海淀区图件仅用于展示玄女现有月度嵌入与专题制图能力，不限定本项目后续实施区域，也不构成生态服务实物量或价值量的独立精度结论。</w:t>
      </w:r>
    </w:p>
    <w:p>
      <w:pPr>
        <w:spacing w:after="80" w:line="300" w:lineRule="auto"/>
        <w:ind w:firstLine="0"/>
        <w:jc w:val="left"/>
      </w:pPr>
      <w:r>
        <w:rPr>
          <w:rFonts w:ascii="Times New Roman" w:hAnsi="Times New Roman" w:eastAsia="宋体"/>
          <w:b/>
          <w:sz w:val="24"/>
        </w:rPr>
        <w:t>附图一 技术路线</w:t>
      </w:r>
    </w:p>
    <w:tbl>
      <w:tblPr>
        <w:tblW w:type="auto" w:w="0"/>
        <w:tblLayout w:type="fixed"/>
        <w:tblLook w:firstColumn="1" w:firstRow="1" w:lastColumn="0" w:lastRow="0" w:noHBand="0" w:noVBand="1" w:val="04A0"/>
      </w:tblPr>
      <w:tblGrid>
        <w:gridCol w:w="1769"/>
        <w:gridCol w:w="1769"/>
        <w:gridCol w:w="1769"/>
        <w:gridCol w:w="1769"/>
        <w:gridCol w:w="1769"/>
      </w:tblGrid>
      <w:tr>
        <w:tc>
          <w:tcPr>
            <w:tcW w:type="dxa" w:w="1701"/>
            <w:shd w:fill="F2F2F2"/>
          </w:tcPr>
          <w:p>
            <w:pPr>
              <w:spacing w:after="0"/>
              <w:jc w:val="center"/>
            </w:pPr>
            <w:r/>
            <w:r>
              <w:rPr>
                <w:rFonts w:ascii="Times New Roman" w:hAnsi="Times New Roman" w:eastAsia="宋体"/>
                <w:b/>
                <w:sz w:val="18"/>
              </w:rPr>
              <w:t>多源遥感与</w:t>
            </w:r>
            <w:r>
              <w:br/>
            </w:r>
            <w:r>
              <w:rPr>
                <w:rFonts w:ascii="Times New Roman" w:hAnsi="Times New Roman" w:eastAsia="宋体"/>
                <w:b/>
                <w:sz w:val="18"/>
              </w:rPr>
              <w:t>生态辅助数据</w:t>
            </w:r>
          </w:p>
        </w:tc>
        <w:tc>
          <w:tcPr>
            <w:tcW w:type="dxa" w:w="1701"/>
            <w:shd w:fill="F2F2F2"/>
          </w:tcPr>
          <w:p>
            <w:pPr>
              <w:spacing w:after="0"/>
              <w:jc w:val="center"/>
            </w:pPr>
            <w:r/>
            <w:r>
              <w:rPr>
                <w:rFonts w:ascii="Times New Roman" w:hAnsi="Times New Roman" w:eastAsia="宋体"/>
                <w:b/>
                <w:sz w:val="18"/>
              </w:rPr>
              <w:t>质量控制与</w:t>
            </w:r>
            <w:r>
              <w:br/>
            </w:r>
            <w:r>
              <w:rPr>
                <w:rFonts w:ascii="Times New Roman" w:hAnsi="Times New Roman" w:eastAsia="宋体"/>
                <w:b/>
                <w:sz w:val="18"/>
              </w:rPr>
              <w:t>空间对齐</w:t>
            </w:r>
          </w:p>
        </w:tc>
        <w:tc>
          <w:tcPr>
            <w:tcW w:type="dxa" w:w="1701"/>
            <w:shd w:fill="F2F2F2"/>
          </w:tcPr>
          <w:p>
            <w:pPr>
              <w:spacing w:after="0"/>
              <w:jc w:val="center"/>
            </w:pPr>
            <w:r/>
            <w:r>
              <w:rPr>
                <w:rFonts w:ascii="Times New Roman" w:hAnsi="Times New Roman" w:eastAsia="宋体"/>
                <w:b/>
                <w:sz w:val="18"/>
              </w:rPr>
              <w:t>月度地表状态</w:t>
            </w:r>
            <w:r>
              <w:br/>
            </w:r>
            <w:r>
              <w:rPr>
                <w:rFonts w:ascii="Times New Roman" w:hAnsi="Times New Roman" w:eastAsia="宋体"/>
                <w:b/>
                <w:sz w:val="18"/>
              </w:rPr>
              <w:t>嵌入产品</w:t>
            </w:r>
          </w:p>
        </w:tc>
        <w:tc>
          <w:tcPr>
            <w:tcW w:type="dxa" w:w="1701"/>
            <w:shd w:fill="F2F2F2"/>
          </w:tcPr>
          <w:p>
            <w:pPr>
              <w:spacing w:after="0"/>
              <w:jc w:val="center"/>
            </w:pPr>
            <w:r/>
            <w:r>
              <w:rPr>
                <w:rFonts w:ascii="Times New Roman" w:hAnsi="Times New Roman" w:eastAsia="宋体"/>
                <w:b/>
                <w:sz w:val="18"/>
              </w:rPr>
              <w:t>专题模型、过程单元</w:t>
            </w:r>
            <w:r>
              <w:br/>
            </w:r>
            <w:r>
              <w:rPr>
                <w:rFonts w:ascii="Times New Roman" w:hAnsi="Times New Roman" w:eastAsia="宋体"/>
                <w:b/>
                <w:sz w:val="18"/>
              </w:rPr>
              <w:t>与独立验证</w:t>
            </w:r>
          </w:p>
        </w:tc>
        <w:tc>
          <w:tcPr>
            <w:tcW w:type="dxa" w:w="1701"/>
            <w:shd w:fill="F2F2F2"/>
          </w:tcPr>
          <w:p>
            <w:pPr>
              <w:spacing w:after="0"/>
              <w:jc w:val="center"/>
            </w:pPr>
            <w:r/>
            <w:r>
              <w:rPr>
                <w:rFonts w:ascii="Times New Roman" w:hAnsi="Times New Roman" w:eastAsia="宋体"/>
                <w:b/>
                <w:sz w:val="18"/>
              </w:rPr>
              <w:t>价值核算、专题图</w:t>
            </w:r>
            <w:r>
              <w:br/>
            </w:r>
            <w:r>
              <w:rPr>
                <w:rFonts w:ascii="Times New Roman" w:hAnsi="Times New Roman" w:eastAsia="宋体"/>
                <w:b/>
                <w:sz w:val="18"/>
              </w:rPr>
              <w:t>与查询工具</w:t>
            </w:r>
          </w:p>
        </w:tc>
      </w:tr>
    </w:tbl>
    <w:p>
      <w:pPr>
        <w:spacing w:after="80" w:line="300" w:lineRule="auto"/>
        <w:ind w:firstLine="420"/>
        <w:jc w:val="left"/>
      </w:pPr>
      <w:r>
        <w:rPr>
          <w:rFonts w:ascii="Times New Roman" w:hAnsi="Times New Roman" w:eastAsia="宋体"/>
          <w:b w:val="0"/>
          <w:sz w:val="21"/>
        </w:rPr>
        <w:t>项目在目标试点区完成多源数据质量控制和时空对齐后，形成月度地表状态嵌入；以生态斑块、子汇水区和绿地影响范围等过程单元接入专题模型与独立验证资料，最后依据标准开展价值量核算、成果复核和工具化交付。</w:t>
      </w:r>
    </w:p>
    <w:p>
      <w:pPr>
        <w:spacing w:after="80" w:line="300" w:lineRule="auto"/>
        <w:ind w:firstLine="0"/>
        <w:jc w:val="left"/>
      </w:pPr>
      <w:r>
        <w:rPr>
          <w:rFonts w:ascii="Times New Roman" w:hAnsi="Times New Roman" w:eastAsia="宋体"/>
          <w:b/>
          <w:sz w:val="24"/>
        </w:rPr>
        <w:t>附图二 海淀区月度嵌入 PCA 可视化示例</w:t>
      </w:r>
    </w:p>
    <w:p>
      <w:pPr>
        <w:spacing w:after="40"/>
        <w:jc w:val="center"/>
      </w:pPr>
      <w:r>
        <w:drawing>
          <wp:inline xmlns:a="http://schemas.openxmlformats.org/drawingml/2006/main" xmlns:pic="http://schemas.openxmlformats.org/drawingml/2006/picture">
            <wp:extent cx="5328000" cy="5328000"/>
            <wp:docPr id="1" name="Picture 1"/>
            <wp:cNvGraphicFramePr>
              <a:graphicFrameLocks noChangeAspect="1"/>
            </wp:cNvGraphicFramePr>
            <a:graphic>
              <a:graphicData uri="http://schemas.openxmlformats.org/drawingml/2006/picture">
                <pic:pic>
                  <pic:nvPicPr>
                    <pic:cNvPr id="0" name="haidian_embedding_pca_202604.png"/>
                    <pic:cNvPicPr/>
                  </pic:nvPicPr>
                  <pic:blipFill>
                    <a:blip r:embed="rId4"/>
                    <a:stretch>
                      <a:fillRect/>
                    </a:stretch>
                  </pic:blipFill>
                  <pic:spPr>
                    <a:xfrm>
                      <a:off x="0" y="0"/>
                      <a:ext cx="5328000" cy="5328000"/>
                    </a:xfrm>
                    <a:prstGeom prst="rect"/>
                  </pic:spPr>
                </pic:pic>
              </a:graphicData>
            </a:graphic>
          </wp:inline>
        </w:drawing>
      </w:r>
    </w:p>
    <w:p>
      <w:pPr>
        <w:spacing w:after="80" w:line="300" w:lineRule="auto"/>
        <w:ind w:firstLine="0"/>
        <w:jc w:val="center"/>
      </w:pPr>
      <w:r>
        <w:rPr>
          <w:rFonts w:ascii="Times New Roman" w:hAnsi="Times New Roman" w:eastAsia="宋体"/>
          <w:b w:val="0"/>
          <w:sz w:val="18"/>
        </w:rPr>
        <w:t>图1 海淀区2026年4月月度嵌入 PCA 可视化。颜色为64维嵌入的前三主成分组合，用于展示空间连续性和地表差异，不代表生态类别或价值量。</w:t>
      </w:r>
    </w:p>
    <w:p>
      <w:pPr>
        <w:spacing w:after="80" w:line="300" w:lineRule="auto"/>
        <w:ind w:firstLine="0"/>
        <w:jc w:val="left"/>
      </w:pPr>
      <w:r>
        <w:rPr>
          <w:rFonts w:ascii="Times New Roman" w:hAnsi="Times New Roman" w:eastAsia="宋体"/>
          <w:b/>
          <w:sz w:val="24"/>
        </w:rPr>
        <w:t>附图三 海淀区公园/绿地少样本专题制图示例</w:t>
      </w:r>
    </w:p>
    <w:p>
      <w:pPr>
        <w:spacing w:after="40"/>
        <w:jc w:val="center"/>
      </w:pPr>
      <w:r>
        <w:drawing>
          <wp:inline xmlns:a="http://schemas.openxmlformats.org/drawingml/2006/main" xmlns:pic="http://schemas.openxmlformats.org/drawingml/2006/picture">
            <wp:extent cx="5400000" cy="2264311"/>
            <wp:docPr id="2" name="Picture 2"/>
            <wp:cNvGraphicFramePr>
              <a:graphicFrameLocks noChangeAspect="1"/>
            </wp:cNvGraphicFramePr>
            <a:graphic>
              <a:graphicData uri="http://schemas.openxmlformats.org/drawingml/2006/picture">
                <pic:pic>
                  <pic:nvPicPr>
                    <pic:cNvPr id="0" name="haidian_park_green_fewshot_50.png"/>
                    <pic:cNvPicPr/>
                  </pic:nvPicPr>
                  <pic:blipFill>
                    <a:blip r:embed="rId7"/>
                    <a:stretch>
                      <a:fillRect/>
                    </a:stretch>
                  </pic:blipFill>
                  <pic:spPr>
                    <a:xfrm>
                      <a:off x="0" y="0"/>
                      <a:ext cx="5400000" cy="2264311"/>
                    </a:xfrm>
                    <a:prstGeom prst="rect"/>
                  </pic:spPr>
                </pic:pic>
              </a:graphicData>
            </a:graphic>
          </wp:inline>
        </w:drawing>
      </w:r>
    </w:p>
    <w:p>
      <w:pPr>
        <w:spacing w:after="80" w:line="300" w:lineRule="auto"/>
        <w:ind w:firstLine="0"/>
        <w:jc w:val="center"/>
      </w:pPr>
      <w:r>
        <w:rPr>
          <w:rFonts w:ascii="Times New Roman" w:hAnsi="Times New Roman" w:eastAsia="宋体"/>
          <w:b w:val="0"/>
          <w:sz w:val="18"/>
        </w:rPr>
        <w:t>图2 海淀区公园/绿地50样本专题制图示例。左：OSM弱标签；中：玄女嵌入加轻量分类器；右：传统多源影像加同类分类器。红色越深表示目标类别概率越高，白色为背景。</w:t>
      </w:r>
    </w:p>
    <w:p>
      <w:pPr>
        <w:spacing w:after="80" w:line="300" w:lineRule="auto"/>
        <w:ind w:firstLine="0"/>
        <w:jc w:val="left"/>
      </w:pPr>
      <w:r>
        <w:rPr>
          <w:rFonts w:ascii="Times New Roman" w:hAnsi="Times New Roman" w:eastAsia="宋体"/>
          <w:b/>
          <w:sz w:val="24"/>
        </w:rPr>
        <w:t>附图四 海淀区土地利用/覆盖专题制图示例</w:t>
      </w:r>
    </w:p>
    <w:p>
      <w:pPr>
        <w:spacing w:after="40"/>
        <w:jc w:val="center"/>
      </w:pPr>
      <w:r>
        <w:drawing>
          <wp:inline xmlns:a="http://schemas.openxmlformats.org/drawingml/2006/main" xmlns:pic="http://schemas.openxmlformats.org/drawingml/2006/picture">
            <wp:extent cx="5328000" cy="5452875"/>
            <wp:docPr id="3" name="Picture 3"/>
            <wp:cNvGraphicFramePr>
              <a:graphicFrameLocks noChangeAspect="1"/>
            </wp:cNvGraphicFramePr>
            <a:graphic>
              <a:graphicData uri="http://schemas.openxmlformats.org/drawingml/2006/picture">
                <pic:pic>
                  <pic:nvPicPr>
                    <pic:cNvPr id="0" name="haidian_landuse_example.png"/>
                    <pic:cNvPicPr/>
                  </pic:nvPicPr>
                  <pic:blipFill>
                    <a:blip r:embed="rId8"/>
                    <a:stretch>
                      <a:fillRect/>
                    </a:stretch>
                  </pic:blipFill>
                  <pic:spPr>
                    <a:xfrm>
                      <a:off x="0" y="0"/>
                      <a:ext cx="5328000" cy="5452875"/>
                    </a:xfrm>
                    <a:prstGeom prst="rect"/>
                  </pic:spPr>
                </pic:pic>
              </a:graphicData>
            </a:graphic>
          </wp:inline>
        </w:drawing>
      </w:r>
    </w:p>
    <w:p>
      <w:pPr>
        <w:spacing w:after="80" w:line="300" w:lineRule="auto"/>
        <w:ind w:firstLine="0"/>
        <w:jc w:val="center"/>
      </w:pPr>
      <w:r>
        <w:rPr>
          <w:rFonts w:ascii="Times New Roman" w:hAnsi="Times New Roman" w:eastAsia="宋体"/>
          <w:b w:val="0"/>
          <w:sz w:val="18"/>
        </w:rPr>
        <w:t>图3 海淀区土地利用/覆盖专题制图示例。该示例展示月度嵌入可为生态系统类型划分和面积统计提供空间底图；正式项目需在目标区域采用冻结的类别体系与独立验证数据复核。</w:t>
      </w:r>
    </w:p>
    <w:sectPr>
      <w:pgSz w:w="11906" w:h="16838"/>
      <w:pgMar w:top="2098" w:right="1474" w:bottom="1984" w:left="1587" w:header="851" w:footer="992" w:gutter="0"/>
      <w:cols w:space="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ongolian Baiti">
    <w:panose1 w:val="03000500000000000000"/>
    <w:charset w:val="00"/>
    <w:family w:val="script"/>
    <w:pitch w:val="default"/>
    <w:sig w:usb0="80000023" w:usb1="00000000" w:usb2="00020000" w:usb3="00000000" w:csb0="0000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F1FF7"/>
    <w:multiLevelType w:val="singleLevel"/>
    <w:tmpl w:val="917F1FF7"/>
    <w:lvl w:ilvl="0" w:tentative="0">
      <w:start w:val="1"/>
      <w:numFmt w:val="decimal"/>
      <w:lvlText w:val="%1."/>
      <w:lvlJc w:val="left"/>
      <w:pPr>
        <w:ind w:left="425" w:hanging="425"/>
      </w:pPr>
      <w:rPr>
        <w:rFonts w:hint="default"/>
      </w:rPr>
    </w:lvl>
  </w:abstractNum>
  <w:abstractNum w:abstractNumId="1">
    <w:nsid w:val="A42CAB61"/>
    <w:multiLevelType w:val="singleLevel"/>
    <w:tmpl w:val="A42CAB61"/>
    <w:lvl w:ilvl="0" w:tentative="0">
      <w:start w:val="1"/>
      <w:numFmt w:val="decimal"/>
      <w:lvlText w:val="%1."/>
      <w:lvlJc w:val="left"/>
      <w:pPr>
        <w:ind w:left="425" w:hanging="425"/>
      </w:pPr>
      <w:rPr>
        <w:rFonts w:hint="default"/>
      </w:rPr>
    </w:lvl>
  </w:abstractNum>
  <w:abstractNum w:abstractNumId="2">
    <w:nsid w:val="B3C66DC5"/>
    <w:multiLevelType w:val="singleLevel"/>
    <w:tmpl w:val="B3C66DC5"/>
    <w:lvl w:ilvl="0" w:tentative="0">
      <w:start w:val="1"/>
      <w:numFmt w:val="decimal"/>
      <w:lvlText w:val="%1."/>
      <w:lvlJc w:val="left"/>
      <w:pPr>
        <w:ind w:left="425" w:hanging="425"/>
      </w:pPr>
      <w:rPr>
        <w:rFonts w:hint="default"/>
      </w:rPr>
    </w:lvl>
  </w:abstractNum>
  <w:abstractNum w:abstractNumId="3">
    <w:nsid w:val="0B4516AD"/>
    <w:multiLevelType w:val="multilevel"/>
    <w:tmpl w:val="0B4516AD"/>
    <w:lvl w:ilvl="0" w:tentative="0">
      <w:start w:val="1"/>
      <w:numFmt w:val="japaneseCounting"/>
      <w:lvlText w:val="%1、"/>
      <w:lvlJc w:val="left"/>
      <w:pPr>
        <w:tabs>
          <w:tab w:val="left" w:pos="480"/>
        </w:tabs>
        <w:ind w:left="480" w:hanging="480"/>
      </w:pPr>
      <w:rPr>
        <w:rFonts w:hint="default"/>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4">
    <w:nsid w:val="32D855BF"/>
    <w:multiLevelType w:val="multilevel"/>
    <w:tmpl w:val="32D855BF"/>
    <w:lvl w:ilvl="0" w:tentative="0">
      <w:start w:val="1"/>
      <w:numFmt w:val="japaneseCounting"/>
      <w:lvlText w:val="%1、"/>
      <w:lvlJc w:val="left"/>
      <w:pPr>
        <w:tabs>
          <w:tab w:val="left" w:pos="480"/>
        </w:tabs>
        <w:ind w:left="480" w:hanging="480"/>
      </w:pPr>
      <w:rPr>
        <w:rFonts w:hint="default"/>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5">
    <w:nsid w:val="3521EA1B"/>
    <w:multiLevelType w:val="singleLevel"/>
    <w:tmpl w:val="3521EA1B"/>
    <w:lvl w:ilvl="0" w:tentative="0">
      <w:start w:val="1"/>
      <w:numFmt w:val="decimal"/>
      <w:lvlText w:val="%1."/>
      <w:lvlJc w:val="left"/>
      <w:pPr>
        <w:ind w:left="425" w:hanging="425"/>
      </w:pPr>
      <w:rPr>
        <w:rFonts w:hint="default"/>
      </w:rPr>
    </w:lvl>
  </w:abstractNum>
  <w:abstractNum w:abstractNumId="6">
    <w:nsid w:val="4633234B"/>
    <w:multiLevelType w:val="singleLevel"/>
    <w:tmpl w:val="4633234B"/>
    <w:lvl w:ilvl="0" w:tentative="0">
      <w:start w:val="1"/>
      <w:numFmt w:val="decimal"/>
      <w:lvlText w:val="%1."/>
      <w:lvlJc w:val="left"/>
      <w:pPr>
        <w:ind w:left="425" w:hanging="425"/>
      </w:pPr>
      <w:rPr>
        <w:rFonts w:hint="default"/>
      </w:rPr>
    </w:lvl>
  </w:abstractNum>
  <w:abstractNum w:abstractNumId="7">
    <w:nsid w:val="4AE97CE7"/>
    <w:multiLevelType w:val="singleLevel"/>
    <w:tmpl w:val="4AE97CE7"/>
    <w:lvl w:ilvl="0" w:tentative="0">
      <w:start w:val="1"/>
      <w:numFmt w:val="decimal"/>
      <w:lvlText w:val="(%1)"/>
      <w:lvlJc w:val="left"/>
      <w:pPr>
        <w:ind w:left="425" w:hanging="425"/>
      </w:pPr>
      <w:rPr>
        <w:rFonts w:hint="default"/>
      </w:rPr>
    </w:lvl>
  </w:abstractNum>
  <w:abstractNum w:abstractNumId="8">
    <w:nsid w:val="53592643"/>
    <w:multiLevelType w:val="singleLevel"/>
    <w:tmpl w:val="53592643"/>
    <w:lvl w:ilvl="0" w:tentative="0">
      <w:start w:val="1"/>
      <w:numFmt w:val="decimal"/>
      <w:lvlText w:val="(%1)"/>
      <w:lvlJc w:val="left"/>
      <w:pPr>
        <w:tabs>
          <w:tab w:val="left" w:pos="420"/>
        </w:tabs>
        <w:ind w:left="845" w:hanging="425"/>
      </w:pPr>
      <w:rPr>
        <w:rFonts w:hint="default"/>
      </w:rPr>
    </w:lvl>
  </w:abstractNum>
  <w:abstractNum w:abstractNumId="9">
    <w:nsid w:val="5C5E598C"/>
    <w:multiLevelType w:val="multilevel"/>
    <w:tmpl w:val="5C5E598C"/>
    <w:lvl w:ilvl="0" w:tentative="0">
      <w:start w:val="1"/>
      <w:numFmt w:val="japaneseCounting"/>
      <w:lvlText w:val="%1、"/>
      <w:lvlJc w:val="left"/>
      <w:pPr>
        <w:tabs>
          <w:tab w:val="left" w:pos="480"/>
        </w:tabs>
        <w:ind w:left="480" w:hanging="480"/>
      </w:pPr>
      <w:rPr>
        <w:rFonts w:hint="default"/>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10">
    <w:nsid w:val="672D8208"/>
    <w:multiLevelType w:val="singleLevel"/>
    <w:tmpl w:val="672D8208"/>
    <w:lvl w:ilvl="0" w:tentative="0">
      <w:start w:val="1"/>
      <w:numFmt w:val="decimal"/>
      <w:lvlText w:val="(%1)"/>
      <w:lvlJc w:val="left"/>
      <w:pPr>
        <w:ind w:left="425" w:hanging="425"/>
      </w:pPr>
      <w:rPr>
        <w:rFonts w:hint="default"/>
      </w:rPr>
    </w:lvl>
  </w:abstractNum>
  <w:num w:numId="1">
    <w:abstractNumId w:val="4"/>
  </w:num>
  <w:num w:numId="2">
    <w:abstractNumId w:val="8"/>
  </w:num>
  <w:num w:numId="3">
    <w:abstractNumId w:val="2"/>
  </w:num>
  <w:num w:numId="4">
    <w:abstractNumId w:val="6"/>
  </w:num>
  <w:num w:numId="5">
    <w:abstractNumId w:val="3"/>
  </w:num>
  <w:num w:numId="6">
    <w:abstractNumId w:val="1"/>
  </w:num>
  <w:num w:numId="7">
    <w:abstractNumId w:val="5"/>
  </w:num>
  <w:num w:numId="8">
    <w:abstractNumId w:val="9"/>
  </w:num>
  <w:num w:numId="9">
    <w:abstractNumId w:val="0"/>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221D12"/>
    <w:rsid w:val="006509CE"/>
    <w:rsid w:val="00B4153D"/>
    <w:rsid w:val="04FD4066"/>
    <w:rsid w:val="157F0E5E"/>
    <w:rsid w:val="19917F08"/>
    <w:rsid w:val="1F014566"/>
    <w:rsid w:val="212C5F7B"/>
    <w:rsid w:val="2A827F8B"/>
    <w:rsid w:val="364644CB"/>
    <w:rsid w:val="4256732B"/>
    <w:rsid w:val="4C221D12"/>
    <w:rsid w:val="4D597484"/>
    <w:rsid w:val="4FC878DB"/>
    <w:rsid w:val="512D08AC"/>
    <w:rsid w:val="59140B3F"/>
    <w:rsid w:val="5FA24B1B"/>
    <w:rsid w:val="68CC4702"/>
    <w:rsid w:val="6B3943AD"/>
    <w:rsid w:val="6D2A4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198</Words>
  <Characters>1132</Characters>
  <Lines>9</Lines>
  <Paragraphs>2</Paragraphs>
  <TotalTime>55</TotalTime>
  <ScaleCrop>false</ScaleCrop>
  <LinksUpToDate>false</LinksUpToDate>
  <CharactersWithSpaces>1328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2024-11-18T03:32:00Z</dcterms:created>
  <dc:creator>刘天昊</dc:creator>
  <cp:lastModifiedBy>CAO</cp:lastModifiedBy>
  <dcterms:modified xsi:type="dcterms:W3CDTF">2026-07-28T08:06:11Z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7C97A2052B1B4A7CA6EBE6B0744BDE20</vt:lpwstr>
  </property>
</Properties>
</file>