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附件：基于玄女月度地理嵌入的海淀区生态系统调节服务价值核算技术试点实施与验收说明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附件：基于玄女月度地理嵌入的海淀区生态系统调节服务价值核算技术试点实施与验收说明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数据范围；对每个1,280米×1,280米数据范围输出128×128×64的名义10米等效分析网格。建筑、道路、水体结果使用与预训练开放地图弱语义同源的标签，属于内部制图验证，不作为生态服务或GEP核算精度依据。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构建海淀区10米月度生态证据层和三类调节服务的标准化核算原型，形成从多源数据对齐、嵌入生成、生态服务实物量反演、价值量核算到可追溯核算辅助工具的完整流程。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建成项目覆盖范围内的名义10米等效分析网格月度产品，包括质量掩膜、月度嵌入、生态状态图和数据血缘记录；每个产品均保留时间、来源、空间参考和质量信息。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建成可调用的核算辅助工具。查询结果必须返回数据时间、空间范围、模型版本、参数版本、核算方法和不确定性说明；未完成核算的数据不得生成定量结论。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消融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嵌入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查询与核算工具采用受约束流程：解析问题后调用注册的数据、嵌入、生态模型、标准参数和制图工具，输出专题图、统计表和文字结论，并返回方法、输入版本、适用条件和不确定性。验收冻结不少于100条测试问题清单，逐条记录用例编号、输入、预期行为（计算、拒答或降级）、必调工具、必备字段和审计记录编号；审计字段完整率应为100%，有工具支持的数值结论必须100%附带调用记录，缺失数据问题必须拒答或降级为定性说明。由生态核算责任人抽检不少于20条，在同一冻结输入、参数和舍入规则下复算并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关键技术二：月度地理嵌入与生态服务实物量协同反演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玄女月度地理嵌入与生态状态图 → 服务实物量模型与独立验证 → 标准化价值量核算 → 三类调节服务价值试点汇总、专题图和可追溯核算辅助工具。完整GEP汇总仅作为全部适用科目条件满足后的扩展成果。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地理嵌入作为生态状态证据层，服务于生态系统类型、植被、水体、不透水面和热环境等精细空间表达；同时保持GEP实物量和价值量核算遵循标准与过程模型，不混淆“表征分辨率”和“核算口径”。该项属于应用与工程创新，不把10米嵌入误述为10米原始生态观测。</w:t>
      </w:r>
    </w:p>
    <w:p>
      <w:pPr>
        <w:spacing w:before="160" w:after="80"/>
      </w:pPr>
      <w:r>
        <w:rPr>
          <w:rFonts w:ascii="Times New Roman" w:hAnsi="Times New Roman" w:eastAsia="宋体"/>
          <w:b/>
          <w:sz w:val="24"/>
        </w:rPr>
        <w:t>2. 面向生态过程的可复用嵌入适配方式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基础模型、生态适配器、服务轻量头和过程模型”协同方式。通过与仅使用原始影像、仅使用嵌入轻量头和全监督任务模型的对比分析，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固定如下。生态系统分类总体精度不低于0.80、各基本生态系统类别F1不低于0.60，罕见类别单列样本量与置信区间。固定二氧化碳服务以年度增量、年通量或长期固碳速率为独立验证对象，每类主要生态系统不少于30条独立记录，R²不低于0.50、绝对相对偏差不高于20%。局部气候调节服务以与正式核算路径一致的温湿度或蒸散发资料为独立验证对象，不少于30条独立记录，R²不低于0.50、绝对相对偏差不高于20%。洪水调蓄服务在不少于2个代表性子汇水区开展验证，每个子汇水区不少于5场具有连续过程线的独立降雨事件，事件径流模拟NSE不低于0.50、绝对PBIAS不高于20%，并通过年度水量闭合检查。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数据范围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完成月度生态证据产品包、按目标月匹配的高分融合改造、生态分类与数据台账；研发固定二氧化碳、洪水调蓄和局部气候调节模块，完成原始影像、嵌入和过程模型的对比及空间分块、时间留出验证。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玄女项目长期记忆与生产模型卡：docs/agent_memory/haidian_embedding_project_memory.md；docs/production/haidian_model_card.md。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