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附件：海淀区生态系统调节服务价值核算技术试点实施与验收说明</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附件：海淀区生态系统调节服务价值核算技术试点实施与验收说明</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附件说明海淀区三类调节服务价值试点的实施与验收要求。玄女以1,280米×1,280米范围组织训练，每个数据范围输出128×128×64稠密嵌入，以名义10米等效分析网格表达地表状态；该网格用于面积、覆盖比例和空间分配，不代表10米生态过程观测或过程核算精度。固定二氧化碳、洪水调蓄和局部气候调节的实物量与价值量由国家标准方法、生态过程模型、监测资料、统计资料和价格参数共同核算。</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建立以月度地表状态嵌入为辅助数据、以GB/T 46869—2025核算流程为约束的三类调节服务价值试点。嵌入用于生态系统类型、面积、覆盖比例和参数空间化；生态过程与价值量由专题模型、监测资料、统计资料和参数台账完成核算。</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嵌入基础作为起点。现有生产权重覆盖2025年12月至2026年5月、320个数据范围；对每个1,280米×1,280米数据范围输出128×128×64的名义10米等效分析网格。建筑、道路、水体结果使用与预训练开放地图弱语义同源的标签，属于内部制图验证，不作为生态服务或GEP核算精度依据。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构建海淀区10米月度生态证据层和三类调节服务的标准化核算原型，形成从多源数据对齐、embedding生成、生态服务实物量反演、价值量核算到可信问答的完整流程。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建成项目覆盖范围内的10米月度生态证据产品，包括质量掩膜、月度embedding、生态状态图和数据血缘记录；每个产品均保留时间、来源、空间参考和质量信息。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建成可调用的GEP核算工具链和问答原型。问答结果必须返回数据时间、空间范围、模型版本、参数版本、核算方法和不确定性说明；未完成核算的数据不得生成定量结论。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应形成“服务—实物量定义—主模型—过程单元—校准资料—独立验证资料—数据权属/取得日期—空间与时间代表性—参数来源—缺口处置”矩阵。固碳模块须具有支持年通量、年度增量或长期固碳速率的独立资料；洪水模块须具有同一代表性子汇水区的连续过程线或足够密集事件序列、排水边界和工程设施资料；局部气候模块须具有与正式核算路径一致的温湿度或蒸散发验证资料。未签署变更时，任一核心服务不能完成正式价值试点即判定项目未通过；经项目管理方签署变更后，须同步调整服务范围、成果、指标和经费，不得仍称为三服务价值试点。</w:t>
      </w:r>
    </w:p>
    <w:p>
      <w:pPr>
        <w:spacing w:after="100" w:line="360" w:lineRule="auto"/>
        <w:ind w:firstLine="420"/>
      </w:pPr>
      <w:r>
        <w:rPr>
          <w:rFonts w:ascii="Times New Roman" w:hAnsi="Times New Roman" w:eastAsia="宋体"/>
          <w:b w:val="0"/>
          <w:sz w:val="24"/>
        </w:rPr>
        <w:t>验收时，生态分类使用不少于5个空间分块的独立留出评价，并报告各类别用户精度、生产者精度、面积偏差、边界误差和置信区间；连续变量按服务类型报告R²、MAE、RMSE、偏差、生态系统类型差异和置信区间；洪水模块分别报告事件过程和年度水量闭合。每个产品必须覆盖经批准的基准年，并保留完整的数据血缘字段、缺失值编码、源数据许可、版本保留期和不可复现外部数据处置记录。每项服务均与预先登记的同口径传统基线和统一验证集比较，报告嵌入产品的差异、置信区间和消融结果，不预设必须优于基线的结论。</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embedding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第4章和表3生态系统类型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题模型和外部资料生成的产品，不作为现有生产模型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现有生产模型为初始化底座，保持其多源遥感输入、月度输出、128×128空间网格和64维稠密嵌入能力。模型以六个月时序上下文生成对应月份的嵌入。现有模型已验证范围仅为2025年12月至2026年5月；2026自然年12期产品属于本项目新增数据、时序配置、再训练或适配、导出和独立验证成果。项目启动时需定义月产品的目标月、输入窗口、最短出具滞后、首尾月份处理、有效像元率、最小可用输入组合和降级策略；质量不满足核算要求的区域不进入价值量计算。</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项目启动时冻结“特征—标签—过程驱动”数据契约：训练特征不得同时作为独立验证目标；过程模型驱动使用目标期可获得的数据；训练、验证按空间块、年份和数据源隔离。开放地图数据只作为广义弱语义先验，不作为GEP服务真值。</w:t>
      </w:r>
    </w:p>
    <w:p>
      <w:pPr>
        <w:spacing w:after="100" w:line="360" w:lineRule="auto"/>
        <w:ind w:firstLine="420"/>
      </w:pPr>
      <w:r>
        <w:rPr>
          <w:rFonts w:ascii="Times New Roman" w:hAnsi="Times New Roman" w:eastAsia="宋体"/>
          <w:b w:val="0"/>
          <w:sz w:val="24"/>
        </w:rPr>
        <w:t>现有生产模型导出结果为嵌入及其全局元数据，不直接输出逐数据范围、逐月质量信息或生态状态图；现有高分源采用跨可用时相汇聚后逐月重复融合，不属于目标月同期高分观测。项目拟将单帧高分输入改造为按目标月组织的时序高分输入与掩膜，并重新训练、导出和验证，现有权重不能通过后处理直接获得该能力。项目启动时冻结质量数据字典，区分观测质量与模型不确定性，记录逐源云、阴影、无数据掩膜、获取日期、目标月时间差、可用性、降级原因、重采样方法和月产品有效标志；模型不确定性另行说明计算方法、校准资料和适用范围。</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嵌入只用于状态表达、面积和覆盖比例空间分配，不能把月度状态简单累加为年度实物量。固碳按生态斑块或清查单元、洪水调蓄按子汇水区、局部气候调节按绿地斑块及影响范围计算；嵌入不替代生物量、蒸散发、径流或近地气温观测。</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固碳服务模块。实物量口径为固定二氧化碳量（tCO2/a）。以嵌入产品辅助植被类型、面积和空间分配，不把NPP直接等同于净碳汇。方法按GB/T 46869—2025附录A.7的优先顺序选用：具备相邻年份清查/复测资料时采用生物量法；具备长期本地参数时采用固碳速率法；具备异养呼吸或NPP—NEP转换资料时采用NEP法。各生态系统类型预先锁定一种主核算路径和相应的年度增量、年通量或长期速率独立验证对象；仅验证NPP或生物量时，不发布年度固定二氧化碳价值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洪水调蓄服务模块。正式试点量按照GB/T 46869—2025附录A.6核算植被、库区、湖泊、沼泽和水田等生态系统的洪水调蓄量及价值量，明确暴雨降水、暴雨径流量、生态系统面积和参数来源。城市生态覆盖增量雨洪效益采用子汇水区水量平衡和反事实方法单独分析，维持灰色基础设施不变，管网、泵站、调蓄池等工程容量单列并剥离；该补充结果不与标准核算量相加。年度水量按连续过程线或具代表性的事件序列计算并进行年度水量闭合，分别报告体积、峰值、峰现时间和淹没范围；资料不足时仅发布情景减排量，不发布正式年度调蓄价值。</w:t>
      </w:r>
    </w:p>
    <w:p>
      <w:pPr>
        <w:spacing w:after="100" w:line="360" w:lineRule="auto"/>
        <w:ind w:firstLine="420"/>
      </w:pPr>
      <w:r>
        <w:rPr>
          <w:rFonts w:ascii="Times New Roman" w:hAnsi="Times New Roman" w:eastAsia="宋体"/>
          <w:b w:val="0"/>
          <w:sz w:val="24"/>
        </w:rPr>
        <w:t>3. 局部气候调节模块。正式价值量按照GB/T 46869—2025附录A.11，以生态系统内外实测温差或蒸散发消耗能量为实物量口径。优先采用实测温差法；数据不足时采用蒸散发法，分别核算植被蒸腾、水面在空调降温期间的蒸发和加湿期间的蒸发，按标准规定的适用时段和参数处理。地表温度、近地气温、热暴露和建筑节能效益分列为补充观测或协同效益，不替代正式实物量和价值量；其空间化验证采用匹配的生态系统内外温湿度观测、对照样地和气象条件控制。</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智能体采用“问—查—算—验—答”流程：解析问题后调用注册的数据、embedding、生态模型、标准参数和制图工具；输出专题图、统计表和文字结论；同时返回方法、输入版本、适用条件和不确定性。智能体不直接编造GEP数值，也不得绕过核算工具调用。验收设置不少于100条覆盖数据缺失、超出核算期、参数缺失和正常核算的测试问题：审计字段完整率应为100%，有工具支持的数值结论必须100%附带调用记录，缺失数据问题必须拒答或降级为定性说明；由生态核算责任人抽检不少于20条，复算结果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服务实物量产品。按生态斑块、子汇水区、绿地斑块及影响范围等过程单元计算固定二氧化碳、洪水调蓄和局部气候调节服务，再按街道或行政区进行汇总。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关键技术二：月度地理embedding与生态服务实物量协同反演</w:t>
      </w:r>
    </w:p>
    <w:p>
      <w:pPr>
        <w:spacing w:after="100" w:line="360" w:lineRule="auto"/>
        <w:ind w:firstLine="420"/>
      </w:pPr>
      <w:r>
        <w:rPr>
          <w:rFonts w:ascii="Times New Roman" w:hAnsi="Times New Roman" w:eastAsia="宋体"/>
          <w:b w:val="0"/>
          <w:sz w:val="24"/>
        </w:rPr>
        <w:t>采用基础模型、专题模型和生态过程模型协同的组合。嵌入用于地表状态、面积、覆盖比例和参数空间化；专题模型和标准过程方法负责实物量计算；价值量依据标准参数和台账完成核算。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玄女月度embedding与生态状态图 → 服务实物量模型与独立验证 → 标准化价值量核算 → 三类调节服务价值试点汇总、专题图和可信问答。完整GEP汇总仅作为全部适用科目条件满足后的扩展成果。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embedding作为生态状态证据层，服务于生态系统类型、植被、水体、不透水面和热环境等精细空间表达；同时保持GEP实物量和价值量核算遵循标准与过程模型，不混淆“表征分辨率”和“核算口径”。该项属于应用与工程创新，不把10米embedding误述为10米原始生态观测。</w:t>
      </w:r>
    </w:p>
    <w:p>
      <w:pPr>
        <w:spacing w:before="160" w:after="80"/>
      </w:pPr>
      <w:r>
        <w:rPr>
          <w:rFonts w:ascii="Times New Roman" w:hAnsi="Times New Roman" w:eastAsia="宋体"/>
          <w:b/>
          <w:sz w:val="24"/>
        </w:rPr>
        <w:t>2. 面向生态过程的可复用embedding适配方式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冻结底座＋生态适配器＋服务轻量头＋过程模型”的协同方式。通过与仅使用原始影像、仅使用embedding轻量头和全监督任务模型的对比及消融，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海淀区名义10米等效分析网格的月度地表状态产品和数据字典，包括嵌入、质量掩膜、生态状态图和数据血缘信息。现有生产结果作为基线；逐数据范围、逐月质量元数据和生态状态图为本项目新增交付。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三类调节服务价值试点核算工具链和可信问答原型，提供数据查询、模型运行、结果制图、试点报告导出和审计记录能力。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按服务、目标变量和独立样本设计分别登记：生态系统分类总体精度不低于0.80、各基本生态系统类别F1不低于0.60，罕见类别单列样本量与置信区间；连续变量同时评价R²、MAE、RMSE、偏差和空间/季节差异；洪水调蓄分别对事件过程和年度水量判定，不以少量事件的NSE代替年度验证。逐项价值量在同一冻结输入、参数和舍入规则下由独立复核人员复算，差异不高于1%，该指标仅反映计算复现性。任一核心服务未达到其登记门槛，只能以“方法验证结果”呈现，不得作为正式价值试点成果。</w:t>
      </w:r>
    </w:p>
    <w:p>
      <w:pPr>
        <w:spacing w:after="100" w:line="360" w:lineRule="auto"/>
        <w:ind w:firstLine="420"/>
      </w:pPr>
      <w:r>
        <w:rPr>
          <w:rFonts w:ascii="Times New Roman" w:hAnsi="Times New Roman" w:eastAsia="宋体"/>
          <w:b w:val="0"/>
          <w:sz w:val="24"/>
        </w:rPr>
        <w:t>不确定性采用参数、驱动数据、土地覆盖、时相缺失和价值参数的情景分析或蒙特卡洛抽样；默认不少于1,000次，或以区间收敛诊断证明较少抽样次数充分，并保留随机种子、分布假设、参数相关性和空间相关性处理方法。分别报告三项服务实物量、价值量和试点合计的95%区间及主导敏感因子。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现有生产模型已形成月度多源遥感嵌入能力：输入由Sentinel-2、Sentinel-1、Landsat、高分光学和高分SAR等组成；在2025年12月至2026年5月、320个数据范围内输出128×128×64的名义10米等效分析网格。现有建筑、道路、水体结果使用与预训练开放地图弱语义同源的二值标签，属于同源弱标签下的内部可分性和快速制图验证；其只能说明模型对这些开放地图定义类别具有可用表征，不构成独立人工真值、生态状态分类、生态服务反演或GEP核算精度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名义10米等效分析网格和质量控制规则；完成《核算边界、样本与验收方案》。若关键气象、水文、生态监测或价格资料无法取得，由项目管理方书面决定补充数据或同步调整服务范围、成果、指标和经费；不得以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完成月度生态证据产品包、按目标月匹配的高分融合改造、生态分类与数据台账；研发固定二氧化碳、洪水调蓄和局部气候调节模块，完成原始影像、embedding和过程模型的对比及空间分块、时间留出验证。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Xuannv项目长期记忆与生产模型卡：docs/agent_memory/haidian_embedding_project_memory.md；docs/production/haidian_model_card.md。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