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B91010">
      <w:pPr>
        <w:rPr>
          <w:rFonts w:ascii="Calibri" w:hAnsi="Calibri" w:eastAsia="宋体" w:cs="Times New Roman"/>
          <w:szCs w:val="20"/>
        </w:rPr>
      </w:pPr>
    </w:p>
    <w:p w14:paraId="08EBD00C">
      <w:pPr>
        <w:rPr>
          <w:rFonts w:ascii="Calibri" w:hAnsi="Calibri" w:eastAsia="宋体" w:cs="Times New Roman"/>
          <w:szCs w:val="20"/>
        </w:rPr>
      </w:pPr>
    </w:p>
    <w:p w14:paraId="3CD3F3C6">
      <w:pPr>
        <w:rPr>
          <w:rFonts w:ascii="Calibri" w:hAnsi="Calibri" w:eastAsia="宋体" w:cs="Times New Roman"/>
          <w:szCs w:val="20"/>
        </w:rPr>
      </w:pPr>
    </w:p>
    <w:p w14:paraId="04AF4326">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中国城市建设研究院有限公司</w:t>
      </w:r>
    </w:p>
    <w:p w14:paraId="1485493A">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自立科研项目申报书</w:t>
      </w:r>
    </w:p>
    <w:p w14:paraId="2A74C1DA">
      <w:pPr>
        <w:jc w:val="center"/>
        <w:rPr>
          <w:rFonts w:ascii="Calibri" w:hAnsi="Calibri" w:eastAsia="宋体" w:cs="Times New Roman"/>
          <w:b/>
          <w:sz w:val="36"/>
        </w:rPr>
      </w:pPr>
    </w:p>
    <w:p w14:paraId="688E58AF">
      <w:pPr>
        <w:jc w:val="center"/>
        <w:rPr>
          <w:rFonts w:ascii="Calibri" w:hAnsi="Calibri" w:eastAsia="宋体" w:cs="Times New Roman"/>
          <w:b/>
          <w:sz w:val="36"/>
        </w:rPr>
      </w:pPr>
    </w:p>
    <w:p w14:paraId="43E2DC33">
      <w:pPr>
        <w:jc w:val="center"/>
        <w:rPr>
          <w:rFonts w:ascii="Calibri" w:hAnsi="Calibri" w:eastAsia="宋体" w:cs="Times New Roman"/>
          <w:b/>
          <w:sz w:val="36"/>
        </w:rPr>
      </w:pPr>
    </w:p>
    <w:p w14:paraId="4A2F82E2">
      <w:pPr>
        <w:jc w:val="center"/>
        <w:rPr>
          <w:rFonts w:ascii="Calibri" w:hAnsi="Calibri" w:eastAsia="宋体" w:cs="Times New Roman"/>
          <w:b/>
          <w:sz w:val="36"/>
        </w:rPr>
      </w:pPr>
    </w:p>
    <w:p w14:paraId="5C802406">
      <w:pPr>
        <w:spacing w:line="300" w:lineRule="auto" w:after="80"/>
        <w:ind w:firstLine="0"/>
        <w:jc w:val="left"/>
        <w:rPr>
          <w:rFonts w:ascii="Calibri" w:hAnsi="Calibri" w:eastAsia="宋体" w:cs="Times New Roman"/>
          <w:b/>
          <w:sz w:val="32"/>
        </w:rPr>
      </w:pPr>
      <w:r>
        <w:rPr>
          <w:rFonts w:ascii="Times New Roman" w:hAnsi="Times New Roman" w:eastAsia="宋体"/>
          <w:b w:val="0"/>
          <w:sz w:val="24"/>
        </w:rPr>
        <w:t>申报项目名称： 基于玄女月度地理嵌入的生态系统生产总值核算技术研究</w:t>
      </w:r>
    </w:p>
    <w:p w14:paraId="2E7C10F2">
      <w:pPr>
        <w:spacing w:line="360" w:lineRule="auto"/>
        <w:rPr>
          <w:rFonts w:ascii="Calibri" w:hAnsi="Calibri" w:eastAsia="宋体" w:cs="Times New Roman"/>
          <w:b/>
          <w:sz w:val="32"/>
        </w:rPr>
      </w:pPr>
      <w:r>
        <w:rPr>
          <w:rFonts w:hint="eastAsia" w:ascii="Calibri" w:hAnsi="Calibri" w:eastAsia="宋体" w:cs="Times New Roman"/>
          <w:b/>
          <w:sz w:val="32"/>
        </w:rPr>
        <w:t xml:space="preserve">    申  报 部 门： </w:t>
      </w:r>
      <w:r>
        <w:rPr>
          <w:rFonts w:hint="eastAsia" w:ascii="Calibri" w:hAnsi="Calibri" w:eastAsia="宋体" w:cs="Times New Roman"/>
          <w:sz w:val="32"/>
          <w:u w:val="single"/>
        </w:rPr>
        <w:t xml:space="preserve">                                  </w:t>
      </w:r>
    </w:p>
    <w:p w14:paraId="4EAF207A">
      <w:pPr>
        <w:spacing w:line="360" w:lineRule="auto"/>
        <w:rPr>
          <w:rFonts w:ascii="Calibri" w:hAnsi="Calibri" w:eastAsia="宋体" w:cs="Times New Roman"/>
          <w:b/>
          <w:sz w:val="32"/>
        </w:rPr>
      </w:pPr>
      <w:r>
        <w:rPr>
          <w:rFonts w:hint="eastAsia" w:ascii="Calibri" w:hAnsi="Calibri" w:eastAsia="宋体" w:cs="Times New Roman"/>
          <w:b/>
          <w:sz w:val="32"/>
        </w:rPr>
        <w:t xml:space="preserve">    项目申报人：  </w:t>
      </w:r>
      <w:r>
        <w:rPr>
          <w:rFonts w:hint="eastAsia" w:ascii="Calibri" w:hAnsi="Calibri" w:eastAsia="宋体" w:cs="Times New Roman"/>
          <w:sz w:val="32"/>
          <w:u w:val="single"/>
        </w:rPr>
        <w:t xml:space="preserve">                                      </w:t>
      </w:r>
    </w:p>
    <w:p w14:paraId="5025B05C">
      <w:pPr>
        <w:spacing w:line="300" w:lineRule="auto" w:after="80"/>
        <w:ind w:firstLine="0"/>
        <w:jc w:val="left"/>
        <w:rPr>
          <w:rFonts w:ascii="Calibri" w:hAnsi="Calibri" w:eastAsia="宋体" w:cs="Times New Roman"/>
          <w:sz w:val="30"/>
        </w:rPr>
      </w:pPr>
      <w:r>
        <w:rPr>
          <w:rFonts w:ascii="Times New Roman" w:hAnsi="Times New Roman" w:eastAsia="宋体"/>
          <w:b w:val="0"/>
          <w:sz w:val="24"/>
        </w:rPr>
        <w:t>预计研究时间：2026年9月1日 至 2028年8月31日</w:t>
      </w:r>
    </w:p>
    <w:p w14:paraId="56786512">
      <w:pPr>
        <w:rPr>
          <w:rFonts w:ascii="Calibri" w:hAnsi="Calibri" w:eastAsia="宋体" w:cs="Times New Roman"/>
          <w:sz w:val="28"/>
        </w:rPr>
      </w:pPr>
    </w:p>
    <w:p w14:paraId="1AE1A3C5">
      <w:pPr>
        <w:spacing w:after="163" w:afterLines="50"/>
        <w:jc w:val="center"/>
        <w:rPr>
          <w:rFonts w:ascii="仿宋_GB2312" w:hAnsi="Calibri" w:eastAsia="仿宋_GB2312" w:cs="Times New Roman"/>
          <w:b/>
          <w:color w:val="000000"/>
          <w:sz w:val="36"/>
        </w:rPr>
      </w:pPr>
    </w:p>
    <w:p w14:paraId="696A2AD9">
      <w:pPr>
        <w:spacing w:after="163" w:afterLines="50"/>
        <w:jc w:val="center"/>
        <w:rPr>
          <w:rFonts w:ascii="仿宋_GB2312" w:hAnsi="Calibri" w:eastAsia="仿宋_GB2312" w:cs="Times New Roman"/>
          <w:b/>
          <w:color w:val="000000"/>
          <w:sz w:val="36"/>
        </w:rPr>
      </w:pPr>
    </w:p>
    <w:p w14:paraId="76D915D6">
      <w:pPr>
        <w:spacing w:after="163" w:afterLines="50"/>
        <w:jc w:val="center"/>
        <w:rPr>
          <w:rFonts w:ascii="仿宋_GB2312" w:hAnsi="Calibri" w:eastAsia="仿宋_GB2312" w:cs="Times New Roman"/>
          <w:b/>
          <w:color w:val="000000"/>
          <w:sz w:val="36"/>
        </w:rPr>
      </w:pPr>
    </w:p>
    <w:p w14:paraId="063BAFA6">
      <w:pPr>
        <w:spacing w:after="80" w:line="300" w:lineRule="auto"/>
        <w:ind w:firstLine="0"/>
        <w:jc w:val="left"/>
        <w:rPr>
          <w:rFonts w:ascii="Calibri" w:hAnsi="Calibri" w:eastAsia="宋体" w:cs="Times New Roman"/>
          <w:b/>
          <w:sz w:val="32"/>
        </w:rPr>
      </w:pPr>
      <w:r>
        <w:rPr>
          <w:rFonts w:ascii="Times New Roman" w:hAnsi="Times New Roman" w:eastAsia="宋体"/>
          <w:b w:val="0"/>
          <w:sz w:val="24"/>
        </w:rPr>
        <w:t>二〇二六年七月</w:t>
      </w:r>
    </w:p>
    <w:p w14:paraId="4D72ECE9">
      <w:pPr>
        <w:spacing w:after="163" w:afterLines="50"/>
        <w:jc w:val="center"/>
        <w:rPr>
          <w:rFonts w:ascii="仿宋_GB2312" w:hAnsi="Calibri" w:eastAsia="仿宋_GB2312" w:cs="Times New Roman"/>
          <w:b/>
          <w:color w:val="000000"/>
          <w:sz w:val="36"/>
        </w:rPr>
      </w:pPr>
      <w:r>
        <w:rPr>
          <w:rFonts w:ascii="仿宋_GB2312" w:hAnsi="Calibri" w:eastAsia="仿宋_GB2312" w:cs="Times New Roman"/>
          <w:b/>
          <w:color w:val="000000"/>
          <w:sz w:val="36"/>
        </w:rPr>
        <w:br w:type="page"/>
      </w:r>
      <w:r>
        <w:rPr>
          <w:rFonts w:hint="eastAsia" w:ascii="仿宋_GB2312" w:hAnsi="Calibri" w:eastAsia="仿宋_GB2312" w:cs="Times New Roman"/>
          <w:b/>
          <w:color w:val="000000"/>
          <w:sz w:val="36"/>
        </w:rPr>
        <w:t>项目信息表</w:t>
      </w:r>
    </w:p>
    <w:tbl>
      <w:tblPr>
        <w:tblStyle w:val="3"/>
        <w:tblW w:w="858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20"/>
        <w:gridCol w:w="900"/>
        <w:gridCol w:w="81"/>
        <w:gridCol w:w="1719"/>
        <w:gridCol w:w="1957"/>
        <w:gridCol w:w="1144"/>
        <w:gridCol w:w="2059"/>
      </w:tblGrid>
      <w:tr w14:paraId="180E8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541C7A22">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项目名称</w:t>
            </w:r>
          </w:p>
        </w:tc>
        <w:tc>
          <w:tcPr>
            <w:tcW w:w="6879" w:type="dxa"/>
            <w:gridSpan w:val="4"/>
          </w:tcPr>
          <w:p>
            <w:pPr>
              <w:spacing w:after="80" w:line="300" w:lineRule="auto"/>
              <w:ind w:firstLine="0"/>
              <w:jc w:val="center"/>
            </w:pPr>
            <w:r>
              <w:rPr>
                <w:rFonts w:ascii="Times New Roman" w:hAnsi="Times New Roman" w:eastAsia="宋体"/>
                <w:b w:val="0"/>
                <w:sz w:val="21"/>
              </w:rPr>
              <w:t>基于玄女月度地理嵌入的生态系统生产总值核算技术研究</w:t>
            </w:r>
          </w:p>
        </w:tc>
      </w:tr>
      <w:tr w14:paraId="4959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2F11ACAD">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z w:val="24"/>
              </w:rPr>
              <w:t>成果</w:t>
            </w:r>
            <w:r>
              <w:rPr>
                <w:rFonts w:ascii="仿宋" w:hAnsi="仿宋" w:eastAsia="仿宋" w:cs="Times New Roman"/>
                <w:color w:val="000000"/>
                <w:sz w:val="24"/>
              </w:rPr>
              <w:t>转化方式</w:t>
            </w:r>
          </w:p>
        </w:tc>
        <w:tc>
          <w:tcPr>
            <w:tcW w:w="6879" w:type="dxa"/>
            <w:gridSpan w:val="4"/>
            <w:vAlign w:val="center"/>
          </w:tcPr>
          <w:p>
            <w:pPr>
              <w:spacing w:after="80" w:line="300" w:lineRule="auto"/>
              <w:ind w:firstLine="0"/>
              <w:jc w:val="left"/>
            </w:pPr>
            <w:r>
              <w:rPr>
                <w:rFonts w:ascii="Times New Roman" w:hAnsi="Times New Roman" w:eastAsia="宋体"/>
                <w:b w:val="0"/>
                <w:sz w:val="21"/>
              </w:rPr>
              <w:t>■1.业务化；■2.工程化；□3.产业化；□4.资本化</w:t>
            </w:r>
          </w:p>
        </w:tc>
      </w:tr>
      <w:tr w14:paraId="629C9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6BEF05F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对应规划方向</w:t>
            </w:r>
          </w:p>
        </w:tc>
        <w:tc>
          <w:tcPr>
            <w:tcW w:w="6879" w:type="dxa"/>
            <w:gridSpan w:val="4"/>
          </w:tcPr>
          <w:p>
            <w:pPr>
              <w:spacing w:after="80" w:line="300" w:lineRule="auto"/>
              <w:ind w:firstLine="0"/>
              <w:jc w:val="left"/>
            </w:pPr>
            <w:r>
              <w:rPr>
                <w:rFonts w:ascii="Times New Roman" w:hAnsi="Times New Roman" w:eastAsia="宋体"/>
                <w:b w:val="0"/>
                <w:sz w:val="21"/>
              </w:rPr>
              <w:t>生态系统服务核算与遥感智能分析</w:t>
            </w:r>
          </w:p>
        </w:tc>
      </w:tr>
      <w:tr w14:paraId="36896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069DBF1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对应指南</w:t>
            </w:r>
            <w:r>
              <w:rPr>
                <w:rFonts w:ascii="仿宋" w:hAnsi="仿宋" w:eastAsia="仿宋" w:cs="Times New Roman"/>
                <w:color w:val="000000"/>
                <w:sz w:val="24"/>
              </w:rPr>
              <w:t>方向</w:t>
            </w:r>
          </w:p>
        </w:tc>
        <w:tc>
          <w:tcPr>
            <w:tcW w:w="6879" w:type="dxa"/>
            <w:gridSpan w:val="4"/>
          </w:tcPr>
          <w:p>
            <w:pPr>
              <w:spacing w:after="80" w:line="300" w:lineRule="auto"/>
              <w:ind w:firstLine="0"/>
              <w:jc w:val="left"/>
            </w:pPr>
            <w:r>
              <w:rPr>
                <w:rFonts w:ascii="Times New Roman" w:hAnsi="Times New Roman" w:eastAsia="宋体"/>
                <w:b w:val="0"/>
                <w:sz w:val="21"/>
              </w:rPr>
              <w:t>地理嵌入、生态过程核算与数字化工具</w:t>
            </w:r>
          </w:p>
        </w:tc>
      </w:tr>
      <w:tr w14:paraId="0CF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30C3B77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项目研究周期</w:t>
            </w:r>
          </w:p>
        </w:tc>
        <w:tc>
          <w:tcPr>
            <w:tcW w:w="6879" w:type="dxa"/>
            <w:gridSpan w:val="4"/>
            <w:vAlign w:val="center"/>
          </w:tcPr>
          <w:p>
            <w:pPr>
              <w:spacing w:after="80" w:line="300" w:lineRule="auto"/>
              <w:ind w:firstLine="0"/>
              <w:jc w:val="left"/>
            </w:pPr>
            <w:r>
              <w:rPr>
                <w:rFonts w:ascii="Times New Roman" w:hAnsi="Times New Roman" w:eastAsia="宋体"/>
                <w:b w:val="0"/>
                <w:sz w:val="21"/>
              </w:rPr>
              <w:t>□1年；■2年</w:t>
            </w:r>
          </w:p>
        </w:tc>
      </w:tr>
      <w:tr w14:paraId="20D9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773" w:hRule="atLeast"/>
        </w:trPr>
        <w:tc>
          <w:tcPr>
            <w:tcW w:w="1701" w:type="dxa"/>
            <w:gridSpan w:val="3"/>
            <w:vAlign w:val="center"/>
          </w:tcPr>
          <w:p w14:paraId="7B1E7388">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项目概述</w:t>
            </w:r>
          </w:p>
          <w:p w14:paraId="55553E6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pacing w:val="-10"/>
                <w:sz w:val="24"/>
              </w:rPr>
              <w:t>（300字）</w:t>
            </w:r>
          </w:p>
        </w:tc>
        <w:tc>
          <w:tcPr>
            <w:tcW w:w="6879" w:type="dxa"/>
            <w:gridSpan w:val="4"/>
          </w:tcPr>
          <w:p>
            <w:pPr>
              <w:spacing w:after="80" w:line="300" w:lineRule="auto"/>
              <w:ind w:firstLine="0"/>
              <w:jc w:val="left"/>
            </w:pPr>
            <w:r>
              <w:rPr>
                <w:rFonts w:ascii="Times New Roman" w:hAnsi="Times New Roman" w:eastAsia="宋体"/>
                <w:b w:val="0"/>
                <w:sz w:val="21"/>
              </w:rPr>
              <w:t>面向可复制的生态系统生产总值核算需求，构建以玄女月度地理嵌入为基础的多源遥感数据处理、生态状态制图、过程单元核算和成果复核技术方法。海淀区现有工作仅作为已完成的技术验证示例，用于说明月度嵌入和少量标注专题制图的可行性；后续应用区域可按项目任务另行确定。</w:t>
            </w:r>
          </w:p>
        </w:tc>
      </w:tr>
      <w:tr w14:paraId="0793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210" w:hRule="atLeast"/>
        </w:trPr>
        <w:tc>
          <w:tcPr>
            <w:tcW w:w="720" w:type="dxa"/>
            <w:vMerge w:val="restart"/>
            <w:shd w:val="clear" w:color="auto" w:fill="auto"/>
            <w:textDirection w:val="tbRlV"/>
            <w:vAlign w:val="center"/>
          </w:tcPr>
          <w:p w14:paraId="54E583D2">
            <w:pPr>
              <w:snapToGrid w:val="0"/>
              <w:spacing w:before="60" w:line="264" w:lineRule="auto"/>
              <w:ind w:left="113" w:right="28"/>
              <w:jc w:val="center"/>
              <w:rPr>
                <w:rFonts w:ascii="仿宋" w:hAnsi="仿宋" w:eastAsia="仿宋" w:cs="Times New Roman"/>
                <w:color w:val="000000"/>
                <w:sz w:val="24"/>
              </w:rPr>
            </w:pPr>
            <w:r>
              <w:rPr>
                <w:rFonts w:hint="eastAsia" w:ascii="仿宋" w:hAnsi="仿宋" w:eastAsia="仿宋" w:cs="Times New Roman"/>
                <w:color w:val="000000"/>
                <w:sz w:val="24"/>
              </w:rPr>
              <w:t>项目预期成果与效益</w:t>
            </w:r>
          </w:p>
        </w:tc>
        <w:tc>
          <w:tcPr>
            <w:tcW w:w="7860" w:type="dxa"/>
            <w:gridSpan w:val="6"/>
          </w:tcPr>
          <w:p>
            <w:pPr>
              <w:spacing w:after="80" w:line="300" w:lineRule="auto"/>
              <w:ind w:firstLine="0"/>
              <w:jc w:val="left"/>
            </w:pPr>
            <w:r>
              <w:rPr>
                <w:rFonts w:ascii="Times New Roman" w:hAnsi="Times New Roman" w:eastAsia="宋体"/>
                <w:b w:val="0"/>
                <w:sz w:val="21"/>
              </w:rPr>
              <w:t>主要科技成果及形式：通用技术方案、数据与质量台账、月度生态状态产品、服务价值试点成果、专题图集、核算与查询工具。</w:t>
            </w:r>
          </w:p>
        </w:tc>
      </w:tr>
      <w:tr w14:paraId="6A6D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904" w:hRule="atLeast"/>
        </w:trPr>
        <w:tc>
          <w:tcPr>
            <w:tcW w:w="720" w:type="dxa"/>
            <w:vMerge w:val="continue"/>
            <w:shd w:val="clear" w:color="auto" w:fill="auto"/>
            <w:textDirection w:val="tbRlV"/>
            <w:vAlign w:val="center"/>
          </w:tcPr>
          <w:p w14:paraId="2D1552BE">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80" w:line="300" w:lineRule="auto"/>
              <w:ind w:firstLine="0"/>
              <w:jc w:val="left"/>
            </w:pPr>
            <w:r>
              <w:rPr>
                <w:rFonts w:ascii="Times New Roman" w:hAnsi="Times New Roman" w:eastAsia="宋体"/>
                <w:b w:val="0"/>
                <w:sz w:val="21"/>
              </w:rPr>
              <w:t>重点技术突破及产品：多源月度地理嵌入、少样本专题制图、过程单元核算、质量控制和可复算成果交付。</w:t>
            </w:r>
          </w:p>
        </w:tc>
      </w:tr>
      <w:tr w14:paraId="4A40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0" w:hRule="atLeast"/>
        </w:trPr>
        <w:tc>
          <w:tcPr>
            <w:tcW w:w="720" w:type="dxa"/>
            <w:vMerge w:val="continue"/>
            <w:shd w:val="clear" w:color="auto" w:fill="auto"/>
            <w:textDirection w:val="tbRlV"/>
            <w:vAlign w:val="center"/>
          </w:tcPr>
          <w:p w14:paraId="3BA2D224">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80" w:line="300" w:lineRule="auto"/>
              <w:ind w:firstLine="0"/>
              <w:jc w:val="left"/>
            </w:pPr>
            <w:r>
              <w:rPr>
                <w:rFonts w:ascii="Times New Roman" w:hAnsi="Times New Roman" w:eastAsia="宋体"/>
                <w:b w:val="0"/>
                <w:sz w:val="21"/>
              </w:rPr>
              <w:t>效益预期：提高多源数据整理、生态状态更新、核算底图制作、成果复核与年度更新效率，为不同区域生态系统服务价值核算提供可复用技术支撑。</w:t>
            </w:r>
          </w:p>
        </w:tc>
      </w:tr>
      <w:tr w14:paraId="23635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13" w:hRule="atLeast"/>
        </w:trPr>
        <w:tc>
          <w:tcPr>
            <w:tcW w:w="1620" w:type="dxa"/>
            <w:gridSpan w:val="2"/>
            <w:vAlign w:val="center"/>
          </w:tcPr>
          <w:p w14:paraId="05D1D1E3">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pacing w:val="-20"/>
                <w:sz w:val="24"/>
              </w:rPr>
              <w:t>申报项目经费</w:t>
            </w:r>
          </w:p>
        </w:tc>
        <w:tc>
          <w:tcPr>
            <w:tcW w:w="6960" w:type="dxa"/>
            <w:gridSpan w:val="5"/>
            <w:vAlign w:val="center"/>
          </w:tcPr>
          <w:p w14:paraId="4774D524">
            <w:pPr>
              <w:spacing w:before="60" w:line="360" w:lineRule="auto"/>
              <w:ind w:right="28" w:firstLine="100" w:firstLineChars="50"/>
              <w:rPr>
                <w:rFonts w:ascii="仿宋" w:hAnsi="仿宋" w:eastAsia="仿宋" w:cs="Times New Roman"/>
                <w:color w:val="000000"/>
                <w:spacing w:val="-20"/>
                <w:sz w:val="24"/>
              </w:rPr>
            </w:pPr>
            <w:r>
              <w:rPr>
                <w:rFonts w:hint="eastAsia" w:ascii="仿宋" w:hAnsi="仿宋" w:eastAsia="仿宋" w:cs="Times New Roman"/>
                <w:color w:val="000000"/>
                <w:spacing w:val="-20"/>
                <w:sz w:val="24"/>
                <w:u w:val="single"/>
              </w:rPr>
              <w:t xml:space="preserve">     </w:t>
            </w:r>
            <w:r>
              <w:rPr>
                <w:rFonts w:ascii="仿宋" w:hAnsi="仿宋" w:eastAsia="仿宋" w:cs="Times New Roman"/>
                <w:color w:val="000000"/>
                <w:spacing w:val="-20"/>
                <w:sz w:val="24"/>
                <w:u w:val="single"/>
              </w:rPr>
              <w:t xml:space="preserve">                   </w:t>
            </w:r>
            <w:r>
              <w:rPr>
                <w:rFonts w:hint="eastAsia" w:ascii="仿宋" w:hAnsi="仿宋" w:eastAsia="仿宋" w:cs="Times New Roman"/>
                <w:color w:val="000000"/>
                <w:spacing w:val="-20"/>
                <w:sz w:val="24"/>
              </w:rPr>
              <w:t xml:space="preserve">万元 </w:t>
            </w:r>
          </w:p>
        </w:tc>
      </w:tr>
      <w:tr w14:paraId="327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restart"/>
            <w:shd w:val="clear" w:color="auto" w:fill="auto"/>
            <w:vAlign w:val="center"/>
          </w:tcPr>
          <w:p w14:paraId="286023BF">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项目申报负责人</w:t>
            </w:r>
          </w:p>
        </w:tc>
        <w:tc>
          <w:tcPr>
            <w:tcW w:w="1800" w:type="dxa"/>
            <w:gridSpan w:val="2"/>
            <w:vAlign w:val="center"/>
          </w:tcPr>
          <w:p w14:paraId="1770D90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姓名</w:t>
            </w:r>
          </w:p>
        </w:tc>
        <w:tc>
          <w:tcPr>
            <w:tcW w:w="1957" w:type="dxa"/>
            <w:vAlign w:val="center"/>
          </w:tcPr>
          <w:p w14:paraId="6386F51E">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36BB04A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出生年月</w:t>
            </w:r>
          </w:p>
        </w:tc>
        <w:tc>
          <w:tcPr>
            <w:tcW w:w="2059" w:type="dxa"/>
            <w:vAlign w:val="center"/>
          </w:tcPr>
          <w:p w14:paraId="5C7E6E2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年 月</w:t>
            </w:r>
          </w:p>
        </w:tc>
      </w:tr>
      <w:tr w14:paraId="46F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4A98E2F">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64CF7BF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学 位</w:t>
            </w:r>
          </w:p>
        </w:tc>
        <w:tc>
          <w:tcPr>
            <w:tcW w:w="5160" w:type="dxa"/>
            <w:gridSpan w:val="3"/>
            <w:vAlign w:val="center"/>
          </w:tcPr>
          <w:p w14:paraId="28EE566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□博士  □硕士 □学士 □其他</w:t>
            </w:r>
          </w:p>
        </w:tc>
      </w:tr>
      <w:tr w14:paraId="7D9B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5BEB880A">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363168B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职 称</w:t>
            </w:r>
          </w:p>
        </w:tc>
        <w:tc>
          <w:tcPr>
            <w:tcW w:w="5160" w:type="dxa"/>
            <w:gridSpan w:val="3"/>
            <w:vAlign w:val="center"/>
          </w:tcPr>
          <w:p w14:paraId="3F84D0EA">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□正高  □副高  □中级 □初级 □其他</w:t>
            </w:r>
          </w:p>
        </w:tc>
      </w:tr>
      <w:tr w14:paraId="56EB2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18B10AB">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4685C9C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电话（座机）</w:t>
            </w:r>
          </w:p>
        </w:tc>
        <w:tc>
          <w:tcPr>
            <w:tcW w:w="1957" w:type="dxa"/>
            <w:vAlign w:val="center"/>
          </w:tcPr>
          <w:p w14:paraId="018713C7">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5794290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手机</w:t>
            </w:r>
          </w:p>
        </w:tc>
        <w:tc>
          <w:tcPr>
            <w:tcW w:w="2059" w:type="dxa"/>
            <w:vAlign w:val="center"/>
          </w:tcPr>
          <w:p w14:paraId="5A83FE1E">
            <w:pPr>
              <w:snapToGrid w:val="0"/>
              <w:spacing w:before="60" w:line="264" w:lineRule="auto"/>
              <w:ind w:right="28"/>
              <w:jc w:val="center"/>
              <w:rPr>
                <w:rFonts w:ascii="仿宋" w:hAnsi="仿宋" w:eastAsia="仿宋" w:cs="Times New Roman"/>
                <w:color w:val="000000"/>
                <w:sz w:val="24"/>
              </w:rPr>
            </w:pPr>
          </w:p>
        </w:tc>
      </w:tr>
      <w:tr w14:paraId="2687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6F6E2644">
            <w:pPr>
              <w:snapToGrid w:val="0"/>
              <w:spacing w:before="60" w:line="264" w:lineRule="auto"/>
              <w:ind w:right="28"/>
              <w:jc w:val="center"/>
              <w:rPr>
                <w:rFonts w:ascii="仿宋" w:hAnsi="仿宋" w:eastAsia="仿宋" w:cs="Times New Roman"/>
                <w:color w:val="000000"/>
                <w:sz w:val="24"/>
              </w:rPr>
            </w:pPr>
          </w:p>
        </w:tc>
        <w:tc>
          <w:tcPr>
            <w:tcW w:w="1800" w:type="dxa"/>
            <w:gridSpan w:val="2"/>
            <w:vAlign w:val="center"/>
          </w:tcPr>
          <w:p w14:paraId="542504C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E-mail</w:t>
            </w:r>
          </w:p>
        </w:tc>
        <w:tc>
          <w:tcPr>
            <w:tcW w:w="1957" w:type="dxa"/>
            <w:vAlign w:val="center"/>
          </w:tcPr>
          <w:p w14:paraId="2CC9ED1D">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26465B8A">
            <w:pPr>
              <w:snapToGrid w:val="0"/>
              <w:spacing w:before="60" w:line="264" w:lineRule="auto"/>
              <w:ind w:right="28"/>
              <w:jc w:val="center"/>
              <w:rPr>
                <w:rFonts w:ascii="仿宋" w:hAnsi="仿宋" w:eastAsia="仿宋" w:cs="Times New Roman"/>
                <w:color w:val="000000"/>
                <w:sz w:val="24"/>
              </w:rPr>
            </w:pPr>
          </w:p>
        </w:tc>
        <w:tc>
          <w:tcPr>
            <w:tcW w:w="2059" w:type="dxa"/>
            <w:vAlign w:val="center"/>
          </w:tcPr>
          <w:p w14:paraId="212A33CF">
            <w:pPr>
              <w:snapToGrid w:val="0"/>
              <w:spacing w:before="60" w:line="264" w:lineRule="auto"/>
              <w:ind w:right="28"/>
              <w:jc w:val="center"/>
              <w:rPr>
                <w:rFonts w:ascii="仿宋" w:hAnsi="仿宋" w:eastAsia="仿宋" w:cs="Times New Roman"/>
                <w:color w:val="000000"/>
                <w:sz w:val="24"/>
              </w:rPr>
            </w:pPr>
          </w:p>
        </w:tc>
      </w:tr>
    </w:tbl>
    <w:p w14:paraId="1B9A5EAC">
      <w:pPr>
        <w:tabs>
          <w:tab w:val="left" w:pos="5115"/>
        </w:tabs>
        <w:spacing w:line="360" w:lineRule="auto"/>
        <w:ind w:right="567"/>
        <w:outlineLvl w:val="0"/>
        <w:rPr>
          <w:rFonts w:ascii="Calibri" w:hAnsi="Calibri" w:eastAsia="黑体" w:cs="Times New Roman"/>
          <w:sz w:val="32"/>
        </w:rPr>
      </w:pPr>
      <w:r>
        <w:rPr>
          <w:rFonts w:ascii="仿宋_GB2312" w:hAnsi="Calibri" w:eastAsia="仿宋_GB2312" w:cs="Times New Roman"/>
          <w:color w:val="000000"/>
          <w:sz w:val="28"/>
        </w:rPr>
        <w:br w:type="page"/>
      </w:r>
      <w:r>
        <w:rPr>
          <w:rFonts w:hint="eastAsia" w:ascii="Calibri" w:hAnsi="Calibri" w:eastAsia="黑体" w:cs="Times New Roman"/>
          <w:sz w:val="32"/>
        </w:rPr>
        <w:t>一</w:t>
      </w:r>
      <w:r>
        <w:rPr>
          <w:rFonts w:ascii="Calibri" w:hAnsi="Calibri" w:eastAsia="黑体" w:cs="Times New Roman"/>
          <w:sz w:val="32"/>
        </w:rPr>
        <w:t>、</w:t>
      </w:r>
      <w:r>
        <w:rPr>
          <w:rFonts w:hint="eastAsia" w:ascii="Calibri" w:hAnsi="Calibri" w:eastAsia="黑体" w:cs="Times New Roman"/>
          <w:sz w:val="32"/>
        </w:rPr>
        <w:t>目标与研究任务</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2710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2" w:hRule="atLeast"/>
        </w:trPr>
        <w:tc>
          <w:tcPr>
            <w:tcW w:w="9061" w:type="dxa"/>
          </w:tcPr>
          <w:p>
            <w:pPr>
              <w:spacing w:after="80" w:line="300" w:lineRule="auto"/>
              <w:ind w:firstLine="0"/>
              <w:jc w:val="left"/>
            </w:pPr>
            <w:r>
              <w:rPr>
                <w:rFonts w:ascii="Times New Roman" w:hAnsi="Times New Roman" w:eastAsia="宋体"/>
                <w:b/>
                <w:sz w:val="24"/>
              </w:rPr>
              <w:t>项目研究的目的、必要性和可行性</w:t>
            </w:r>
          </w:p>
          <w:p>
            <w:pPr>
              <w:spacing w:after="80" w:line="300" w:lineRule="auto"/>
              <w:ind w:firstLine="420"/>
              <w:jc w:val="left"/>
            </w:pPr>
            <w:r>
              <w:rPr>
                <w:rFonts w:ascii="Times New Roman" w:hAnsi="Times New Roman" w:eastAsia="宋体"/>
                <w:b w:val="0"/>
                <w:sz w:val="21"/>
              </w:rPr>
              <w:t>生态系统生产总值核算需要跨传感器、跨时相且空间一致的生态状态资料。现有工作中，影像、土地覆盖、地形、气象、水文及样地资料来源分散，更新频率和空间尺度不一，导致基础底图制作、过程参数配置和成果复核成本较高。本项目拟构建面向不同试点区域的通用技术方法，以玄女月度地理嵌入为统一的遥感表征底座，服务于生态状态识别、变化追踪、专题制图和核算辅助，而不以嵌入直接替代生态过程观测或价值量计算。</w:t>
            </w:r>
          </w:p>
          <w:p>
            <w:pPr>
              <w:spacing w:after="80" w:line="300" w:lineRule="auto"/>
              <w:ind w:firstLine="420"/>
              <w:jc w:val="left"/>
            </w:pPr>
            <w:r>
              <w:rPr>
                <w:rFonts w:ascii="Times New Roman" w:hAnsi="Times New Roman" w:eastAsia="宋体"/>
                <w:b w:val="0"/>
                <w:sz w:val="21"/>
              </w:rPr>
              <w:t>研究按“基础数据—月度地表状态—专题与过程模型—实物量和价值量—质量复核”组织。玄女模型输出128×128×64的月度密集嵌入图，对应1,280米×1,280米数据单元的名义10米等效分析网格；其作用是提供面积、覆盖比例和空间分布信息。固碳、洪水调蓄和局地气候调节等服务仍需分别结合样地、碳通量、降雨径流、气象与参数资料，在生态斑块、子汇水区或绿地影响范围等过程单元开展核算和验证。</w:t>
            </w:r>
          </w:p>
          <w:p>
            <w:pPr>
              <w:spacing w:after="80" w:line="300" w:lineRule="auto"/>
              <w:ind w:firstLine="0"/>
              <w:jc w:val="left"/>
            </w:pPr>
            <w:r>
              <w:rPr>
                <w:rFonts w:ascii="Times New Roman" w:hAnsi="Times New Roman" w:eastAsia="宋体"/>
                <w:b/>
                <w:sz w:val="24"/>
              </w:rPr>
              <w:t>拟采用的技术路线</w:t>
            </w:r>
          </w:p>
          <w:tbl>
            <w:tblPr>
              <w:tblW w:type="auto" w:w="0"/>
              <w:tblLayout w:type="fixed"/>
              <w:tblLook w:firstColumn="1" w:firstRow="1" w:lastColumn="0" w:lastRow="0" w:noHBand="0" w:noVBand="1" w:val="04A0"/>
            </w:tblPr>
            <w:tblGrid>
              <w:gridCol w:w="1812"/>
              <w:gridCol w:w="1812"/>
              <w:gridCol w:w="1812"/>
              <w:gridCol w:w="1812"/>
              <w:gridCol w:w="1812"/>
            </w:tblGrid>
            <w:tr>
              <w:tc>
                <w:tcPr>
                  <w:tcW w:type="dxa" w:w="1701"/>
                  <w:shd w:fill="F2F2F2"/>
                </w:tcPr>
                <w:p>
                  <w:pPr>
                    <w:spacing w:after="0"/>
                    <w:jc w:val="center"/>
                  </w:pPr>
                  <w:r/>
                  <w:r>
                    <w:rPr>
                      <w:rFonts w:ascii="Times New Roman" w:hAnsi="Times New Roman" w:eastAsia="宋体"/>
                      <w:b/>
                      <w:sz w:val="18"/>
                    </w:rPr>
                    <w:t>多源遥感与</w:t>
                  </w:r>
                  <w:r>
                    <w:br/>
                  </w:r>
                  <w:r>
                    <w:rPr>
                      <w:rFonts w:ascii="Times New Roman" w:hAnsi="Times New Roman" w:eastAsia="宋体"/>
                      <w:b/>
                      <w:sz w:val="18"/>
                    </w:rPr>
                    <w:t>生态辅助数据</w:t>
                  </w:r>
                </w:p>
              </w:tc>
              <w:tc>
                <w:tcPr>
                  <w:tcW w:type="dxa" w:w="1701"/>
                  <w:shd w:fill="F2F2F2"/>
                </w:tcPr>
                <w:p>
                  <w:pPr>
                    <w:spacing w:after="0"/>
                    <w:jc w:val="center"/>
                  </w:pPr>
                  <w:r/>
                  <w:r>
                    <w:rPr>
                      <w:rFonts w:ascii="Times New Roman" w:hAnsi="Times New Roman" w:eastAsia="宋体"/>
                      <w:b/>
                      <w:sz w:val="18"/>
                    </w:rPr>
                    <w:t>质量控制与</w:t>
                  </w:r>
                  <w:r>
                    <w:br/>
                  </w:r>
                  <w:r>
                    <w:rPr>
                      <w:rFonts w:ascii="Times New Roman" w:hAnsi="Times New Roman" w:eastAsia="宋体"/>
                      <w:b/>
                      <w:sz w:val="18"/>
                    </w:rPr>
                    <w:t>空间对齐</w:t>
                  </w:r>
                </w:p>
              </w:tc>
              <w:tc>
                <w:tcPr>
                  <w:tcW w:type="dxa" w:w="1701"/>
                  <w:shd w:fill="F2F2F2"/>
                </w:tcPr>
                <w:p>
                  <w:pPr>
                    <w:spacing w:after="0"/>
                    <w:jc w:val="center"/>
                  </w:pPr>
                  <w:r/>
                  <w:r>
                    <w:rPr>
                      <w:rFonts w:ascii="Times New Roman" w:hAnsi="Times New Roman" w:eastAsia="宋体"/>
                      <w:b/>
                      <w:sz w:val="18"/>
                    </w:rPr>
                    <w:t>月度地表状态</w:t>
                  </w:r>
                  <w:r>
                    <w:br/>
                  </w:r>
                  <w:r>
                    <w:rPr>
                      <w:rFonts w:ascii="Times New Roman" w:hAnsi="Times New Roman" w:eastAsia="宋体"/>
                      <w:b/>
                      <w:sz w:val="18"/>
                    </w:rPr>
                    <w:t>嵌入产品</w:t>
                  </w:r>
                </w:p>
              </w:tc>
              <w:tc>
                <w:tcPr>
                  <w:tcW w:type="dxa" w:w="1701"/>
                  <w:shd w:fill="F2F2F2"/>
                </w:tcPr>
                <w:p>
                  <w:pPr>
                    <w:spacing w:after="0"/>
                    <w:jc w:val="center"/>
                  </w:pPr>
                  <w:r/>
                  <w:r>
                    <w:rPr>
                      <w:rFonts w:ascii="Times New Roman" w:hAnsi="Times New Roman" w:eastAsia="宋体"/>
                      <w:b/>
                      <w:sz w:val="18"/>
                    </w:rPr>
                    <w:t>专题模型、过程单元</w:t>
                  </w:r>
                  <w:r>
                    <w:br/>
                  </w:r>
                  <w:r>
                    <w:rPr>
                      <w:rFonts w:ascii="Times New Roman" w:hAnsi="Times New Roman" w:eastAsia="宋体"/>
                      <w:b/>
                      <w:sz w:val="18"/>
                    </w:rPr>
                    <w:t>与独立验证</w:t>
                  </w:r>
                </w:p>
              </w:tc>
              <w:tc>
                <w:tcPr>
                  <w:tcW w:type="dxa" w:w="1701"/>
                  <w:shd w:fill="F2F2F2"/>
                </w:tcPr>
                <w:p>
                  <w:pPr>
                    <w:spacing w:after="0"/>
                    <w:jc w:val="center"/>
                  </w:pPr>
                  <w:r/>
                  <w:r>
                    <w:rPr>
                      <w:rFonts w:ascii="Times New Roman" w:hAnsi="Times New Roman" w:eastAsia="宋体"/>
                      <w:b/>
                      <w:sz w:val="18"/>
                    </w:rPr>
                    <w:t>价值核算、专题图</w:t>
                  </w:r>
                  <w:r>
                    <w:br/>
                  </w:r>
                  <w:r>
                    <w:rPr>
                      <w:rFonts w:ascii="Times New Roman" w:hAnsi="Times New Roman" w:eastAsia="宋体"/>
                      <w:b/>
                      <w:sz w:val="18"/>
                    </w:rPr>
                    <w:t>与查询工具</w:t>
                  </w:r>
                </w:p>
              </w:tc>
            </w:tr>
          </w:tbl>
          <w:p/>
          <w:p>
            <w:pPr>
              <w:spacing w:after="80" w:line="300" w:lineRule="auto"/>
              <w:ind w:firstLine="420"/>
              <w:jc w:val="left"/>
            </w:pPr>
            <w:r>
              <w:rPr>
                <w:rFonts w:ascii="Times New Roman" w:hAnsi="Times New Roman" w:eastAsia="宋体"/>
                <w:b w:val="0"/>
                <w:sz w:val="21"/>
              </w:rPr>
              <w:t>技术路线适用于项目确定的任意试点区。各区域根据数据可得性配置卫星光学、雷达、地形、植被、气象水文和调查资料；统一完成坐标、时间、质量和版本管理后，形成月度生态状态基础产品，并按服务类型接入专题模型与独立验证资料。</w:t>
            </w:r>
          </w:p>
          <w:p>
            <w:pPr>
              <w:spacing w:after="80" w:line="300" w:lineRule="auto"/>
              <w:ind w:firstLine="0"/>
              <w:jc w:val="left"/>
            </w:pPr>
            <w:r>
              <w:rPr>
                <w:rFonts w:ascii="Times New Roman" w:hAnsi="Times New Roman" w:eastAsia="宋体"/>
                <w:b/>
                <w:sz w:val="24"/>
              </w:rPr>
              <w:t>海淀区既有验证示例：月度嵌入的连续地表表达</w:t>
            </w:r>
          </w:p>
          <w:p>
            <w:pPr>
              <w:spacing w:after="40"/>
              <w:jc w:val="center"/>
            </w:pPr>
            <w:r>
              <w:drawing>
                <wp:inline xmlns:a="http://schemas.openxmlformats.org/drawingml/2006/main" xmlns:pic="http://schemas.openxmlformats.org/drawingml/2006/picture">
                  <wp:extent cx="5328000" cy="5328000"/>
                  <wp:docPr id="1" name="Picture 1"/>
                  <wp:cNvGraphicFramePr>
                    <a:graphicFrameLocks noChangeAspect="1"/>
                  </wp:cNvGraphicFramePr>
                  <a:graphic>
                    <a:graphicData uri="http://schemas.openxmlformats.org/drawingml/2006/picture">
                      <pic:pic>
                        <pic:nvPicPr>
                          <pic:cNvPr id="0" name="haidian_embedding_pca_202604.png"/>
                          <pic:cNvPicPr/>
                        </pic:nvPicPr>
                        <pic:blipFill>
                          <a:blip r:embed="rId4"/>
                          <a:stretch>
                            <a:fillRect/>
                          </a:stretch>
                        </pic:blipFill>
                        <pic:spPr>
                          <a:xfrm>
                            <a:off x="0" y="0"/>
                            <a:ext cx="5328000" cy="5328000"/>
                          </a:xfrm>
                          <a:prstGeom prst="rect"/>
                        </pic:spPr>
                      </pic:pic>
                    </a:graphicData>
                  </a:graphic>
                </wp:inline>
              </w:drawing>
            </w:r>
          </w:p>
          <w:p>
            <w:pPr>
              <w:spacing w:after="80" w:line="300" w:lineRule="auto"/>
              <w:ind w:firstLine="0"/>
              <w:jc w:val="center"/>
            </w:pPr>
            <w:r>
              <w:rPr>
                <w:rFonts w:ascii="Times New Roman" w:hAnsi="Times New Roman" w:eastAsia="宋体"/>
                <w:b w:val="0"/>
                <w:sz w:val="18"/>
              </w:rPr>
              <w:t>图1 海淀区2026年4月月度嵌入 PCA 可视化示例。颜色为64维嵌入的前三主成分组合，用于展示空间连续性和地表差异，不代表生态类别或价值量。</w:t>
            </w:r>
          </w:p>
        </w:tc>
      </w:tr>
    </w:tbl>
    <w:p w14:paraId="52E03140">
      <w:pPr>
        <w:spacing w:line="280" w:lineRule="atLeast"/>
        <w:ind w:right="326"/>
        <w:rPr>
          <w:rFonts w:ascii="仿宋_GB2312" w:hAnsi="Calibri" w:eastAsia="仿宋_GB2312" w:cs="Times New Roman"/>
          <w:color w:val="000000"/>
          <w:sz w:val="24"/>
        </w:rPr>
      </w:pPr>
    </w:p>
    <w:p w14:paraId="0C6B0436">
      <w:pPr>
        <w:spacing w:after="163" w:afterLines="50" w:line="360" w:lineRule="auto"/>
        <w:ind w:right="567"/>
        <w:rPr>
          <w:rFonts w:ascii="Calibri" w:hAnsi="Calibri" w:eastAsia="黑体" w:cs="Times New Roman"/>
          <w:sz w:val="32"/>
        </w:rPr>
      </w:pPr>
      <w:r>
        <w:rPr>
          <w:rFonts w:ascii="Calibri" w:hAnsi="Calibri" w:eastAsia="黑体" w:cs="Times New Roman"/>
          <w:sz w:val="32"/>
        </w:rPr>
        <w:br w:type="page"/>
      </w:r>
      <w:r>
        <w:rPr>
          <w:rFonts w:hint="eastAsia" w:ascii="Calibri" w:hAnsi="Calibri" w:eastAsia="黑体" w:cs="Times New Roman"/>
          <w:sz w:val="32"/>
        </w:rPr>
        <w:t>二、项目成果、考核指标及成果转化分析</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2E2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4" w:hRule="atLeast"/>
        </w:trPr>
        <w:tc>
          <w:tcPr>
            <w:tcW w:w="9061" w:type="dxa"/>
          </w:tcPr>
          <w:p>
            <w:pPr>
              <w:spacing w:after="80" w:line="300" w:lineRule="auto"/>
              <w:ind w:firstLine="0"/>
              <w:jc w:val="left"/>
            </w:pPr>
            <w:r>
              <w:rPr>
                <w:rFonts w:ascii="Times New Roman" w:hAnsi="Times New Roman" w:eastAsia="宋体"/>
                <w:b/>
                <w:sz w:val="24"/>
              </w:rPr>
              <w:t>项目预期成果</w:t>
            </w:r>
          </w:p>
          <w:p>
            <w:pPr>
              <w:spacing w:after="80" w:line="300" w:lineRule="auto"/>
              <w:ind w:firstLine="0"/>
              <w:jc w:val="left"/>
            </w:pPr>
            <w:r>
              <w:rPr>
                <w:rFonts w:ascii="Times New Roman" w:hAnsi="Times New Roman" w:eastAsia="宋体"/>
                <w:b/>
                <w:sz w:val="24"/>
              </w:rPr>
              <w:t>1. 面向区域适配的技术成果</w:t>
            </w:r>
          </w:p>
          <w:p>
            <w:pPr>
              <w:spacing w:after="80" w:line="300" w:lineRule="auto"/>
              <w:ind w:firstLine="420"/>
              <w:jc w:val="left"/>
            </w:pPr>
            <w:r>
              <w:rPr>
                <w:rFonts w:ascii="Times New Roman" w:hAnsi="Times New Roman" w:eastAsia="宋体"/>
                <w:b w:val="0"/>
                <w:sz w:val="21"/>
              </w:rPr>
              <w:t>形成可配置的数据清单、预处理规范、质量控制规则、月度嵌入生成流程、生态状态专题制图流程、过程核算接口和成果复核规程。项目实施区域不预设为海淀区，可由任务需求确定，并按当地数据、生态系统类型和核算口径完成适配。</w:t>
            </w:r>
          </w:p>
          <w:p>
            <w:pPr>
              <w:spacing w:after="80" w:line="300" w:lineRule="auto"/>
              <w:ind w:firstLine="0"/>
              <w:jc w:val="left"/>
            </w:pPr>
            <w:r>
              <w:rPr>
                <w:rFonts w:ascii="Times New Roman" w:hAnsi="Times New Roman" w:eastAsia="宋体"/>
                <w:b/>
                <w:sz w:val="24"/>
              </w:rPr>
              <w:t>2. 海淀区既有验证示例：少量标注支持专题制图</w:t>
            </w:r>
          </w:p>
          <w:p>
            <w:pPr>
              <w:spacing w:after="80" w:line="300" w:lineRule="auto"/>
              <w:ind w:firstLine="420"/>
              <w:jc w:val="left"/>
            </w:pPr>
            <w:r>
              <w:rPr>
                <w:rFonts w:ascii="Times New Roman" w:hAnsi="Times New Roman" w:eastAsia="宋体"/>
                <w:b w:val="0"/>
                <w:sz w:val="21"/>
              </w:rPr>
              <w:t>在海淀现有数据中，使用少量标注样本训练轻量下游头，可将月度嵌入转换为公园/绿地等专题分布图。该图用于说明“嵌入+少量标注”的工作方式；标签来源为OSM弱标签，结果不作为生态服务实物量或价值量的独立精度结论。</w:t>
            </w:r>
          </w:p>
          <w:p>
            <w:pPr>
              <w:spacing w:after="40"/>
              <w:jc w:val="center"/>
            </w:pPr>
            <w:r>
              <w:drawing>
                <wp:inline xmlns:a="http://schemas.openxmlformats.org/drawingml/2006/main" xmlns:pic="http://schemas.openxmlformats.org/drawingml/2006/picture">
                  <wp:extent cx="5400000" cy="2264311"/>
                  <wp:docPr id="2" name="Picture 2"/>
                  <wp:cNvGraphicFramePr>
                    <a:graphicFrameLocks noChangeAspect="1"/>
                  </wp:cNvGraphicFramePr>
                  <a:graphic>
                    <a:graphicData uri="http://schemas.openxmlformats.org/drawingml/2006/picture">
                      <pic:pic>
                        <pic:nvPicPr>
                          <pic:cNvPr id="0" name="haidian_park_green_fewshot_50.png"/>
                          <pic:cNvPicPr/>
                        </pic:nvPicPr>
                        <pic:blipFill>
                          <a:blip r:embed="rId7"/>
                          <a:stretch>
                            <a:fillRect/>
                          </a:stretch>
                        </pic:blipFill>
                        <pic:spPr>
                          <a:xfrm>
                            <a:off x="0" y="0"/>
                            <a:ext cx="5400000" cy="2264311"/>
                          </a:xfrm>
                          <a:prstGeom prst="rect"/>
                        </pic:spPr>
                      </pic:pic>
                    </a:graphicData>
                  </a:graphic>
                </wp:inline>
              </w:drawing>
            </w:r>
          </w:p>
          <w:p>
            <w:pPr>
              <w:spacing w:after="80" w:line="300" w:lineRule="auto"/>
              <w:ind w:firstLine="0"/>
              <w:jc w:val="center"/>
            </w:pPr>
            <w:r>
              <w:rPr>
                <w:rFonts w:ascii="Times New Roman" w:hAnsi="Times New Roman" w:eastAsia="宋体"/>
                <w:b w:val="0"/>
                <w:sz w:val="18"/>
              </w:rPr>
              <w:t>图2 海淀区公园/绿地50样本专题制图示例。左：OSM弱标签；中：玄女嵌入加轻量分类器；右：传统多源影像加同类分类器。红色越深表示目标类别概率越高，白色为背景。</w:t>
            </w:r>
          </w:p>
          <w:p>
            <w:pPr>
              <w:spacing w:after="80" w:line="300" w:lineRule="auto"/>
              <w:ind w:firstLine="0"/>
              <w:jc w:val="left"/>
            </w:pPr>
            <w:r>
              <w:rPr>
                <w:rFonts w:ascii="Times New Roman" w:hAnsi="Times New Roman" w:eastAsia="宋体"/>
                <w:b/>
                <w:sz w:val="24"/>
              </w:rPr>
              <w:t>3. 面向GEP核算的专题产品与核算边界</w:t>
            </w:r>
          </w:p>
          <w:p>
            <w:pPr>
              <w:spacing w:after="80" w:line="300" w:lineRule="auto"/>
              <w:ind w:firstLine="420"/>
              <w:jc w:val="left"/>
            </w:pPr>
            <w:r>
              <w:rPr>
                <w:rFonts w:ascii="Times New Roman" w:hAnsi="Times New Roman" w:eastAsia="宋体"/>
                <w:b w:val="0"/>
                <w:sz w:val="21"/>
              </w:rPr>
              <w:t>项目拟在目标区域输出生态系统类型与覆盖比例、绿地与水体等基础专题、质量信息、过程单元参数表、三类调节服务实物量与价值量试点结果，以及可复算的参数和版本记录。生态类型、绿地等专题图作为核算底图和空间分配依据；固定碳、洪水调蓄、局地气候调节等服务的实物量和价值量须依照相应方法、参数和独立数据完成计算与验证。</w:t>
            </w:r>
          </w:p>
          <w:p>
            <w:pPr>
              <w:spacing w:after="40"/>
              <w:jc w:val="center"/>
            </w:pPr>
            <w:r>
              <w:drawing>
                <wp:inline xmlns:a="http://schemas.openxmlformats.org/drawingml/2006/main" xmlns:pic="http://schemas.openxmlformats.org/drawingml/2006/picture">
                  <wp:extent cx="5328000" cy="5452875"/>
                  <wp:docPr id="3" name="Picture 3"/>
                  <wp:cNvGraphicFramePr>
                    <a:graphicFrameLocks noChangeAspect="1"/>
                  </wp:cNvGraphicFramePr>
                  <a:graphic>
                    <a:graphicData uri="http://schemas.openxmlformats.org/drawingml/2006/picture">
                      <pic:pic>
                        <pic:nvPicPr>
                          <pic:cNvPr id="0" name="haidian_landuse_example.png"/>
                          <pic:cNvPicPr/>
                        </pic:nvPicPr>
                        <pic:blipFill>
                          <a:blip r:embed="rId8"/>
                          <a:stretch>
                            <a:fillRect/>
                          </a:stretch>
                        </pic:blipFill>
                        <pic:spPr>
                          <a:xfrm>
                            <a:off x="0" y="0"/>
                            <a:ext cx="5328000" cy="5452875"/>
                          </a:xfrm>
                          <a:prstGeom prst="rect"/>
                        </pic:spPr>
                      </pic:pic>
                    </a:graphicData>
                  </a:graphic>
                </wp:inline>
              </w:drawing>
            </w:r>
          </w:p>
          <w:p>
            <w:pPr>
              <w:spacing w:after="80" w:line="300" w:lineRule="auto"/>
              <w:ind w:firstLine="0"/>
              <w:jc w:val="center"/>
            </w:pPr>
            <w:r>
              <w:rPr>
                <w:rFonts w:ascii="Times New Roman" w:hAnsi="Times New Roman" w:eastAsia="宋体"/>
                <w:b w:val="0"/>
                <w:sz w:val="18"/>
              </w:rPr>
              <w:t>图3 海淀区土地利用/覆盖专题制图示例。该示例展示月度嵌入可为生态系统类型划分和面积统计提供空间底图；正式项目需在目标区域采用冻结的类别体系与独立验证数据复核。</w:t>
            </w:r>
          </w:p>
          <w:p>
            <w:pPr>
              <w:spacing w:after="80" w:line="300" w:lineRule="auto"/>
              <w:ind w:firstLine="0"/>
              <w:jc w:val="left"/>
            </w:pPr>
            <w:r>
              <w:rPr>
                <w:rFonts w:ascii="Times New Roman" w:hAnsi="Times New Roman" w:eastAsia="宋体"/>
                <w:b/>
                <w:sz w:val="24"/>
              </w:rPr>
              <w:t>4. 预期交付</w:t>
            </w:r>
          </w:p>
          <w:p>
            <w:pPr>
              <w:spacing w:after="80" w:line="300" w:lineRule="auto"/>
              <w:ind w:firstLine="420"/>
              <w:jc w:val="left"/>
            </w:pPr>
            <w:r>
              <w:rPr>
                <w:rFonts w:ascii="Times New Roman" w:hAnsi="Times New Roman" w:eastAsia="宋体"/>
                <w:b w:val="0"/>
                <w:sz w:val="21"/>
              </w:rPr>
              <w:t>交付通用技术方案1套，区域数据与质量台账1套，月度生态状态基础产品和专题图集1套，三类调节服务核算试点成果1套，参数、版本和复算说明1套，以及面向成果查询、指标追溯和复核的工具原型1套。</w:t>
            </w:r>
          </w:p>
        </w:tc>
      </w:tr>
    </w:tbl>
    <w:p w14:paraId="0DFA4B9C">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ascii="Times New Roman" w:hAnsi="Times New Roman" w:eastAsia="黑体" w:cs="Times New Roman"/>
          <w:b/>
          <w:bCs/>
          <w:kern w:val="44"/>
          <w:sz w:val="32"/>
          <w:szCs w:val="44"/>
        </w:rPr>
        <w:br w:type="page"/>
      </w:r>
      <w:r>
        <w:rPr>
          <w:rFonts w:hint="eastAsia" w:ascii="黑体" w:hAnsi="Times New Roman" w:eastAsia="黑体" w:cs="Times New Roman"/>
          <w:b/>
          <w:bCs/>
          <w:kern w:val="44"/>
          <w:sz w:val="32"/>
          <w:szCs w:val="44"/>
        </w:rPr>
        <w:t>三、现有工作基础与优势</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C4E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43" w:hRule="atLeast"/>
        </w:trPr>
        <w:tc>
          <w:tcPr>
            <w:tcW w:w="9061" w:type="dxa"/>
          </w:tcPr>
          <w:p>
            <w:pPr>
              <w:spacing w:after="80" w:line="300" w:lineRule="auto"/>
              <w:ind w:firstLine="0"/>
              <w:jc w:val="left"/>
            </w:pPr>
            <w:r>
              <w:rPr>
                <w:rFonts w:ascii="Times New Roman" w:hAnsi="Times New Roman" w:eastAsia="宋体"/>
                <w:b/>
                <w:sz w:val="24"/>
              </w:rPr>
              <w:t>课题主要研究技术内容的国内外发展现状与趋势，现有技术基础</w:t>
            </w:r>
          </w:p>
          <w:p>
            <w:pPr>
              <w:spacing w:after="80" w:line="300" w:lineRule="auto"/>
              <w:ind w:firstLine="0"/>
              <w:jc w:val="left"/>
            </w:pPr>
            <w:r>
              <w:rPr>
                <w:rFonts w:ascii="Times New Roman" w:hAnsi="Times New Roman" w:eastAsia="宋体"/>
                <w:b/>
                <w:sz w:val="24"/>
              </w:rPr>
              <w:t>国内外发展现状与趋势</w:t>
            </w:r>
          </w:p>
          <w:p>
            <w:pPr>
              <w:spacing w:after="80" w:line="300" w:lineRule="auto"/>
              <w:ind w:firstLine="420"/>
              <w:jc w:val="left"/>
            </w:pPr>
            <w:r>
              <w:rPr>
                <w:rFonts w:ascii="Times New Roman" w:hAnsi="Times New Roman" w:eastAsia="宋体"/>
                <w:b w:val="0"/>
                <w:sz w:val="21"/>
              </w:rPr>
              <w:t>地球观测基础模型正由单期影像分类转向多源、多时相的通用表征学习。以AlphaEarth Foundations等为代表的研究表明，密集地理嵌入可在统一特征空间支撑多种下游制图任务。生态系统服务核算则强调核算单元、实物量方法、价值转换、质量控制和不确定性说明。两者结合的关键不在于以模型直接输出货币价值，而在于以可更新的遥感状态底图降低多源数据对齐和专题制图成本，并把价值核算置于可验证的过程模型和标准口径之下。</w:t>
            </w:r>
          </w:p>
          <w:p>
            <w:pPr>
              <w:spacing w:after="80" w:line="300" w:lineRule="auto"/>
              <w:ind w:firstLine="0"/>
              <w:jc w:val="left"/>
            </w:pPr>
            <w:r>
              <w:rPr>
                <w:rFonts w:ascii="Times New Roman" w:hAnsi="Times New Roman" w:eastAsia="宋体"/>
                <w:b/>
                <w:sz w:val="24"/>
              </w:rPr>
              <w:t>玄女现有技术基础与可迁移边界</w:t>
            </w:r>
          </w:p>
          <w:p>
            <w:pPr>
              <w:spacing w:after="80" w:line="300" w:lineRule="auto"/>
              <w:ind w:firstLine="420"/>
              <w:jc w:val="left"/>
            </w:pPr>
            <w:r>
              <w:rPr>
                <w:rFonts w:ascii="Times New Roman" w:hAnsi="Times New Roman" w:eastAsia="宋体"/>
                <w:b w:val="0"/>
                <w:sz w:val="21"/>
              </w:rPr>
              <w:t>玄女已在海淀区完成多源月度嵌入的训练与下游验证，现有生产模型使用2025年12月至2026年5月数据，在320个1,280米×1,280米样本单元上生成128×128×64月度密集嵌入。已验证建筑、道路、水体及若干OSM衍生类别的轻量专题制图流程，可作为新区域开展数据对齐、嵌入生成、少样本制图和变化分析的技术参考。</w:t>
            </w:r>
          </w:p>
          <w:p>
            <w:pPr>
              <w:spacing w:after="80" w:line="300" w:lineRule="auto"/>
              <w:ind w:firstLine="420"/>
              <w:jc w:val="left"/>
            </w:pPr>
            <w:r>
              <w:rPr>
                <w:rFonts w:ascii="Times New Roman" w:hAnsi="Times New Roman" w:eastAsia="宋体"/>
                <w:b w:val="0"/>
                <w:sz w:val="21"/>
              </w:rPr>
              <w:t>现有海淀模型不是其他区域的现成GEP结论，也不等同于全国通用权重。新区域应用应重新完成数据质量检查、空间对齐、类别适配、专题验证和过程参数配置；对于高分辨率数据、生态类型或气候水文条件显著不同的区域，需进行增量训练或再训练，并在独立数据上验证。</w:t>
            </w:r>
          </w:p>
          <w:p>
            <w:pPr>
              <w:spacing w:after="80" w:line="300" w:lineRule="auto"/>
              <w:ind w:firstLine="0"/>
              <w:jc w:val="left"/>
            </w:pPr>
            <w:r>
              <w:rPr>
                <w:rFonts w:ascii="Times New Roman" w:hAnsi="Times New Roman" w:eastAsia="宋体"/>
                <w:b/>
                <w:sz w:val="24"/>
              </w:rPr>
              <w:t>组织与实施安排</w:t>
            </w:r>
          </w:p>
          <w:p>
            <w:pPr>
              <w:spacing w:after="80" w:line="300" w:lineRule="auto"/>
              <w:ind w:firstLine="420"/>
              <w:jc w:val="left"/>
            </w:pPr>
            <w:r>
              <w:rPr>
                <w:rFonts w:ascii="Times New Roman" w:hAnsi="Times New Roman" w:eastAsia="宋体"/>
                <w:b w:val="0"/>
                <w:sz w:val="21"/>
              </w:rPr>
              <w:t>第一阶段完成目标区域数据盘点、标准口径确认和试点单元设计；第二阶段建设月度生态状态产品和生态专题底图；第三阶段开展固碳、洪水调蓄、局地气候调节三类服务的专题模型、实物量核算和独立验证；第四阶段完成价值量核算、质量复核、成果固化和示范应用。</w:t>
            </w:r>
          </w:p>
          <w:p>
            <w:pPr>
              <w:spacing w:after="80" w:line="300" w:lineRule="auto"/>
              <w:ind w:firstLine="0"/>
              <w:jc w:val="left"/>
            </w:pPr>
            <w:r>
              <w:rPr>
                <w:rFonts w:ascii="Times New Roman" w:hAnsi="Times New Roman" w:eastAsia="宋体"/>
                <w:b/>
                <w:sz w:val="24"/>
              </w:rPr>
              <w:t>验收与质量控制原则</w:t>
            </w:r>
          </w:p>
          <w:p>
            <w:pPr>
              <w:spacing w:after="80" w:line="300" w:lineRule="auto"/>
              <w:ind w:firstLine="420"/>
              <w:jc w:val="left"/>
            </w:pPr>
            <w:r>
              <w:rPr>
                <w:rFonts w:ascii="Times New Roman" w:hAnsi="Times New Roman" w:eastAsia="宋体"/>
                <w:b w:val="0"/>
                <w:sz w:val="21"/>
              </w:rPr>
              <w:t>所有成果记录数据来源、处理日期、空间参考、有效观测、模型版本、参数版本和不确定性说明。遥感专题图与生态服务核算分层验收：前者验证分类或覆盖比例，后者分别验证过程模型与实物量；同一冻结输入、参数和舍入规则下，价值量计算应可重复复算。</w:t>
            </w:r>
          </w:p>
        </w:tc>
      </w:tr>
    </w:tbl>
    <w:p w14:paraId="1D77E40D">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四、拟投入的研发人员</w:t>
      </w:r>
    </w:p>
    <w:tbl>
      <w:tblPr>
        <w:tblStyle w:val="3"/>
        <w:tblpPr w:leftFromText="180" w:rightFromText="180" w:vertAnchor="text" w:horzAnchor="margin" w:tblpY="815"/>
        <w:tblW w:w="484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723"/>
        <w:gridCol w:w="904"/>
        <w:gridCol w:w="1085"/>
        <w:gridCol w:w="1085"/>
        <w:gridCol w:w="1085"/>
        <w:gridCol w:w="1085"/>
        <w:gridCol w:w="1909"/>
      </w:tblGrid>
      <w:tr w14:paraId="76A4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77801052">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姓名</w:t>
            </w:r>
          </w:p>
        </w:tc>
        <w:tc>
          <w:tcPr>
            <w:tcW w:w="412" w:type="pct"/>
            <w:vAlign w:val="center"/>
          </w:tcPr>
          <w:p w14:paraId="088B9AFD">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性别</w:t>
            </w:r>
          </w:p>
        </w:tc>
        <w:tc>
          <w:tcPr>
            <w:tcW w:w="515" w:type="pct"/>
            <w:vAlign w:val="center"/>
          </w:tcPr>
          <w:p w14:paraId="60B8E4FB">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出生年月</w:t>
            </w:r>
          </w:p>
        </w:tc>
        <w:tc>
          <w:tcPr>
            <w:tcW w:w="618" w:type="pct"/>
            <w:vAlign w:val="center"/>
          </w:tcPr>
          <w:p w14:paraId="28402207">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职务职称</w:t>
            </w:r>
          </w:p>
        </w:tc>
        <w:tc>
          <w:tcPr>
            <w:tcW w:w="618" w:type="pct"/>
            <w:vAlign w:val="center"/>
          </w:tcPr>
          <w:p w14:paraId="02B7CAE5">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所学专业</w:t>
            </w:r>
          </w:p>
        </w:tc>
        <w:tc>
          <w:tcPr>
            <w:tcW w:w="618" w:type="pct"/>
            <w:vAlign w:val="center"/>
          </w:tcPr>
          <w:p w14:paraId="3F5F2B20">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现从事专业</w:t>
            </w:r>
          </w:p>
        </w:tc>
        <w:tc>
          <w:tcPr>
            <w:tcW w:w="618" w:type="pct"/>
            <w:vAlign w:val="center"/>
          </w:tcPr>
          <w:p w14:paraId="5C69B4EE">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所在单位</w:t>
            </w:r>
          </w:p>
        </w:tc>
        <w:tc>
          <w:tcPr>
            <w:tcW w:w="1088" w:type="pct"/>
            <w:vAlign w:val="center"/>
          </w:tcPr>
          <w:p w14:paraId="6914F3CA">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在本项目中承担的任务</w:t>
            </w:r>
          </w:p>
        </w:tc>
      </w:tr>
      <w:tr w14:paraId="1AFF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pPr>
              <w:spacing w:after="80" w:line="300" w:lineRule="auto"/>
              <w:ind w:firstLine="0"/>
              <w:jc w:val="center"/>
            </w:pPr>
            <w:r>
              <w:rPr>
                <w:rFonts w:ascii="Times New Roman" w:hAnsi="Times New Roman" w:eastAsia="宋体"/>
                <w:b w:val="0"/>
                <w:sz w:val="21"/>
              </w:rPr>
              <w:t>总体统筹、技术路线与成果质量控制</w:t>
            </w:r>
          </w:p>
        </w:tc>
      </w:tr>
      <w:tr w14:paraId="443D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5515C621">
            <w:pPr>
              <w:spacing w:line="400" w:lineRule="exact"/>
              <w:jc w:val="center"/>
              <w:rPr>
                <w:rFonts w:ascii="仿宋_GB2312" w:hAnsi="仿宋" w:eastAsia="仿宋_GB2312" w:cs="Times New Roman"/>
                <w:color w:val="000000"/>
                <w:sz w:val="24"/>
              </w:rPr>
            </w:pPr>
          </w:p>
        </w:tc>
        <w:tc>
          <w:tcPr>
            <w:tcW w:w="412" w:type="pct"/>
            <w:vAlign w:val="center"/>
          </w:tcPr>
          <w:p w14:paraId="0AD43D1B">
            <w:pPr>
              <w:spacing w:line="240" w:lineRule="atLeast"/>
              <w:jc w:val="center"/>
              <w:rPr>
                <w:rFonts w:ascii="仿宋_GB2312" w:hAnsi="仿宋" w:eastAsia="仿宋_GB2312" w:cs="Times New Roman"/>
                <w:color w:val="000000"/>
                <w:sz w:val="24"/>
              </w:rPr>
            </w:pPr>
          </w:p>
        </w:tc>
        <w:tc>
          <w:tcPr>
            <w:tcW w:w="515" w:type="pct"/>
            <w:vAlign w:val="center"/>
          </w:tcPr>
          <w:p w14:paraId="0DCCEE33">
            <w:pPr>
              <w:spacing w:line="240" w:lineRule="atLeast"/>
              <w:jc w:val="center"/>
              <w:rPr>
                <w:rFonts w:ascii="仿宋_GB2312" w:hAnsi="仿宋" w:eastAsia="仿宋_GB2312" w:cs="Times New Roman"/>
                <w:color w:val="000000"/>
                <w:sz w:val="24"/>
              </w:rPr>
            </w:pPr>
          </w:p>
        </w:tc>
        <w:tc>
          <w:tcPr>
            <w:tcW w:w="618" w:type="pct"/>
            <w:vAlign w:val="center"/>
          </w:tcPr>
          <w:p w14:paraId="6AFC2094">
            <w:pPr>
              <w:spacing w:line="240" w:lineRule="atLeast"/>
              <w:jc w:val="center"/>
              <w:rPr>
                <w:rFonts w:ascii="仿宋_GB2312" w:hAnsi="仿宋" w:eastAsia="仿宋_GB2312" w:cs="Times New Roman"/>
                <w:color w:val="000000"/>
                <w:sz w:val="24"/>
              </w:rPr>
            </w:pPr>
          </w:p>
        </w:tc>
        <w:tc>
          <w:tcPr>
            <w:tcW w:w="618" w:type="pct"/>
            <w:vAlign w:val="center"/>
          </w:tcPr>
          <w:p w14:paraId="2503945C">
            <w:pPr>
              <w:spacing w:line="240" w:lineRule="atLeast"/>
              <w:jc w:val="center"/>
              <w:rPr>
                <w:rFonts w:ascii="仿宋_GB2312" w:hAnsi="仿宋" w:eastAsia="仿宋_GB2312" w:cs="Times New Roman"/>
                <w:color w:val="000000"/>
                <w:sz w:val="24"/>
              </w:rPr>
            </w:pPr>
          </w:p>
        </w:tc>
        <w:tc>
          <w:tcPr>
            <w:tcW w:w="618" w:type="pct"/>
            <w:vAlign w:val="center"/>
          </w:tcPr>
          <w:p w14:paraId="400E0CD8">
            <w:pPr>
              <w:spacing w:line="240" w:lineRule="atLeast"/>
              <w:jc w:val="center"/>
              <w:rPr>
                <w:rFonts w:ascii="仿宋_GB2312" w:hAnsi="仿宋" w:eastAsia="仿宋_GB2312" w:cs="Times New Roman"/>
                <w:color w:val="000000"/>
                <w:sz w:val="24"/>
              </w:rPr>
            </w:pPr>
          </w:p>
        </w:tc>
        <w:tc>
          <w:tcPr>
            <w:tcW w:w="618" w:type="pct"/>
            <w:vAlign w:val="center"/>
          </w:tcPr>
          <w:p w14:paraId="40515DDC">
            <w:pPr>
              <w:spacing w:line="240" w:lineRule="atLeast"/>
              <w:jc w:val="center"/>
              <w:rPr>
                <w:rFonts w:ascii="仿宋_GB2312" w:hAnsi="仿宋" w:eastAsia="仿宋_GB2312" w:cs="Times New Roman"/>
                <w:color w:val="000000"/>
                <w:sz w:val="24"/>
              </w:rPr>
            </w:pPr>
          </w:p>
        </w:tc>
        <w:tc>
          <w:tcPr>
            <w:tcW w:w="1088" w:type="pct"/>
            <w:vAlign w:val="center"/>
          </w:tcPr>
          <w:p w14:paraId="45925398">
            <w:pPr>
              <w:spacing w:line="240" w:lineRule="atLeast"/>
              <w:jc w:val="center"/>
              <w:rPr>
                <w:rFonts w:ascii="仿宋_GB2312" w:hAnsi="仿宋" w:eastAsia="仿宋_GB2312" w:cs="Times New Roman"/>
                <w:color w:val="000000"/>
                <w:sz w:val="24"/>
              </w:rPr>
            </w:pPr>
          </w:p>
        </w:tc>
      </w:tr>
      <w:tr w14:paraId="3FA6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75849A6">
            <w:pPr>
              <w:spacing w:line="400" w:lineRule="exact"/>
              <w:rPr>
                <w:rFonts w:ascii="仿宋_GB2312" w:hAnsi="仿宋" w:eastAsia="仿宋_GB2312" w:cs="Times New Roman"/>
                <w:color w:val="000000"/>
                <w:sz w:val="24"/>
              </w:rPr>
            </w:pPr>
            <w:r>
              <w:rPr>
                <w:rFonts w:hint="eastAsia" w:ascii="仿宋_GB2312" w:hAnsi="仿宋" w:eastAsia="仿宋_GB2312" w:cs="Times New Roman"/>
                <w:color w:val="000000"/>
                <w:sz w:val="24"/>
              </w:rPr>
              <w:t>主要参加人员</w:t>
            </w:r>
          </w:p>
        </w:tc>
      </w:tr>
      <w:tr w14:paraId="39318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80" w:line="300" w:lineRule="auto"/>
              <w:ind w:firstLine="0"/>
              <w:jc w:val="center"/>
            </w:pPr>
            <w:r>
              <w:rPr>
                <w:rFonts w:ascii="Times New Roman" w:hAnsi="Times New Roman" w:eastAsia="宋体"/>
                <w:b w:val="0"/>
                <w:sz w:val="21"/>
              </w:rPr>
              <w:t>遥感与数据工程人员（待填）</w:t>
            </w:r>
          </w:p>
        </w:tc>
        <w:tc>
          <w:tcPr>
            <w:tcW w:w="412" w:type="pct"/>
            <w:vAlign w:val="center"/>
          </w:tcPr>
          <w:p w14:paraId="33CE7242">
            <w:pPr>
              <w:spacing w:line="240" w:lineRule="atLeast"/>
              <w:jc w:val="center"/>
              <w:rPr>
                <w:rFonts w:ascii="仿宋_GB2312" w:hAnsi="仿宋" w:eastAsia="仿宋_GB2312" w:cs="Times New Roman"/>
                <w:color w:val="000000"/>
                <w:sz w:val="24"/>
              </w:rPr>
            </w:pPr>
          </w:p>
        </w:tc>
        <w:tc>
          <w:tcPr>
            <w:tcW w:w="515" w:type="pct"/>
            <w:vAlign w:val="center"/>
          </w:tcPr>
          <w:p w14:paraId="3057F1B9">
            <w:pPr>
              <w:spacing w:line="240" w:lineRule="atLeast"/>
              <w:jc w:val="center"/>
              <w:rPr>
                <w:rFonts w:ascii="仿宋_GB2312" w:hAnsi="仿宋" w:eastAsia="仿宋_GB2312" w:cs="Times New Roman"/>
                <w:color w:val="000000"/>
                <w:sz w:val="24"/>
              </w:rPr>
            </w:pPr>
          </w:p>
        </w:tc>
        <w:tc>
          <w:tcPr>
            <w:tcW w:w="618" w:type="pct"/>
            <w:vAlign w:val="center"/>
          </w:tcPr>
          <w:p w14:paraId="72A71862">
            <w:pPr>
              <w:spacing w:line="240" w:lineRule="atLeast"/>
              <w:jc w:val="center"/>
              <w:rPr>
                <w:rFonts w:ascii="仿宋_GB2312" w:hAnsi="仿宋" w:eastAsia="仿宋_GB2312" w:cs="Times New Roman"/>
                <w:color w:val="000000"/>
                <w:sz w:val="24"/>
              </w:rPr>
            </w:pPr>
          </w:p>
        </w:tc>
        <w:tc>
          <w:tcPr>
            <w:tcW w:w="618" w:type="pct"/>
            <w:vAlign w:val="center"/>
          </w:tcPr>
          <w:p w14:paraId="29B87E33">
            <w:pPr>
              <w:spacing w:line="240" w:lineRule="atLeast"/>
              <w:jc w:val="center"/>
              <w:rPr>
                <w:rFonts w:ascii="仿宋_GB2312" w:hAnsi="仿宋" w:eastAsia="仿宋_GB2312" w:cs="Times New Roman"/>
                <w:color w:val="000000"/>
                <w:sz w:val="24"/>
              </w:rPr>
            </w:pPr>
          </w:p>
        </w:tc>
        <w:tc>
          <w:tcPr>
            <w:tcW w:w="618" w:type="pct"/>
            <w:vAlign w:val="center"/>
          </w:tcPr>
          <w:p w14:paraId="622B2E3B">
            <w:pPr>
              <w:spacing w:line="240" w:lineRule="atLeast"/>
              <w:jc w:val="center"/>
              <w:rPr>
                <w:rFonts w:ascii="仿宋_GB2312" w:hAnsi="仿宋" w:eastAsia="仿宋_GB2312" w:cs="Times New Roman"/>
                <w:color w:val="000000"/>
                <w:sz w:val="24"/>
              </w:rPr>
            </w:pPr>
          </w:p>
        </w:tc>
        <w:tc>
          <w:tcPr>
            <w:tcW w:w="618" w:type="pct"/>
            <w:vAlign w:val="center"/>
          </w:tcPr>
          <w:p w14:paraId="6560763C">
            <w:pPr>
              <w:spacing w:line="240" w:lineRule="atLeast"/>
              <w:jc w:val="center"/>
              <w:rPr>
                <w:rFonts w:ascii="仿宋_GB2312" w:hAnsi="仿宋" w:eastAsia="仿宋_GB2312" w:cs="Times New Roman"/>
                <w:color w:val="000000"/>
                <w:sz w:val="24"/>
              </w:rPr>
            </w:pPr>
          </w:p>
        </w:tc>
        <w:tc>
          <w:tcPr>
            <w:tcW w:w="1088" w:type="pct"/>
            <w:vAlign w:val="center"/>
          </w:tcPr>
          <w:p>
            <w:pPr>
              <w:spacing w:after="80" w:line="300" w:lineRule="auto"/>
              <w:ind w:firstLine="0"/>
              <w:jc w:val="center"/>
            </w:pPr>
            <w:r>
              <w:rPr>
                <w:rFonts w:ascii="Times New Roman" w:hAnsi="Times New Roman" w:eastAsia="宋体"/>
                <w:b w:val="0"/>
                <w:sz w:val="21"/>
              </w:rPr>
              <w:t>数据处理、月度产品、质量与版本管理</w:t>
            </w:r>
          </w:p>
        </w:tc>
      </w:tr>
      <w:tr w14:paraId="0C7A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80" w:line="300" w:lineRule="auto"/>
              <w:ind w:firstLine="0"/>
              <w:jc w:val="center"/>
            </w:pPr>
            <w:r>
              <w:rPr>
                <w:rFonts w:ascii="Times New Roman" w:hAnsi="Times New Roman" w:eastAsia="宋体"/>
                <w:b w:val="0"/>
                <w:sz w:val="21"/>
              </w:rPr>
              <w:t>生态核算与专题模型人员（待填）</w:t>
            </w:r>
          </w:p>
        </w:tc>
        <w:tc>
          <w:tcPr>
            <w:tcW w:w="412" w:type="pct"/>
            <w:vAlign w:val="center"/>
          </w:tcPr>
          <w:p w14:paraId="723AF177">
            <w:pPr>
              <w:spacing w:line="240" w:lineRule="atLeast"/>
              <w:jc w:val="center"/>
              <w:rPr>
                <w:rFonts w:ascii="仿宋_GB2312" w:hAnsi="仿宋" w:eastAsia="仿宋_GB2312" w:cs="Times New Roman"/>
                <w:color w:val="000000"/>
                <w:sz w:val="24"/>
              </w:rPr>
            </w:pPr>
          </w:p>
        </w:tc>
        <w:tc>
          <w:tcPr>
            <w:tcW w:w="515" w:type="pct"/>
            <w:vAlign w:val="center"/>
          </w:tcPr>
          <w:p w14:paraId="7FBAE825">
            <w:pPr>
              <w:spacing w:line="240" w:lineRule="atLeast"/>
              <w:jc w:val="center"/>
              <w:rPr>
                <w:rFonts w:ascii="仿宋_GB2312" w:hAnsi="仿宋" w:eastAsia="仿宋_GB2312" w:cs="Times New Roman"/>
                <w:color w:val="000000"/>
                <w:sz w:val="24"/>
              </w:rPr>
            </w:pPr>
          </w:p>
        </w:tc>
        <w:tc>
          <w:tcPr>
            <w:tcW w:w="618" w:type="pct"/>
            <w:vAlign w:val="center"/>
          </w:tcPr>
          <w:p w14:paraId="0CDDECC6">
            <w:pPr>
              <w:spacing w:line="240" w:lineRule="atLeast"/>
              <w:jc w:val="center"/>
              <w:rPr>
                <w:rFonts w:ascii="仿宋_GB2312" w:hAnsi="仿宋" w:eastAsia="仿宋_GB2312" w:cs="Times New Roman"/>
                <w:color w:val="000000"/>
                <w:sz w:val="24"/>
              </w:rPr>
            </w:pPr>
          </w:p>
        </w:tc>
        <w:tc>
          <w:tcPr>
            <w:tcW w:w="618" w:type="pct"/>
            <w:vAlign w:val="center"/>
          </w:tcPr>
          <w:p w14:paraId="15DE15FC">
            <w:pPr>
              <w:spacing w:line="240" w:lineRule="atLeast"/>
              <w:jc w:val="center"/>
              <w:rPr>
                <w:rFonts w:ascii="仿宋_GB2312" w:hAnsi="仿宋" w:eastAsia="仿宋_GB2312" w:cs="Times New Roman"/>
                <w:color w:val="000000"/>
                <w:sz w:val="24"/>
              </w:rPr>
            </w:pPr>
          </w:p>
        </w:tc>
        <w:tc>
          <w:tcPr>
            <w:tcW w:w="618" w:type="pct"/>
            <w:vAlign w:val="center"/>
          </w:tcPr>
          <w:p w14:paraId="28F9E3C3">
            <w:pPr>
              <w:spacing w:line="240" w:lineRule="atLeast"/>
              <w:jc w:val="center"/>
              <w:rPr>
                <w:rFonts w:ascii="仿宋_GB2312" w:hAnsi="仿宋" w:eastAsia="仿宋_GB2312" w:cs="Times New Roman"/>
                <w:color w:val="000000"/>
                <w:sz w:val="24"/>
              </w:rPr>
            </w:pPr>
          </w:p>
        </w:tc>
        <w:tc>
          <w:tcPr>
            <w:tcW w:w="618" w:type="pct"/>
            <w:vAlign w:val="center"/>
          </w:tcPr>
          <w:p w14:paraId="6A53AE53">
            <w:pPr>
              <w:spacing w:line="240" w:lineRule="atLeast"/>
              <w:jc w:val="center"/>
              <w:rPr>
                <w:rFonts w:ascii="仿宋_GB2312" w:hAnsi="仿宋" w:eastAsia="仿宋_GB2312" w:cs="Times New Roman"/>
                <w:color w:val="000000"/>
                <w:sz w:val="24"/>
              </w:rPr>
            </w:pPr>
          </w:p>
        </w:tc>
        <w:tc>
          <w:tcPr>
            <w:tcW w:w="1088" w:type="pct"/>
            <w:vAlign w:val="center"/>
          </w:tcPr>
          <w:p>
            <w:pPr>
              <w:spacing w:after="80" w:line="300" w:lineRule="auto"/>
              <w:ind w:firstLine="0"/>
              <w:jc w:val="center"/>
            </w:pPr>
            <w:r>
              <w:rPr>
                <w:rFonts w:ascii="Times New Roman" w:hAnsi="Times New Roman" w:eastAsia="宋体"/>
                <w:b w:val="0"/>
                <w:sz w:val="21"/>
              </w:rPr>
              <w:t>服务核算、独立验证与参数管理</w:t>
            </w:r>
          </w:p>
        </w:tc>
      </w:tr>
      <w:tr w14:paraId="04891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C27B973">
            <w:pPr>
              <w:spacing w:line="240" w:lineRule="atLeast"/>
              <w:rPr>
                <w:rFonts w:ascii="仿宋_GB2312" w:hAnsi="仿宋" w:eastAsia="仿宋_GB2312" w:cs="Times New Roman"/>
                <w:color w:val="000000"/>
                <w:sz w:val="24"/>
              </w:rPr>
            </w:pPr>
            <w:r>
              <w:rPr>
                <w:rFonts w:hint="eastAsia" w:ascii="仿宋_GB2312" w:hAnsi="仿宋" w:eastAsia="仿宋_GB2312" w:cs="Times New Roman"/>
                <w:color w:val="000000"/>
                <w:sz w:val="24"/>
              </w:rPr>
              <w:t>管理人员（辅助人员）</w:t>
            </w:r>
          </w:p>
        </w:tc>
      </w:tr>
      <w:tr w14:paraId="148A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80" w:line="300" w:lineRule="auto"/>
              <w:ind w:firstLine="0"/>
              <w:jc w:val="center"/>
            </w:pPr>
            <w:r>
              <w:rPr>
                <w:rFonts w:ascii="Times New Roman" w:hAnsi="Times New Roman" w:eastAsia="宋体"/>
                <w:b w:val="0"/>
                <w:sz w:val="21"/>
              </w:rPr>
              <w:t>平台与质量复核人员（待填）</w:t>
            </w:r>
          </w:p>
        </w:tc>
        <w:tc>
          <w:tcPr>
            <w:tcW w:w="412" w:type="pct"/>
            <w:vAlign w:val="center"/>
          </w:tcPr>
          <w:p w14:paraId="05123B3C">
            <w:pPr>
              <w:spacing w:line="240" w:lineRule="atLeast"/>
              <w:jc w:val="center"/>
              <w:rPr>
                <w:rFonts w:ascii="仿宋_GB2312" w:hAnsi="仿宋" w:eastAsia="仿宋_GB2312" w:cs="Times New Roman"/>
                <w:color w:val="000000"/>
                <w:sz w:val="24"/>
              </w:rPr>
            </w:pPr>
          </w:p>
        </w:tc>
        <w:tc>
          <w:tcPr>
            <w:tcW w:w="515" w:type="pct"/>
            <w:vAlign w:val="center"/>
          </w:tcPr>
          <w:p w14:paraId="03F51906">
            <w:pPr>
              <w:spacing w:line="240" w:lineRule="atLeast"/>
              <w:jc w:val="center"/>
              <w:rPr>
                <w:rFonts w:ascii="仿宋_GB2312" w:hAnsi="仿宋" w:eastAsia="仿宋_GB2312" w:cs="Times New Roman"/>
                <w:color w:val="000000"/>
                <w:sz w:val="24"/>
              </w:rPr>
            </w:pPr>
          </w:p>
        </w:tc>
        <w:tc>
          <w:tcPr>
            <w:tcW w:w="618" w:type="pct"/>
            <w:vAlign w:val="center"/>
          </w:tcPr>
          <w:p w14:paraId="3B825D4D">
            <w:pPr>
              <w:spacing w:line="240" w:lineRule="atLeast"/>
              <w:jc w:val="center"/>
              <w:rPr>
                <w:rFonts w:ascii="仿宋_GB2312" w:hAnsi="仿宋" w:eastAsia="仿宋_GB2312" w:cs="Times New Roman"/>
                <w:color w:val="000000"/>
                <w:sz w:val="24"/>
              </w:rPr>
            </w:pPr>
          </w:p>
        </w:tc>
        <w:tc>
          <w:tcPr>
            <w:tcW w:w="618" w:type="pct"/>
            <w:vAlign w:val="center"/>
          </w:tcPr>
          <w:p w14:paraId="42B1A52B">
            <w:pPr>
              <w:spacing w:line="240" w:lineRule="atLeast"/>
              <w:jc w:val="center"/>
              <w:rPr>
                <w:rFonts w:ascii="仿宋_GB2312" w:hAnsi="仿宋" w:eastAsia="仿宋_GB2312" w:cs="Times New Roman"/>
                <w:color w:val="000000"/>
                <w:sz w:val="24"/>
              </w:rPr>
            </w:pPr>
          </w:p>
        </w:tc>
        <w:tc>
          <w:tcPr>
            <w:tcW w:w="618" w:type="pct"/>
            <w:vAlign w:val="center"/>
          </w:tcPr>
          <w:p w14:paraId="233ED173">
            <w:pPr>
              <w:spacing w:line="240" w:lineRule="atLeast"/>
              <w:jc w:val="center"/>
              <w:rPr>
                <w:rFonts w:ascii="仿宋_GB2312" w:hAnsi="仿宋" w:eastAsia="仿宋_GB2312" w:cs="Times New Roman"/>
                <w:color w:val="000000"/>
                <w:sz w:val="24"/>
              </w:rPr>
            </w:pPr>
          </w:p>
        </w:tc>
        <w:tc>
          <w:tcPr>
            <w:tcW w:w="618" w:type="pct"/>
            <w:vAlign w:val="center"/>
          </w:tcPr>
          <w:p w14:paraId="03525BE4">
            <w:pPr>
              <w:spacing w:line="240" w:lineRule="atLeast"/>
              <w:jc w:val="center"/>
              <w:rPr>
                <w:rFonts w:ascii="仿宋_GB2312" w:hAnsi="仿宋" w:eastAsia="仿宋_GB2312" w:cs="Times New Roman"/>
                <w:color w:val="000000"/>
                <w:sz w:val="24"/>
              </w:rPr>
            </w:pPr>
          </w:p>
        </w:tc>
        <w:tc>
          <w:tcPr>
            <w:tcW w:w="1088" w:type="pct"/>
            <w:vAlign w:val="center"/>
          </w:tcPr>
          <w:p>
            <w:pPr>
              <w:spacing w:after="80" w:line="300" w:lineRule="auto"/>
              <w:ind w:firstLine="0"/>
              <w:jc w:val="center"/>
            </w:pPr>
            <w:r>
              <w:rPr>
                <w:rFonts w:ascii="Times New Roman" w:hAnsi="Times New Roman" w:eastAsia="宋体"/>
                <w:b w:val="0"/>
                <w:sz w:val="21"/>
              </w:rPr>
              <w:t>工具开发、结果复算与成果交付</w:t>
            </w:r>
          </w:p>
        </w:tc>
      </w:tr>
    </w:tbl>
    <w:p w14:paraId="03E5CC79">
      <w:pPr>
        <w:rPr>
          <w:rFonts w:ascii="黑体" w:hAnsi="Times New Roman" w:eastAsia="黑体" w:cs="Times New Roman"/>
          <w:b/>
          <w:bCs/>
          <w:kern w:val="44"/>
          <w:sz w:val="32"/>
          <w:szCs w:val="44"/>
        </w:rPr>
      </w:pPr>
    </w:p>
    <w:p w14:paraId="11F6B994">
      <w:pPr>
        <w:rPr>
          <w:rFonts w:ascii="黑体" w:hAnsi="Times New Roman" w:eastAsia="黑体" w:cs="Times New Roman"/>
          <w:b/>
          <w:bCs/>
          <w:kern w:val="44"/>
          <w:sz w:val="32"/>
          <w:szCs w:val="44"/>
        </w:rPr>
      </w:pPr>
    </w:p>
    <w:p w14:paraId="79D086DA">
      <w:pPr>
        <w:rPr>
          <w:rFonts w:ascii="黑体" w:hAnsi="Times New Roman" w:eastAsia="黑体" w:cs="Times New Roman"/>
          <w:b/>
          <w:bCs/>
          <w:kern w:val="44"/>
          <w:sz w:val="32"/>
          <w:szCs w:val="44"/>
        </w:rPr>
      </w:pPr>
    </w:p>
    <w:p w14:paraId="3627FDA5">
      <w:pPr>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br w:type="page"/>
      </w:r>
    </w:p>
    <w:p w14:paraId="45910775">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五、经费预算</w:t>
      </w:r>
    </w:p>
    <w:p w14:paraId="4BACC91B">
      <w:pPr>
        <w:spacing w:line="360" w:lineRule="auto"/>
        <w:ind w:right="567" w:firstLine="6600" w:firstLineChars="2750"/>
        <w:rPr>
          <w:rFonts w:ascii="仿宋" w:hAnsi="仿宋" w:eastAsia="仿宋" w:cs="Mongolian Baiti"/>
          <w:color w:val="000000"/>
          <w:sz w:val="24"/>
        </w:rPr>
      </w:pPr>
      <w:r>
        <w:rPr>
          <w:rFonts w:hint="eastAsia" w:ascii="Calibri" w:hAnsi="Calibri" w:eastAsia="宋体" w:cs="Mongolian Baiti"/>
          <w:color w:val="000000"/>
          <w:sz w:val="24"/>
        </w:rPr>
        <w:t>单位：万元</w:t>
      </w:r>
    </w:p>
    <w:tbl>
      <w:tblPr>
        <w:tblStyle w:val="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9"/>
        <w:gridCol w:w="3434"/>
        <w:gridCol w:w="1506"/>
        <w:gridCol w:w="1667"/>
        <w:gridCol w:w="1671"/>
      </w:tblGrid>
      <w:tr w14:paraId="64FF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430" w:type="pct"/>
            <w:vMerge w:val="restart"/>
            <w:vAlign w:val="center"/>
          </w:tcPr>
          <w:p w14:paraId="6D8FAC38">
            <w:pPr>
              <w:jc w:val="center"/>
              <w:rPr>
                <w:rFonts w:ascii="Calibri" w:hAnsi="Calibri" w:eastAsia="宋体" w:cs="Mongolian Baiti"/>
                <w:b/>
                <w:color w:val="000000"/>
                <w:sz w:val="24"/>
              </w:rPr>
            </w:pPr>
            <w:r>
              <w:rPr>
                <w:rFonts w:hint="eastAsia" w:ascii="Calibri" w:hAnsi="Calibri" w:eastAsia="宋体" w:cs="Mongolian Baiti"/>
                <w:b/>
                <w:color w:val="000000"/>
                <w:sz w:val="24"/>
              </w:rPr>
              <w:t>序号</w:t>
            </w:r>
          </w:p>
        </w:tc>
        <w:tc>
          <w:tcPr>
            <w:tcW w:w="1895" w:type="pct"/>
            <w:vMerge w:val="restart"/>
            <w:vAlign w:val="center"/>
          </w:tcPr>
          <w:p w14:paraId="4FB24B47">
            <w:pPr>
              <w:jc w:val="center"/>
              <w:rPr>
                <w:rFonts w:ascii="Calibri" w:hAnsi="Calibri" w:eastAsia="宋体" w:cs="Mongolian Baiti"/>
                <w:b/>
                <w:color w:val="000000"/>
                <w:sz w:val="24"/>
              </w:rPr>
            </w:pPr>
            <w:r>
              <w:rPr>
                <w:rFonts w:hint="eastAsia" w:ascii="Calibri" w:hAnsi="Calibri" w:eastAsia="宋体" w:cs="Mongolian Baiti"/>
                <w:b/>
                <w:color w:val="000000"/>
                <w:sz w:val="24"/>
              </w:rPr>
              <w:t>预算科目</w:t>
            </w:r>
          </w:p>
        </w:tc>
        <w:tc>
          <w:tcPr>
            <w:tcW w:w="2673" w:type="pct"/>
            <w:gridSpan w:val="3"/>
            <w:vAlign w:val="center"/>
          </w:tcPr>
          <w:p w14:paraId="069434BD">
            <w:pPr>
              <w:jc w:val="center"/>
              <w:rPr>
                <w:rFonts w:ascii="Calibri" w:hAnsi="Calibri" w:eastAsia="宋体" w:cs="Mongolian Baiti"/>
                <w:b/>
                <w:color w:val="000000"/>
                <w:sz w:val="24"/>
              </w:rPr>
            </w:pPr>
            <w:r>
              <w:rPr>
                <w:rFonts w:hint="eastAsia" w:ascii="Calibri" w:hAnsi="Calibri" w:eastAsia="宋体" w:cs="Mongolian Baiti"/>
                <w:b/>
                <w:color w:val="000000"/>
                <w:sz w:val="24"/>
              </w:rPr>
              <w:t>经费金额</w:t>
            </w:r>
          </w:p>
        </w:tc>
      </w:tr>
      <w:tr w14:paraId="47589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Merge w:val="continue"/>
            <w:vAlign w:val="center"/>
          </w:tcPr>
          <w:p w14:paraId="5047C9A8">
            <w:pPr>
              <w:jc w:val="center"/>
              <w:rPr>
                <w:rFonts w:ascii="Calibri" w:hAnsi="Calibri" w:eastAsia="宋体" w:cs="Mongolian Baiti"/>
                <w:color w:val="000000"/>
                <w:sz w:val="24"/>
              </w:rPr>
            </w:pPr>
          </w:p>
        </w:tc>
        <w:tc>
          <w:tcPr>
            <w:tcW w:w="1895" w:type="pct"/>
            <w:vMerge w:val="continue"/>
            <w:vAlign w:val="center"/>
          </w:tcPr>
          <w:p w14:paraId="4986D02B">
            <w:pPr>
              <w:jc w:val="center"/>
              <w:rPr>
                <w:rFonts w:ascii="Calibri" w:hAnsi="Calibri" w:eastAsia="宋体" w:cs="Mongolian Baiti"/>
                <w:b/>
                <w:color w:val="000000"/>
                <w:sz w:val="24"/>
              </w:rPr>
            </w:pPr>
          </w:p>
        </w:tc>
        <w:tc>
          <w:tcPr>
            <w:tcW w:w="831" w:type="pct"/>
            <w:vAlign w:val="center"/>
          </w:tcPr>
          <w:p w14:paraId="2035F28C">
            <w:pPr>
              <w:jc w:val="center"/>
              <w:rPr>
                <w:rFonts w:ascii="Calibri" w:hAnsi="Calibri" w:eastAsia="宋体" w:cs="Mongolian Baiti"/>
                <w:b/>
                <w:color w:val="000000"/>
                <w:sz w:val="24"/>
              </w:rPr>
            </w:pPr>
            <w:r>
              <w:rPr>
                <w:rFonts w:hint="eastAsia" w:ascii="Calibri" w:hAnsi="Calibri" w:eastAsia="宋体" w:cs="Mongolian Baiti"/>
                <w:b/>
                <w:color w:val="000000"/>
                <w:sz w:val="24"/>
              </w:rPr>
              <w:t>企业投入</w:t>
            </w:r>
          </w:p>
        </w:tc>
        <w:tc>
          <w:tcPr>
            <w:tcW w:w="920" w:type="pct"/>
            <w:vAlign w:val="center"/>
          </w:tcPr>
          <w:p w14:paraId="00C28779">
            <w:pPr>
              <w:jc w:val="center"/>
              <w:rPr>
                <w:rFonts w:ascii="Calibri" w:hAnsi="Calibri" w:eastAsia="宋体" w:cs="Mongolian Baiti"/>
                <w:b/>
                <w:color w:val="000000"/>
                <w:sz w:val="24"/>
              </w:rPr>
            </w:pPr>
            <w:r>
              <w:rPr>
                <w:rFonts w:hint="eastAsia" w:ascii="Calibri" w:hAnsi="Calibri" w:eastAsia="宋体" w:cs="Mongolian Baiti"/>
                <w:b/>
                <w:color w:val="000000"/>
                <w:sz w:val="24"/>
              </w:rPr>
              <w:t>部门配套</w:t>
            </w:r>
          </w:p>
        </w:tc>
        <w:tc>
          <w:tcPr>
            <w:tcW w:w="921" w:type="pct"/>
            <w:vAlign w:val="center"/>
          </w:tcPr>
          <w:p w14:paraId="61F8F4CF">
            <w:pPr>
              <w:jc w:val="center"/>
              <w:rPr>
                <w:rFonts w:ascii="Calibri" w:hAnsi="Calibri" w:eastAsia="宋体" w:cs="Mongolian Baiti"/>
                <w:b/>
                <w:color w:val="000000"/>
                <w:sz w:val="24"/>
              </w:rPr>
            </w:pPr>
            <w:r>
              <w:rPr>
                <w:rFonts w:hint="eastAsia" w:ascii="Calibri" w:hAnsi="Calibri" w:eastAsia="宋体" w:cs="Mongolian Baiti"/>
                <w:b/>
                <w:color w:val="000000"/>
                <w:sz w:val="24"/>
              </w:rPr>
              <w:t>小计</w:t>
            </w:r>
          </w:p>
        </w:tc>
      </w:tr>
      <w:tr w14:paraId="686F4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307E2F5">
            <w:pPr>
              <w:jc w:val="center"/>
              <w:rPr>
                <w:rFonts w:ascii="Calibri" w:hAnsi="Calibri" w:eastAsia="宋体" w:cs="Mongolian Baiti"/>
                <w:color w:val="000000"/>
                <w:sz w:val="24"/>
              </w:rPr>
            </w:pPr>
            <w:r>
              <w:rPr>
                <w:rFonts w:hint="eastAsia" w:ascii="Calibri" w:hAnsi="Calibri" w:eastAsia="宋体" w:cs="Mongolian Baiti"/>
                <w:color w:val="000000"/>
                <w:sz w:val="24"/>
              </w:rPr>
              <w:t>1</w:t>
            </w:r>
          </w:p>
        </w:tc>
        <w:tc>
          <w:tcPr>
            <w:tcW w:w="1895" w:type="pct"/>
            <w:vAlign w:val="center"/>
          </w:tcPr>
          <w:p w14:paraId="547F1926">
            <w:pPr>
              <w:jc w:val="left"/>
              <w:rPr>
                <w:rFonts w:ascii="Calibri" w:hAnsi="Calibri" w:eastAsia="宋体" w:cs="Mongolian Baiti"/>
                <w:b/>
                <w:color w:val="000000"/>
                <w:sz w:val="24"/>
              </w:rPr>
            </w:pPr>
            <w:r>
              <w:rPr>
                <w:rFonts w:hint="eastAsia" w:ascii="Calibri" w:hAnsi="Calibri" w:eastAsia="宋体" w:cs="Mongolian Baiti"/>
                <w:b/>
                <w:color w:val="000000"/>
                <w:sz w:val="24"/>
              </w:rPr>
              <w:t>(一) 直接研发费</w:t>
            </w:r>
          </w:p>
        </w:tc>
        <w:tc>
          <w:tcPr>
            <w:tcW w:w="831" w:type="pct"/>
            <w:vAlign w:val="center"/>
          </w:tcPr>
          <w:p>
            <w:pPr>
              <w:spacing w:after="80" w:line="300" w:lineRule="auto"/>
              <w:ind w:firstLine="0"/>
              <w:jc w:val="center"/>
            </w:pPr>
            <w:r>
              <w:rPr>
                <w:rFonts w:ascii="Times New Roman" w:hAnsi="Times New Roman" w:eastAsia="宋体"/>
                <w:b w:val="0"/>
                <w:sz w:val="21"/>
              </w:rPr>
              <w:t>由申报单位核定</w:t>
            </w:r>
          </w:p>
        </w:tc>
        <w:tc>
          <w:tcPr>
            <w:tcW w:w="920" w:type="pct"/>
            <w:vAlign w:val="center"/>
          </w:tcPr>
          <w:p w14:paraId="4E7ECBC5">
            <w:pPr>
              <w:jc w:val="center"/>
              <w:rPr>
                <w:rFonts w:ascii="Calibri" w:hAnsi="Calibri" w:eastAsia="宋体" w:cs="Mongolian Baiti"/>
                <w:color w:val="000000"/>
                <w:sz w:val="24"/>
              </w:rPr>
            </w:pPr>
          </w:p>
        </w:tc>
        <w:tc>
          <w:tcPr>
            <w:tcW w:w="921" w:type="pct"/>
            <w:vAlign w:val="center"/>
          </w:tcPr>
          <w:p w14:paraId="71F94420">
            <w:pPr>
              <w:jc w:val="center"/>
              <w:rPr>
                <w:rFonts w:ascii="Calibri" w:hAnsi="Calibri" w:eastAsia="宋体" w:cs="Mongolian Baiti"/>
                <w:color w:val="000000"/>
                <w:sz w:val="24"/>
              </w:rPr>
            </w:pPr>
          </w:p>
        </w:tc>
      </w:tr>
      <w:tr w14:paraId="3CAC9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5BE2461E">
            <w:pPr>
              <w:jc w:val="center"/>
              <w:rPr>
                <w:rFonts w:ascii="Calibri" w:hAnsi="Calibri" w:eastAsia="宋体" w:cs="Mongolian Baiti"/>
                <w:color w:val="000000"/>
                <w:sz w:val="24"/>
              </w:rPr>
            </w:pPr>
            <w:r>
              <w:rPr>
                <w:rFonts w:hint="eastAsia" w:ascii="Calibri" w:hAnsi="Calibri" w:eastAsia="宋体" w:cs="Mongolian Baiti"/>
                <w:color w:val="000000"/>
                <w:sz w:val="24"/>
              </w:rPr>
              <w:t>2</w:t>
            </w:r>
          </w:p>
        </w:tc>
        <w:tc>
          <w:tcPr>
            <w:tcW w:w="1895" w:type="pct"/>
            <w:vAlign w:val="center"/>
          </w:tcPr>
          <w:p w14:paraId="162081B2">
            <w:pPr>
              <w:rPr>
                <w:rFonts w:ascii="Calibri" w:hAnsi="Calibri" w:eastAsia="宋体" w:cs="Mongolian Baiti"/>
                <w:color w:val="000000"/>
              </w:rPr>
            </w:pPr>
            <w:r>
              <w:rPr>
                <w:rFonts w:hint="eastAsia" w:ascii="Calibri" w:hAnsi="Calibri" w:eastAsia="宋体" w:cs="Mongolian Baiti"/>
                <w:color w:val="000000"/>
              </w:rPr>
              <w:t>1.设备费</w:t>
            </w:r>
          </w:p>
        </w:tc>
        <w:tc>
          <w:tcPr>
            <w:tcW w:w="831" w:type="pct"/>
            <w:vAlign w:val="center"/>
          </w:tcPr>
          <w:p w14:paraId="64E32FA3">
            <w:pPr>
              <w:jc w:val="center"/>
              <w:rPr>
                <w:rFonts w:ascii="Calibri" w:hAnsi="Calibri" w:eastAsia="宋体" w:cs="Mongolian Baiti"/>
                <w:color w:val="000000"/>
                <w:sz w:val="24"/>
              </w:rPr>
            </w:pPr>
          </w:p>
        </w:tc>
        <w:tc>
          <w:tcPr>
            <w:tcW w:w="920" w:type="pct"/>
            <w:vAlign w:val="center"/>
          </w:tcPr>
          <w:p w14:paraId="4CC5D74B">
            <w:pPr>
              <w:jc w:val="center"/>
              <w:rPr>
                <w:rFonts w:ascii="Calibri" w:hAnsi="Calibri" w:eastAsia="宋体" w:cs="Mongolian Baiti"/>
                <w:color w:val="000000"/>
              </w:rPr>
            </w:pPr>
          </w:p>
        </w:tc>
        <w:tc>
          <w:tcPr>
            <w:tcW w:w="921" w:type="pct"/>
            <w:vAlign w:val="center"/>
          </w:tcPr>
          <w:p w14:paraId="6D25B6AC">
            <w:pPr>
              <w:jc w:val="center"/>
              <w:rPr>
                <w:rFonts w:ascii="Calibri" w:hAnsi="Calibri" w:eastAsia="宋体" w:cs="Mongolian Baiti"/>
                <w:color w:val="000000"/>
              </w:rPr>
            </w:pPr>
          </w:p>
        </w:tc>
      </w:tr>
      <w:tr w14:paraId="1148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50D1C02">
            <w:pPr>
              <w:jc w:val="center"/>
              <w:rPr>
                <w:rFonts w:ascii="Calibri" w:hAnsi="Calibri" w:eastAsia="宋体" w:cs="Mongolian Baiti"/>
                <w:color w:val="000000"/>
              </w:rPr>
            </w:pPr>
            <w:r>
              <w:rPr>
                <w:rFonts w:hint="eastAsia" w:ascii="Calibri" w:hAnsi="Calibri" w:eastAsia="宋体" w:cs="Mongolian Baiti"/>
                <w:color w:val="000000"/>
              </w:rPr>
              <w:t>3</w:t>
            </w:r>
          </w:p>
        </w:tc>
        <w:tc>
          <w:tcPr>
            <w:tcW w:w="1895" w:type="pct"/>
            <w:vAlign w:val="center"/>
          </w:tcPr>
          <w:p w14:paraId="3321957F">
            <w:pPr>
              <w:rPr>
                <w:rFonts w:ascii="Calibri" w:hAnsi="Calibri" w:eastAsia="宋体" w:cs="Mongolian Baiti"/>
                <w:color w:val="000000"/>
              </w:rPr>
            </w:pPr>
            <w:r>
              <w:rPr>
                <w:rFonts w:hint="eastAsia" w:ascii="Calibri" w:hAnsi="Calibri" w:eastAsia="宋体" w:cs="Mongolian Baiti"/>
                <w:color w:val="000000"/>
              </w:rPr>
              <w:t>2.材料费</w:t>
            </w:r>
          </w:p>
        </w:tc>
        <w:tc>
          <w:tcPr>
            <w:tcW w:w="831" w:type="pct"/>
            <w:vAlign w:val="center"/>
          </w:tcPr>
          <w:p w14:paraId="1C89E7BF">
            <w:pPr>
              <w:jc w:val="center"/>
              <w:rPr>
                <w:rFonts w:ascii="Calibri" w:hAnsi="Calibri" w:eastAsia="宋体" w:cs="Mongolian Baiti"/>
                <w:bCs/>
                <w:color w:val="000000"/>
                <w:sz w:val="24"/>
              </w:rPr>
            </w:pPr>
          </w:p>
        </w:tc>
        <w:tc>
          <w:tcPr>
            <w:tcW w:w="920" w:type="pct"/>
            <w:vAlign w:val="center"/>
          </w:tcPr>
          <w:p w14:paraId="68E904C9">
            <w:pPr>
              <w:jc w:val="center"/>
              <w:rPr>
                <w:rFonts w:ascii="Calibri" w:hAnsi="Calibri" w:eastAsia="宋体" w:cs="Mongolian Baiti"/>
                <w:b/>
                <w:color w:val="000000"/>
              </w:rPr>
            </w:pPr>
          </w:p>
        </w:tc>
        <w:tc>
          <w:tcPr>
            <w:tcW w:w="921" w:type="pct"/>
            <w:vAlign w:val="center"/>
          </w:tcPr>
          <w:p w14:paraId="7E8BE56D">
            <w:pPr>
              <w:jc w:val="center"/>
              <w:rPr>
                <w:rFonts w:ascii="Calibri" w:hAnsi="Calibri" w:eastAsia="宋体" w:cs="Mongolian Baiti"/>
                <w:b/>
                <w:color w:val="000000"/>
              </w:rPr>
            </w:pPr>
          </w:p>
        </w:tc>
      </w:tr>
      <w:tr w14:paraId="218F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D1AD91A">
            <w:pPr>
              <w:jc w:val="center"/>
              <w:rPr>
                <w:rFonts w:ascii="Calibri" w:hAnsi="Calibri" w:eastAsia="宋体" w:cs="Mongolian Baiti"/>
                <w:color w:val="000000"/>
              </w:rPr>
            </w:pPr>
            <w:r>
              <w:rPr>
                <w:rFonts w:hint="eastAsia" w:ascii="Calibri" w:hAnsi="Calibri" w:eastAsia="宋体" w:cs="Mongolian Baiti"/>
                <w:color w:val="000000"/>
              </w:rPr>
              <w:t>4</w:t>
            </w:r>
          </w:p>
        </w:tc>
        <w:tc>
          <w:tcPr>
            <w:tcW w:w="1895" w:type="pct"/>
            <w:vAlign w:val="center"/>
          </w:tcPr>
          <w:p w14:paraId="7D1DB193">
            <w:pPr>
              <w:rPr>
                <w:rFonts w:ascii="Calibri" w:hAnsi="Calibri" w:eastAsia="宋体" w:cs="Mongolian Baiti"/>
                <w:color w:val="000000"/>
              </w:rPr>
            </w:pPr>
            <w:r>
              <w:rPr>
                <w:rFonts w:hint="eastAsia" w:ascii="Calibri" w:hAnsi="Calibri" w:eastAsia="宋体" w:cs="Mongolian Baiti"/>
                <w:color w:val="000000"/>
              </w:rPr>
              <w:t>3.测试化验加工费</w:t>
            </w:r>
          </w:p>
        </w:tc>
        <w:tc>
          <w:tcPr>
            <w:tcW w:w="831" w:type="pct"/>
            <w:vAlign w:val="center"/>
          </w:tcPr>
          <w:p w14:paraId="2C4124EF">
            <w:pPr>
              <w:jc w:val="center"/>
              <w:rPr>
                <w:rFonts w:ascii="Calibri" w:hAnsi="Calibri" w:eastAsia="宋体" w:cs="Mongolian Baiti"/>
                <w:color w:val="000000"/>
                <w:sz w:val="24"/>
              </w:rPr>
            </w:pPr>
          </w:p>
        </w:tc>
        <w:tc>
          <w:tcPr>
            <w:tcW w:w="920" w:type="pct"/>
            <w:vAlign w:val="center"/>
          </w:tcPr>
          <w:p w14:paraId="1BC7D792">
            <w:pPr>
              <w:jc w:val="center"/>
              <w:rPr>
                <w:rFonts w:ascii="Calibri" w:hAnsi="Calibri" w:eastAsia="宋体" w:cs="Mongolian Baiti"/>
                <w:color w:val="000000"/>
              </w:rPr>
            </w:pPr>
          </w:p>
        </w:tc>
        <w:tc>
          <w:tcPr>
            <w:tcW w:w="921" w:type="pct"/>
            <w:vAlign w:val="center"/>
          </w:tcPr>
          <w:p w14:paraId="6F328100">
            <w:pPr>
              <w:jc w:val="center"/>
              <w:rPr>
                <w:rFonts w:ascii="Calibri" w:hAnsi="Calibri" w:eastAsia="宋体" w:cs="Mongolian Baiti"/>
                <w:color w:val="000000"/>
              </w:rPr>
            </w:pPr>
          </w:p>
        </w:tc>
      </w:tr>
      <w:tr w14:paraId="1FE94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38C24EEA">
            <w:pPr>
              <w:jc w:val="center"/>
              <w:rPr>
                <w:rFonts w:ascii="Calibri" w:hAnsi="Calibri" w:eastAsia="宋体" w:cs="Mongolian Baiti"/>
                <w:color w:val="000000"/>
                <w:sz w:val="24"/>
              </w:rPr>
            </w:pPr>
            <w:r>
              <w:rPr>
                <w:rFonts w:hint="eastAsia" w:ascii="Calibri" w:hAnsi="Calibri" w:eastAsia="宋体" w:cs="Mongolian Baiti"/>
                <w:color w:val="000000"/>
                <w:sz w:val="24"/>
              </w:rPr>
              <w:t>5</w:t>
            </w:r>
          </w:p>
        </w:tc>
        <w:tc>
          <w:tcPr>
            <w:tcW w:w="1895" w:type="pct"/>
            <w:vAlign w:val="center"/>
          </w:tcPr>
          <w:p w14:paraId="0A0503A3">
            <w:pPr>
              <w:rPr>
                <w:rFonts w:ascii="Calibri" w:hAnsi="Calibri" w:eastAsia="宋体" w:cs="Mongolian Baiti"/>
                <w:color w:val="000000"/>
              </w:rPr>
            </w:pPr>
            <w:r>
              <w:rPr>
                <w:rFonts w:hint="eastAsia" w:ascii="Calibri" w:hAnsi="Calibri" w:eastAsia="宋体" w:cs="Mongolian Baiti"/>
                <w:color w:val="000000"/>
              </w:rPr>
              <w:t>4.差旅费</w:t>
            </w:r>
          </w:p>
        </w:tc>
        <w:tc>
          <w:tcPr>
            <w:tcW w:w="831" w:type="pct"/>
            <w:vAlign w:val="center"/>
          </w:tcPr>
          <w:p w14:paraId="399991B9">
            <w:pPr>
              <w:jc w:val="center"/>
              <w:rPr>
                <w:rFonts w:ascii="Calibri" w:hAnsi="Calibri" w:eastAsia="宋体" w:cs="Mongolian Baiti"/>
                <w:color w:val="000000"/>
              </w:rPr>
            </w:pPr>
          </w:p>
        </w:tc>
        <w:tc>
          <w:tcPr>
            <w:tcW w:w="920" w:type="pct"/>
            <w:vAlign w:val="center"/>
          </w:tcPr>
          <w:p w14:paraId="68CBB2F6">
            <w:pPr>
              <w:jc w:val="center"/>
              <w:rPr>
                <w:rFonts w:ascii="Calibri" w:hAnsi="Calibri" w:eastAsia="宋体" w:cs="Mongolian Baiti"/>
                <w:color w:val="000000"/>
              </w:rPr>
            </w:pPr>
          </w:p>
        </w:tc>
        <w:tc>
          <w:tcPr>
            <w:tcW w:w="921" w:type="pct"/>
            <w:vAlign w:val="center"/>
          </w:tcPr>
          <w:p w14:paraId="7C6A8590">
            <w:pPr>
              <w:jc w:val="center"/>
              <w:rPr>
                <w:rFonts w:ascii="Calibri" w:hAnsi="Calibri" w:eastAsia="宋体" w:cs="Mongolian Baiti"/>
                <w:color w:val="000000"/>
              </w:rPr>
            </w:pPr>
          </w:p>
        </w:tc>
      </w:tr>
      <w:tr w14:paraId="0E36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49FF417">
            <w:pPr>
              <w:jc w:val="center"/>
              <w:rPr>
                <w:rFonts w:ascii="Calibri" w:hAnsi="Calibri" w:eastAsia="宋体" w:cs="Mongolian Baiti"/>
                <w:color w:val="000000"/>
              </w:rPr>
            </w:pPr>
            <w:r>
              <w:rPr>
                <w:rFonts w:hint="eastAsia" w:ascii="Calibri" w:hAnsi="Calibri" w:eastAsia="宋体" w:cs="Mongolian Baiti"/>
                <w:color w:val="000000"/>
              </w:rPr>
              <w:t>6</w:t>
            </w:r>
          </w:p>
        </w:tc>
        <w:tc>
          <w:tcPr>
            <w:tcW w:w="1895" w:type="pct"/>
            <w:vAlign w:val="center"/>
          </w:tcPr>
          <w:p w14:paraId="7D321C6D">
            <w:pPr>
              <w:rPr>
                <w:rFonts w:ascii="Calibri" w:hAnsi="Calibri" w:eastAsia="宋体" w:cs="Mongolian Baiti"/>
                <w:color w:val="000000"/>
              </w:rPr>
            </w:pPr>
            <w:r>
              <w:rPr>
                <w:rFonts w:hint="eastAsia" w:ascii="Calibri" w:hAnsi="Calibri" w:eastAsia="宋体" w:cs="Mongolian Baiti"/>
                <w:color w:val="000000"/>
              </w:rPr>
              <w:t>5.会议费</w:t>
            </w:r>
          </w:p>
        </w:tc>
        <w:tc>
          <w:tcPr>
            <w:tcW w:w="831" w:type="pct"/>
            <w:vAlign w:val="center"/>
          </w:tcPr>
          <w:p w14:paraId="32D7023B">
            <w:pPr>
              <w:jc w:val="center"/>
              <w:rPr>
                <w:rFonts w:ascii="Calibri" w:hAnsi="Calibri" w:eastAsia="宋体" w:cs="Mongolian Baiti"/>
                <w:color w:val="000000"/>
              </w:rPr>
            </w:pPr>
          </w:p>
        </w:tc>
        <w:tc>
          <w:tcPr>
            <w:tcW w:w="920" w:type="pct"/>
            <w:vAlign w:val="center"/>
          </w:tcPr>
          <w:p w14:paraId="63CDD853">
            <w:pPr>
              <w:jc w:val="center"/>
              <w:rPr>
                <w:rFonts w:ascii="Calibri" w:hAnsi="Calibri" w:eastAsia="宋体" w:cs="Mongolian Baiti"/>
                <w:color w:val="000000"/>
              </w:rPr>
            </w:pPr>
          </w:p>
        </w:tc>
        <w:tc>
          <w:tcPr>
            <w:tcW w:w="921" w:type="pct"/>
            <w:vAlign w:val="center"/>
          </w:tcPr>
          <w:p w14:paraId="285A36F9">
            <w:pPr>
              <w:jc w:val="center"/>
              <w:rPr>
                <w:rFonts w:ascii="Calibri" w:hAnsi="Calibri" w:eastAsia="宋体" w:cs="Mongolian Baiti"/>
                <w:color w:val="000000"/>
              </w:rPr>
            </w:pPr>
          </w:p>
        </w:tc>
      </w:tr>
      <w:tr w14:paraId="07C93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D0D4671">
            <w:pPr>
              <w:jc w:val="center"/>
              <w:rPr>
                <w:rFonts w:ascii="Calibri" w:hAnsi="Calibri" w:eastAsia="宋体" w:cs="Mongolian Baiti"/>
                <w:color w:val="000000"/>
              </w:rPr>
            </w:pPr>
            <w:r>
              <w:rPr>
                <w:rFonts w:hint="eastAsia" w:ascii="Calibri" w:hAnsi="Calibri" w:eastAsia="宋体" w:cs="Mongolian Baiti"/>
                <w:color w:val="000000"/>
              </w:rPr>
              <w:t>7</w:t>
            </w:r>
          </w:p>
        </w:tc>
        <w:tc>
          <w:tcPr>
            <w:tcW w:w="1895" w:type="pct"/>
            <w:vAlign w:val="center"/>
          </w:tcPr>
          <w:p w14:paraId="61C598DB">
            <w:pPr>
              <w:rPr>
                <w:rFonts w:ascii="Calibri" w:hAnsi="Calibri" w:eastAsia="宋体" w:cs="Mongolian Baiti"/>
                <w:color w:val="000000"/>
              </w:rPr>
            </w:pPr>
            <w:r>
              <w:rPr>
                <w:rFonts w:hint="eastAsia" w:ascii="Calibri" w:hAnsi="Calibri" w:eastAsia="宋体" w:cs="Mongolian Baiti"/>
                <w:color w:val="000000"/>
              </w:rPr>
              <w:t>6.国际交流与合作费</w:t>
            </w:r>
          </w:p>
        </w:tc>
        <w:tc>
          <w:tcPr>
            <w:tcW w:w="831" w:type="pct"/>
            <w:vAlign w:val="center"/>
          </w:tcPr>
          <w:p w14:paraId="6DECE1E6">
            <w:pPr>
              <w:jc w:val="center"/>
              <w:rPr>
                <w:rFonts w:ascii="Calibri" w:hAnsi="Calibri" w:eastAsia="宋体" w:cs="Mongolian Baiti"/>
                <w:color w:val="000000"/>
              </w:rPr>
            </w:pPr>
          </w:p>
        </w:tc>
        <w:tc>
          <w:tcPr>
            <w:tcW w:w="920" w:type="pct"/>
            <w:vAlign w:val="center"/>
          </w:tcPr>
          <w:p w14:paraId="44E9B05B">
            <w:pPr>
              <w:jc w:val="center"/>
              <w:rPr>
                <w:rFonts w:ascii="Calibri" w:hAnsi="Calibri" w:eastAsia="宋体" w:cs="Mongolian Baiti"/>
                <w:color w:val="000000"/>
              </w:rPr>
            </w:pPr>
          </w:p>
        </w:tc>
        <w:tc>
          <w:tcPr>
            <w:tcW w:w="921" w:type="pct"/>
            <w:vAlign w:val="center"/>
          </w:tcPr>
          <w:p w14:paraId="583331BE">
            <w:pPr>
              <w:jc w:val="center"/>
              <w:rPr>
                <w:rFonts w:ascii="Calibri" w:hAnsi="Calibri" w:eastAsia="宋体" w:cs="Mongolian Baiti"/>
                <w:color w:val="000000"/>
              </w:rPr>
            </w:pPr>
          </w:p>
        </w:tc>
      </w:tr>
      <w:tr w14:paraId="2137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D5BD4DA">
            <w:pPr>
              <w:ind w:left="-124" w:firstLine="124"/>
              <w:jc w:val="center"/>
              <w:rPr>
                <w:rFonts w:ascii="Calibri" w:hAnsi="Calibri" w:eastAsia="宋体" w:cs="Mongolian Baiti"/>
                <w:color w:val="000000"/>
              </w:rPr>
            </w:pPr>
            <w:r>
              <w:rPr>
                <w:rFonts w:hint="eastAsia" w:ascii="Calibri" w:hAnsi="Calibri" w:eastAsia="宋体" w:cs="Mongolian Baiti"/>
                <w:color w:val="000000"/>
              </w:rPr>
              <w:t>8</w:t>
            </w:r>
          </w:p>
        </w:tc>
        <w:tc>
          <w:tcPr>
            <w:tcW w:w="1895" w:type="pct"/>
            <w:vAlign w:val="center"/>
          </w:tcPr>
          <w:p w14:paraId="7F48EE68">
            <w:pPr>
              <w:rPr>
                <w:rFonts w:ascii="Calibri" w:hAnsi="Calibri" w:eastAsia="宋体" w:cs="Mongolian Baiti"/>
                <w:color w:val="000000"/>
              </w:rPr>
            </w:pPr>
            <w:r>
              <w:rPr>
                <w:rFonts w:hint="eastAsia" w:ascii="Calibri" w:hAnsi="Calibri" w:eastAsia="宋体" w:cs="Mongolian Baiti"/>
                <w:color w:val="000000"/>
              </w:rPr>
              <w:t>7.出版/文献/知识产权费</w:t>
            </w:r>
          </w:p>
        </w:tc>
        <w:tc>
          <w:tcPr>
            <w:tcW w:w="831" w:type="pct"/>
            <w:vAlign w:val="center"/>
          </w:tcPr>
          <w:p w14:paraId="35075B19">
            <w:pPr>
              <w:jc w:val="center"/>
              <w:rPr>
                <w:rFonts w:ascii="Calibri" w:hAnsi="Calibri" w:eastAsia="宋体" w:cs="Mongolian Baiti"/>
                <w:color w:val="000000"/>
              </w:rPr>
            </w:pPr>
          </w:p>
        </w:tc>
        <w:tc>
          <w:tcPr>
            <w:tcW w:w="920" w:type="pct"/>
            <w:vAlign w:val="center"/>
          </w:tcPr>
          <w:p w14:paraId="3FDE525E">
            <w:pPr>
              <w:jc w:val="center"/>
              <w:rPr>
                <w:rFonts w:ascii="Calibri" w:hAnsi="Calibri" w:eastAsia="宋体" w:cs="Mongolian Baiti"/>
                <w:color w:val="000000"/>
              </w:rPr>
            </w:pPr>
          </w:p>
        </w:tc>
        <w:tc>
          <w:tcPr>
            <w:tcW w:w="921" w:type="pct"/>
            <w:vAlign w:val="center"/>
          </w:tcPr>
          <w:p w14:paraId="460060F9">
            <w:pPr>
              <w:jc w:val="center"/>
              <w:rPr>
                <w:rFonts w:ascii="Calibri" w:hAnsi="Calibri" w:eastAsia="宋体" w:cs="Mongolian Baiti"/>
                <w:color w:val="000000"/>
              </w:rPr>
            </w:pPr>
          </w:p>
        </w:tc>
      </w:tr>
      <w:tr w14:paraId="5A999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A3AEFA8">
            <w:pPr>
              <w:jc w:val="center"/>
              <w:rPr>
                <w:rFonts w:ascii="Calibri" w:hAnsi="Calibri" w:eastAsia="宋体" w:cs="Mongolian Baiti"/>
                <w:color w:val="000000"/>
              </w:rPr>
            </w:pPr>
            <w:r>
              <w:rPr>
                <w:rFonts w:hint="eastAsia" w:ascii="Calibri" w:hAnsi="Calibri" w:eastAsia="宋体" w:cs="Mongolian Baiti"/>
                <w:color w:val="000000"/>
              </w:rPr>
              <w:t>9</w:t>
            </w:r>
          </w:p>
        </w:tc>
        <w:tc>
          <w:tcPr>
            <w:tcW w:w="1895" w:type="pct"/>
            <w:vAlign w:val="center"/>
          </w:tcPr>
          <w:p w14:paraId="13168527">
            <w:pPr>
              <w:rPr>
                <w:rFonts w:ascii="Calibri" w:hAnsi="Calibri" w:eastAsia="宋体" w:cs="Mongolian Baiti"/>
                <w:b/>
                <w:color w:val="000000"/>
                <w:sz w:val="24"/>
              </w:rPr>
            </w:pPr>
            <w:r>
              <w:rPr>
                <w:rFonts w:hint="eastAsia" w:ascii="Calibri" w:hAnsi="Calibri" w:eastAsia="宋体" w:cs="Mongolian Baiti"/>
                <w:color w:val="000000"/>
              </w:rPr>
              <w:t>8.专家咨询费</w:t>
            </w:r>
          </w:p>
        </w:tc>
        <w:tc>
          <w:tcPr>
            <w:tcW w:w="831" w:type="pct"/>
            <w:vAlign w:val="center"/>
          </w:tcPr>
          <w:p w14:paraId="78A81823">
            <w:pPr>
              <w:jc w:val="center"/>
              <w:rPr>
                <w:rFonts w:ascii="Calibri" w:hAnsi="Calibri" w:eastAsia="宋体" w:cs="Mongolian Baiti"/>
                <w:color w:val="000000"/>
              </w:rPr>
            </w:pPr>
          </w:p>
        </w:tc>
        <w:tc>
          <w:tcPr>
            <w:tcW w:w="920" w:type="pct"/>
            <w:vAlign w:val="center"/>
          </w:tcPr>
          <w:p w14:paraId="7B9F0420">
            <w:pPr>
              <w:jc w:val="center"/>
              <w:rPr>
                <w:rFonts w:ascii="Calibri" w:hAnsi="Calibri" w:eastAsia="宋体" w:cs="Mongolian Baiti"/>
                <w:color w:val="000000"/>
              </w:rPr>
            </w:pPr>
          </w:p>
        </w:tc>
        <w:tc>
          <w:tcPr>
            <w:tcW w:w="921" w:type="pct"/>
            <w:vAlign w:val="center"/>
          </w:tcPr>
          <w:p w14:paraId="2858E963">
            <w:pPr>
              <w:jc w:val="center"/>
              <w:rPr>
                <w:rFonts w:ascii="Calibri" w:hAnsi="Calibri" w:eastAsia="宋体" w:cs="Mongolian Baiti"/>
                <w:color w:val="000000"/>
              </w:rPr>
            </w:pPr>
          </w:p>
        </w:tc>
      </w:tr>
      <w:tr w14:paraId="2614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EA6B70">
            <w:pPr>
              <w:jc w:val="center"/>
              <w:rPr>
                <w:rFonts w:ascii="Calibri" w:hAnsi="Calibri" w:eastAsia="宋体" w:cs="Mongolian Baiti"/>
                <w:color w:val="000000"/>
              </w:rPr>
            </w:pPr>
            <w:r>
              <w:rPr>
                <w:rFonts w:hint="eastAsia" w:ascii="Calibri" w:hAnsi="Calibri" w:eastAsia="宋体" w:cs="Mongolian Baiti"/>
                <w:color w:val="000000"/>
              </w:rPr>
              <w:t>10</w:t>
            </w:r>
          </w:p>
        </w:tc>
        <w:tc>
          <w:tcPr>
            <w:tcW w:w="1895" w:type="pct"/>
            <w:vAlign w:val="center"/>
          </w:tcPr>
          <w:p w14:paraId="33A871B3">
            <w:pPr>
              <w:rPr>
                <w:rFonts w:ascii="Calibri" w:hAnsi="Calibri" w:eastAsia="宋体" w:cs="Mongolian Baiti"/>
                <w:b/>
                <w:color w:val="000000"/>
                <w:sz w:val="24"/>
              </w:rPr>
            </w:pPr>
            <w:r>
              <w:rPr>
                <w:rFonts w:hint="eastAsia" w:ascii="Calibri" w:hAnsi="Calibri" w:eastAsia="宋体" w:cs="Mongolian Baiti"/>
                <w:color w:val="000000"/>
              </w:rPr>
              <w:t>9.劳务费</w:t>
            </w:r>
          </w:p>
        </w:tc>
        <w:tc>
          <w:tcPr>
            <w:tcW w:w="831" w:type="pct"/>
            <w:vAlign w:val="center"/>
          </w:tcPr>
          <w:p w14:paraId="77D81E98">
            <w:pPr>
              <w:jc w:val="center"/>
              <w:rPr>
                <w:rFonts w:ascii="Calibri" w:hAnsi="Calibri" w:eastAsia="宋体" w:cs="Mongolian Baiti"/>
                <w:color w:val="000000"/>
              </w:rPr>
            </w:pPr>
          </w:p>
        </w:tc>
        <w:tc>
          <w:tcPr>
            <w:tcW w:w="920" w:type="pct"/>
            <w:vAlign w:val="center"/>
          </w:tcPr>
          <w:p w14:paraId="1A9CB2A9">
            <w:pPr>
              <w:jc w:val="center"/>
              <w:rPr>
                <w:rFonts w:ascii="Calibri" w:hAnsi="Calibri" w:eastAsia="宋体" w:cs="Mongolian Baiti"/>
                <w:color w:val="000000"/>
              </w:rPr>
            </w:pPr>
          </w:p>
        </w:tc>
        <w:tc>
          <w:tcPr>
            <w:tcW w:w="921" w:type="pct"/>
            <w:vAlign w:val="center"/>
          </w:tcPr>
          <w:p w14:paraId="4DF464F8">
            <w:pPr>
              <w:jc w:val="center"/>
              <w:rPr>
                <w:rFonts w:ascii="Calibri" w:hAnsi="Calibri" w:eastAsia="宋体" w:cs="Mongolian Baiti"/>
                <w:color w:val="000000"/>
              </w:rPr>
            </w:pPr>
          </w:p>
        </w:tc>
      </w:tr>
      <w:tr w14:paraId="6FD1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07ED8E8">
            <w:pPr>
              <w:jc w:val="center"/>
              <w:rPr>
                <w:rFonts w:ascii="Calibri" w:hAnsi="Calibri" w:eastAsia="宋体" w:cs="Mongolian Baiti"/>
                <w:color w:val="000000"/>
              </w:rPr>
            </w:pPr>
            <w:r>
              <w:rPr>
                <w:rFonts w:hint="eastAsia" w:ascii="Calibri" w:hAnsi="Calibri" w:eastAsia="宋体" w:cs="Mongolian Baiti"/>
                <w:color w:val="000000"/>
              </w:rPr>
              <w:t>11</w:t>
            </w:r>
          </w:p>
        </w:tc>
        <w:tc>
          <w:tcPr>
            <w:tcW w:w="1895" w:type="pct"/>
            <w:vAlign w:val="center"/>
          </w:tcPr>
          <w:p w14:paraId="2B90CB98">
            <w:pPr>
              <w:rPr>
                <w:rFonts w:ascii="Calibri" w:hAnsi="Calibri" w:eastAsia="宋体" w:cs="Mongolian Baiti"/>
                <w:color w:val="000000"/>
              </w:rPr>
            </w:pPr>
            <w:r>
              <w:rPr>
                <w:rFonts w:hint="eastAsia" w:ascii="Calibri" w:hAnsi="Calibri" w:eastAsia="宋体" w:cs="Mongolian Baiti"/>
                <w:b/>
                <w:color w:val="000000"/>
                <w:sz w:val="24"/>
              </w:rPr>
              <w:t>(二) 人工费</w:t>
            </w:r>
          </w:p>
        </w:tc>
        <w:tc>
          <w:tcPr>
            <w:tcW w:w="831" w:type="pct"/>
            <w:vAlign w:val="center"/>
          </w:tcPr>
          <w:p w14:paraId="0FD0F847">
            <w:pPr>
              <w:jc w:val="center"/>
              <w:rPr>
                <w:rFonts w:ascii="Calibri" w:hAnsi="Calibri" w:eastAsia="宋体" w:cs="Mongolian Baiti"/>
                <w:color w:val="000000"/>
              </w:rPr>
            </w:pPr>
          </w:p>
        </w:tc>
        <w:tc>
          <w:tcPr>
            <w:tcW w:w="920" w:type="pct"/>
            <w:vAlign w:val="center"/>
          </w:tcPr>
          <w:p w14:paraId="53A28945">
            <w:pPr>
              <w:jc w:val="center"/>
              <w:rPr>
                <w:rFonts w:ascii="Calibri" w:hAnsi="Calibri" w:eastAsia="宋体" w:cs="Mongolian Baiti"/>
                <w:color w:val="000000"/>
              </w:rPr>
            </w:pPr>
          </w:p>
        </w:tc>
        <w:tc>
          <w:tcPr>
            <w:tcW w:w="921" w:type="pct"/>
            <w:vAlign w:val="center"/>
          </w:tcPr>
          <w:p w14:paraId="0CAD61AA">
            <w:pPr>
              <w:jc w:val="center"/>
              <w:rPr>
                <w:rFonts w:ascii="Calibri" w:hAnsi="Calibri" w:eastAsia="宋体" w:cs="Mongolian Baiti"/>
                <w:color w:val="000000"/>
              </w:rPr>
            </w:pPr>
          </w:p>
        </w:tc>
      </w:tr>
      <w:tr w14:paraId="1109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7C4A9A">
            <w:pPr>
              <w:jc w:val="center"/>
              <w:rPr>
                <w:rFonts w:ascii="Calibri" w:hAnsi="Calibri" w:eastAsia="宋体" w:cs="Mongolian Baiti"/>
                <w:b/>
                <w:color w:val="000000"/>
                <w:sz w:val="24"/>
              </w:rPr>
            </w:pPr>
            <w:r>
              <w:rPr>
                <w:rFonts w:hint="eastAsia" w:ascii="Calibri" w:hAnsi="Calibri" w:eastAsia="宋体" w:cs="Mongolian Baiti"/>
                <w:color w:val="000000"/>
              </w:rPr>
              <w:t>12</w:t>
            </w:r>
          </w:p>
        </w:tc>
        <w:tc>
          <w:tcPr>
            <w:tcW w:w="1895" w:type="pct"/>
            <w:vAlign w:val="center"/>
          </w:tcPr>
          <w:p w14:paraId="1D225096">
            <w:pPr>
              <w:rPr>
                <w:rFonts w:ascii="Calibri" w:hAnsi="Calibri" w:eastAsia="宋体" w:cs="Mongolian Baiti"/>
                <w:color w:val="000000"/>
              </w:rPr>
            </w:pPr>
            <w:r>
              <w:rPr>
                <w:rFonts w:hint="eastAsia" w:ascii="Calibri" w:hAnsi="Calibri" w:eastAsia="宋体" w:cs="Mongolian Baiti"/>
                <w:color w:val="000000"/>
              </w:rPr>
              <w:t>1.研究人员费</w:t>
            </w:r>
          </w:p>
        </w:tc>
        <w:tc>
          <w:tcPr>
            <w:tcW w:w="831" w:type="pct"/>
            <w:vAlign w:val="center"/>
          </w:tcPr>
          <w:p w14:paraId="3420D38C">
            <w:pPr>
              <w:jc w:val="center"/>
              <w:rPr>
                <w:rFonts w:ascii="Calibri" w:hAnsi="Calibri" w:eastAsia="宋体" w:cs="Mongolian Baiti"/>
                <w:color w:val="000000"/>
              </w:rPr>
            </w:pPr>
          </w:p>
        </w:tc>
        <w:tc>
          <w:tcPr>
            <w:tcW w:w="920" w:type="pct"/>
            <w:vAlign w:val="center"/>
          </w:tcPr>
          <w:p w14:paraId="35B0D8AB">
            <w:pPr>
              <w:jc w:val="center"/>
              <w:rPr>
                <w:rFonts w:ascii="Calibri" w:hAnsi="Calibri" w:eastAsia="宋体" w:cs="Mongolian Baiti"/>
                <w:color w:val="000000"/>
              </w:rPr>
            </w:pPr>
          </w:p>
        </w:tc>
        <w:tc>
          <w:tcPr>
            <w:tcW w:w="921" w:type="pct"/>
            <w:vAlign w:val="center"/>
          </w:tcPr>
          <w:p w14:paraId="0D550F96">
            <w:pPr>
              <w:jc w:val="center"/>
              <w:rPr>
                <w:rFonts w:ascii="Calibri" w:hAnsi="Calibri" w:eastAsia="宋体" w:cs="Mongolian Baiti"/>
                <w:color w:val="000000"/>
              </w:rPr>
            </w:pPr>
          </w:p>
        </w:tc>
      </w:tr>
      <w:tr w14:paraId="6F1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7F106412">
            <w:pPr>
              <w:jc w:val="center"/>
              <w:rPr>
                <w:rFonts w:ascii="Calibri" w:hAnsi="Calibri" w:eastAsia="宋体" w:cs="Mongolian Baiti"/>
                <w:color w:val="000000"/>
              </w:rPr>
            </w:pPr>
            <w:r>
              <w:rPr>
                <w:rFonts w:hint="eastAsia" w:ascii="Calibri" w:hAnsi="Calibri" w:eastAsia="宋体" w:cs="Mongolian Baiti"/>
                <w:color w:val="000000"/>
              </w:rPr>
              <w:t>13</w:t>
            </w:r>
          </w:p>
        </w:tc>
        <w:tc>
          <w:tcPr>
            <w:tcW w:w="1895" w:type="pct"/>
            <w:vAlign w:val="center"/>
          </w:tcPr>
          <w:p w14:paraId="07D2B646">
            <w:pPr>
              <w:jc w:val="right"/>
              <w:rPr>
                <w:rFonts w:ascii="Calibri" w:hAnsi="Calibri" w:eastAsia="宋体" w:cs="Mongolian Baiti"/>
                <w:b/>
                <w:color w:val="000000"/>
                <w:sz w:val="24"/>
              </w:rPr>
            </w:pPr>
            <w:r>
              <w:rPr>
                <w:rFonts w:ascii="Calibri" w:hAnsi="Calibri" w:eastAsia="宋体" w:cs="Mongolian Baiti"/>
                <w:b/>
                <w:color w:val="000000"/>
                <w:sz w:val="24"/>
                <w:szCs w:val="24"/>
              </w:rPr>
              <w:t>合</w:t>
            </w:r>
            <w:r>
              <w:rPr>
                <w:rFonts w:hint="eastAsia" w:ascii="Calibri" w:hAnsi="Calibri" w:eastAsia="宋体" w:cs="Mongolian Baiti"/>
                <w:b/>
                <w:color w:val="000000"/>
                <w:sz w:val="24"/>
                <w:szCs w:val="24"/>
              </w:rPr>
              <w:t xml:space="preserve"> </w:t>
            </w:r>
            <w:r>
              <w:rPr>
                <w:rFonts w:ascii="Calibri" w:hAnsi="Calibri" w:eastAsia="宋体" w:cs="Mongolian Baiti"/>
                <w:b/>
                <w:color w:val="000000"/>
                <w:sz w:val="24"/>
                <w:szCs w:val="24"/>
              </w:rPr>
              <w:t>计</w:t>
            </w:r>
          </w:p>
        </w:tc>
        <w:tc>
          <w:tcPr>
            <w:tcW w:w="831" w:type="pct"/>
            <w:vAlign w:val="center"/>
          </w:tcPr>
          <w:p>
            <w:pPr>
              <w:spacing w:after="80" w:line="300" w:lineRule="auto"/>
              <w:ind w:firstLine="0"/>
              <w:jc w:val="center"/>
            </w:pPr>
            <w:r>
              <w:rPr>
                <w:rFonts w:ascii="Times New Roman" w:hAnsi="Times New Roman" w:eastAsia="宋体"/>
                <w:b w:val="0"/>
                <w:sz w:val="21"/>
              </w:rPr>
              <w:t>由申报单位核定</w:t>
            </w:r>
          </w:p>
        </w:tc>
        <w:tc>
          <w:tcPr>
            <w:tcW w:w="920" w:type="pct"/>
            <w:vAlign w:val="center"/>
          </w:tcPr>
          <w:p w14:paraId="7E94734D">
            <w:pPr>
              <w:jc w:val="center"/>
              <w:rPr>
                <w:rFonts w:ascii="Calibri" w:hAnsi="Calibri" w:eastAsia="宋体" w:cs="Mongolian Baiti"/>
                <w:color w:val="000000"/>
              </w:rPr>
            </w:pPr>
          </w:p>
        </w:tc>
        <w:tc>
          <w:tcPr>
            <w:tcW w:w="921" w:type="pct"/>
            <w:vAlign w:val="center"/>
          </w:tcPr>
          <w:p w14:paraId="3772BAEA">
            <w:pPr>
              <w:jc w:val="center"/>
              <w:rPr>
                <w:rFonts w:ascii="Calibri" w:hAnsi="Calibri" w:eastAsia="宋体" w:cs="Mongolian Baiti"/>
                <w:color w:val="000000"/>
              </w:rPr>
            </w:pPr>
          </w:p>
        </w:tc>
      </w:tr>
    </w:tbl>
    <w:p w14:paraId="41DC7236">
      <w:pPr>
        <w:rPr>
          <w:rFonts w:ascii="仿宋" w:hAnsi="仿宋" w:eastAsia="仿宋" w:cs="Times New Roman"/>
          <w:sz w:val="30"/>
          <w:szCs w:val="30"/>
        </w:rPr>
      </w:pPr>
    </w:p>
    <w:p w14:paraId="10562C53">
      <w:pPr>
        <w:wordWrap w:val="0"/>
        <w:ind w:right="600" w:firstLine="5250" w:firstLineChars="1750"/>
        <w:rPr>
          <w:rFonts w:ascii="仿宋" w:hAnsi="仿宋" w:eastAsia="仿宋" w:cs="Times New Roman"/>
          <w:sz w:val="30"/>
          <w:szCs w:val="30"/>
        </w:rPr>
      </w:pPr>
    </w:p>
    <w:p w14:paraId="7B34D2BF">
      <w:pPr>
        <w:ind w:left="3969" w:leftChars="1890" w:right="600"/>
        <w:jc w:val="left"/>
        <w:rPr>
          <w:rFonts w:ascii="仿宋" w:hAnsi="仿宋" w:eastAsia="仿宋" w:cs="Times New Roman"/>
          <w:sz w:val="30"/>
          <w:szCs w:val="30"/>
        </w:rPr>
      </w:pPr>
      <w:r>
        <w:rPr>
          <w:rFonts w:hint="eastAsia" w:ascii="仿宋" w:hAnsi="仿宋" w:eastAsia="仿宋" w:cs="Times New Roman"/>
          <w:sz w:val="30"/>
          <w:szCs w:val="30"/>
        </w:rPr>
        <w:t>部门负责人</w:t>
      </w:r>
      <w:r>
        <w:rPr>
          <w:rFonts w:ascii="仿宋" w:hAnsi="仿宋" w:eastAsia="仿宋" w:cs="Times New Roman"/>
          <w:sz w:val="30"/>
          <w:szCs w:val="30"/>
        </w:rPr>
        <w:t>签</w:t>
      </w:r>
      <w:r>
        <w:rPr>
          <w:rFonts w:hint="eastAsia" w:ascii="仿宋" w:hAnsi="仿宋" w:eastAsia="仿宋" w:cs="Times New Roman"/>
          <w:sz w:val="30"/>
          <w:szCs w:val="30"/>
        </w:rPr>
        <w:t>字</w:t>
      </w:r>
      <w:r>
        <w:rPr>
          <w:rFonts w:ascii="仿宋" w:hAnsi="仿宋" w:eastAsia="仿宋" w:cs="Times New Roman"/>
          <w:sz w:val="30"/>
          <w:szCs w:val="30"/>
        </w:rPr>
        <w:t>：</w:t>
      </w:r>
      <w:r>
        <w:rPr>
          <w:rFonts w:hint="eastAsia" w:ascii="仿宋" w:hAnsi="仿宋" w:eastAsia="仿宋" w:cs="Times New Roman"/>
          <w:sz w:val="30"/>
          <w:szCs w:val="30"/>
        </w:rPr>
        <w:t xml:space="preserve">          </w:t>
      </w:r>
    </w:p>
    <w:p w14:paraId="5AFE1FE3">
      <w:pPr>
        <w:ind w:left="3969" w:leftChars="1890" w:right="150"/>
        <w:jc w:val="left"/>
        <w:rPr>
          <w:rFonts w:ascii="仿宋" w:hAnsi="仿宋" w:eastAsia="仿宋" w:cs="Times New Roman"/>
          <w:sz w:val="30"/>
          <w:szCs w:val="30"/>
        </w:rPr>
      </w:pPr>
      <w:r>
        <w:rPr>
          <w:rFonts w:hint="eastAsia" w:ascii="仿宋" w:hAnsi="仿宋" w:eastAsia="仿宋" w:cs="Times New Roman"/>
          <w:sz w:val="30"/>
          <w:szCs w:val="30"/>
        </w:rPr>
        <w:t>项目负责人签字:</w:t>
      </w:r>
    </w:p>
    <w:p w14:paraId="0AEC1F2D">
      <w:pPr>
        <w:wordWrap w:val="0"/>
        <w:ind w:left="3969" w:leftChars="1890" w:right="600"/>
        <w:jc w:val="left"/>
      </w:pPr>
      <w:r>
        <w:rPr>
          <w:rFonts w:hint="eastAsia" w:ascii="仿宋" w:hAnsi="仿宋" w:eastAsia="仿宋" w:cs="Times New Roman"/>
          <w:sz w:val="30"/>
          <w:szCs w:val="30"/>
        </w:rPr>
        <w:t>年   月   日</w:t>
      </w:r>
    </w:p>
    <w:p>
      <w:pPr>
        <w:spacing w:after="80" w:line="300" w:lineRule="auto"/>
        <w:ind w:firstLine="0"/>
        <w:jc w:val="left"/>
      </w:pPr>
      <w:r>
        <w:rPr>
          <w:rFonts w:ascii="Times New Roman" w:hAnsi="Times New Roman" w:eastAsia="宋体"/>
          <w:b/>
          <w:sz w:val="21"/>
        </w:rPr>
        <w:t>经费预算说明：经费金额、人员投入和试点区域范围由申报单位结合实施区域、数据条件和核算服务类别据实核定。</w:t>
      </w:r>
    </w:p>
    <w:sectPr>
      <w:pgSz w:w="11906" w:h="16838"/>
      <w:pgMar w:top="2098" w:right="1474" w:bottom="1984" w:left="1587" w:header="851" w:footer="992" w:gutter="0"/>
      <w:cols w:space="0"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Mongolian Baiti">
    <w:panose1 w:val="03000500000000000000"/>
    <w:charset w:val="00"/>
    <w:family w:val="script"/>
    <w:pitch w:val="default"/>
    <w:sig w:usb0="80000023" w:usb1="00000000" w:usb2="00020000" w:usb3="00000000" w:csb0="00000001"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7F1FF7"/>
    <w:multiLevelType w:val="singleLevel"/>
    <w:tmpl w:val="917F1FF7"/>
    <w:lvl w:ilvl="0" w:tentative="0">
      <w:start w:val="1"/>
      <w:numFmt w:val="decimal"/>
      <w:lvlText w:val="%1."/>
      <w:lvlJc w:val="left"/>
      <w:pPr>
        <w:ind w:left="425" w:hanging="425"/>
      </w:pPr>
      <w:rPr>
        <w:rFonts w:hint="default"/>
      </w:rPr>
    </w:lvl>
  </w:abstractNum>
  <w:abstractNum w:abstractNumId="1">
    <w:nsid w:val="A42CAB61"/>
    <w:multiLevelType w:val="singleLevel"/>
    <w:tmpl w:val="A42CAB61"/>
    <w:lvl w:ilvl="0" w:tentative="0">
      <w:start w:val="1"/>
      <w:numFmt w:val="decimal"/>
      <w:lvlText w:val="%1."/>
      <w:lvlJc w:val="left"/>
      <w:pPr>
        <w:ind w:left="425" w:hanging="425"/>
      </w:pPr>
      <w:rPr>
        <w:rFonts w:hint="default"/>
      </w:rPr>
    </w:lvl>
  </w:abstractNum>
  <w:abstractNum w:abstractNumId="2">
    <w:nsid w:val="B3C66DC5"/>
    <w:multiLevelType w:val="singleLevel"/>
    <w:tmpl w:val="B3C66DC5"/>
    <w:lvl w:ilvl="0" w:tentative="0">
      <w:start w:val="1"/>
      <w:numFmt w:val="decimal"/>
      <w:lvlText w:val="%1."/>
      <w:lvlJc w:val="left"/>
      <w:pPr>
        <w:ind w:left="425" w:hanging="425"/>
      </w:pPr>
      <w:rPr>
        <w:rFonts w:hint="default"/>
      </w:rPr>
    </w:lvl>
  </w:abstractNum>
  <w:abstractNum w:abstractNumId="3">
    <w:nsid w:val="0B4516AD"/>
    <w:multiLevelType w:val="multilevel"/>
    <w:tmpl w:val="0B4516AD"/>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4">
    <w:nsid w:val="32D855BF"/>
    <w:multiLevelType w:val="multilevel"/>
    <w:tmpl w:val="32D855BF"/>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5">
    <w:nsid w:val="3521EA1B"/>
    <w:multiLevelType w:val="singleLevel"/>
    <w:tmpl w:val="3521EA1B"/>
    <w:lvl w:ilvl="0" w:tentative="0">
      <w:start w:val="1"/>
      <w:numFmt w:val="decimal"/>
      <w:lvlText w:val="%1."/>
      <w:lvlJc w:val="left"/>
      <w:pPr>
        <w:ind w:left="425" w:hanging="425"/>
      </w:pPr>
      <w:rPr>
        <w:rFonts w:hint="default"/>
      </w:rPr>
    </w:lvl>
  </w:abstractNum>
  <w:abstractNum w:abstractNumId="6">
    <w:nsid w:val="4633234B"/>
    <w:multiLevelType w:val="singleLevel"/>
    <w:tmpl w:val="4633234B"/>
    <w:lvl w:ilvl="0" w:tentative="0">
      <w:start w:val="1"/>
      <w:numFmt w:val="decimal"/>
      <w:lvlText w:val="%1."/>
      <w:lvlJc w:val="left"/>
      <w:pPr>
        <w:ind w:left="425" w:hanging="425"/>
      </w:pPr>
      <w:rPr>
        <w:rFonts w:hint="default"/>
      </w:rPr>
    </w:lvl>
  </w:abstractNum>
  <w:abstractNum w:abstractNumId="7">
    <w:nsid w:val="4AE97CE7"/>
    <w:multiLevelType w:val="singleLevel"/>
    <w:tmpl w:val="4AE97CE7"/>
    <w:lvl w:ilvl="0" w:tentative="0">
      <w:start w:val="1"/>
      <w:numFmt w:val="decimal"/>
      <w:lvlText w:val="(%1)"/>
      <w:lvlJc w:val="left"/>
      <w:pPr>
        <w:ind w:left="425" w:hanging="425"/>
      </w:pPr>
      <w:rPr>
        <w:rFonts w:hint="default"/>
      </w:rPr>
    </w:lvl>
  </w:abstractNum>
  <w:abstractNum w:abstractNumId="8">
    <w:nsid w:val="53592643"/>
    <w:multiLevelType w:val="singleLevel"/>
    <w:tmpl w:val="53592643"/>
    <w:lvl w:ilvl="0" w:tentative="0">
      <w:start w:val="1"/>
      <w:numFmt w:val="decimal"/>
      <w:lvlText w:val="(%1)"/>
      <w:lvlJc w:val="left"/>
      <w:pPr>
        <w:tabs>
          <w:tab w:val="left" w:pos="420"/>
        </w:tabs>
        <w:ind w:left="845" w:hanging="425"/>
      </w:pPr>
      <w:rPr>
        <w:rFonts w:hint="default"/>
      </w:rPr>
    </w:lvl>
  </w:abstractNum>
  <w:abstractNum w:abstractNumId="9">
    <w:nsid w:val="5C5E598C"/>
    <w:multiLevelType w:val="multilevel"/>
    <w:tmpl w:val="5C5E598C"/>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10">
    <w:nsid w:val="672D8208"/>
    <w:multiLevelType w:val="singleLevel"/>
    <w:tmpl w:val="672D8208"/>
    <w:lvl w:ilvl="0" w:tentative="0">
      <w:start w:val="1"/>
      <w:numFmt w:val="decimal"/>
      <w:lvlText w:val="(%1)"/>
      <w:lvlJc w:val="left"/>
      <w:pPr>
        <w:ind w:left="425" w:hanging="425"/>
      </w:pPr>
      <w:rPr>
        <w:rFonts w:hint="default"/>
      </w:rPr>
    </w:lvl>
  </w:abstractNum>
  <w:num w:numId="1">
    <w:abstractNumId w:val="4"/>
  </w:num>
  <w:num w:numId="2">
    <w:abstractNumId w:val="8"/>
  </w:num>
  <w:num w:numId="3">
    <w:abstractNumId w:val="2"/>
  </w:num>
  <w:num w:numId="4">
    <w:abstractNumId w:val="6"/>
  </w:num>
  <w:num w:numId="5">
    <w:abstractNumId w:val="3"/>
  </w:num>
  <w:num w:numId="6">
    <w:abstractNumId w:val="1"/>
  </w:num>
  <w:num w:numId="7">
    <w:abstractNumId w:val="5"/>
  </w:num>
  <w:num w:numId="8">
    <w:abstractNumId w:val="9"/>
  </w:num>
  <w:num w:numId="9">
    <w:abstractNumId w:val="0"/>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221D12"/>
    <w:rsid w:val="006509CE"/>
    <w:rsid w:val="00B4153D"/>
    <w:rsid w:val="04FD4066"/>
    <w:rsid w:val="157F0E5E"/>
    <w:rsid w:val="19917F08"/>
    <w:rsid w:val="1F014566"/>
    <w:rsid w:val="212C5F7B"/>
    <w:rsid w:val="2A827F8B"/>
    <w:rsid w:val="364644CB"/>
    <w:rsid w:val="4256732B"/>
    <w:rsid w:val="4C221D12"/>
    <w:rsid w:val="4D597484"/>
    <w:rsid w:val="4FC878DB"/>
    <w:rsid w:val="512D08AC"/>
    <w:rsid w:val="59140B3F"/>
    <w:rsid w:val="5FA24B1B"/>
    <w:rsid w:val="68CC4702"/>
    <w:rsid w:val="6B3943AD"/>
    <w:rsid w:val="6D2A43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0"/>
    <w:pPr>
      <w:keepNext/>
      <w:keepLines/>
      <w:spacing w:before="340" w:after="330" w:line="578" w:lineRule="auto"/>
      <w:outlineLvl w:val="0"/>
    </w:pPr>
    <w:rPr>
      <w:rFonts w:ascii="Times New Roman" w:hAnsi="Times New Roman" w:eastAsia="宋体" w:cs="Times New Roman"/>
      <w:b/>
      <w:bCs/>
      <w:kern w:val="44"/>
      <w:sz w:val="44"/>
      <w:szCs w:val="44"/>
    </w:rPr>
  </w:style>
  <w:style w:type="character" w:default="1" w:styleId="5">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198</Words>
  <Characters>1132</Characters>
  <Lines>9</Lines>
  <Paragraphs>2</Paragraphs>
  <TotalTime>55</TotalTime>
  <ScaleCrop>false</ScaleCrop>
  <LinksUpToDate>false</LinksUpToDate>
  <CharactersWithSpaces>1328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2024-11-18T03:32:00Z</dcterms:created>
  <dc:creator>刘天昊</dc:creator>
  <cp:lastModifiedBy>CAO</cp:lastModifiedBy>
  <dcterms:modified xsi:type="dcterms:W3CDTF">2026-07-28T08:06:11Z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7C97A2052B1B4A7CA6EBE6B0744BDE20</vt:lpwstr>
  </property>
</Properties>
</file>