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eastAsia="宋体"/>
          <w:b/>
          <w:sz w:val="32"/>
        </w:rPr>
        <w:t>基于玄女月度地理嵌入的海淀区生态系统生产总值（GEP）核算技术试点与智能服务研究</w:t>
      </w:r>
    </w:p>
    <w:p>
      <w:pPr>
        <w:spacing w:after="840"/>
        <w:jc w:val="center"/>
      </w:pPr>
      <w:r>
        <w:rPr>
          <w:rFonts w:ascii="Times New Roman" w:hAnsi="Times New Roman" w:eastAsia="宋体"/>
          <w:b/>
          <w:sz w:val="28"/>
        </w:rPr>
        <w:t>项目申报书（技术内容修订稿）</w:t>
      </w:r>
    </w:p>
    <w:p>
      <w:r>
        <w:t>说明：申报部门、负责人、研究周期和经费预算需由申报单位补充。</w:t>
      </w:r>
    </w:p>
    <w:p>
      <w:r>
        <w:br w:type="page"/>
      </w:r>
    </w:p>
    <w:tbl>
      <w:tblPr>
        <w:tblW w:type="auto" w:w="0"/>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68"/>
        <w:gridCol w:w="7087"/>
      </w:tblGrid>
      <w:tr>
        <w:tc>
          <w:tcPr>
            <w:tcW w:type="dxa" w:w="4589"/>
            <w:vAlign w:val="center"/>
          </w:tcPr>
          <w:p>
            <w:pPr>
              <w:spacing w:after="0" w:before="0"/>
              <w:jc w:val="center"/>
            </w:pPr>
            <w:r/>
            <w:r>
              <w:rPr>
                <w:rFonts w:ascii="Times New Roman" w:hAnsi="Times New Roman" w:eastAsia="宋体"/>
                <w:b/>
                <w:sz w:val="21"/>
              </w:rPr>
              <w:t>项目名称</w:t>
            </w:r>
          </w:p>
        </w:tc>
        <w:tc>
          <w:tcPr>
            <w:tcW w:type="dxa" w:w="4589"/>
            <w:vAlign w:val="center"/>
          </w:tcPr>
          <w:p>
            <w:pPr>
              <w:spacing w:after="0" w:before="0"/>
              <w:jc w:val="center"/>
            </w:pPr>
            <w:r/>
            <w:r>
              <w:rPr>
                <w:rFonts w:ascii="Times New Roman" w:hAnsi="Times New Roman" w:eastAsia="宋体"/>
                <w:b w:val="0"/>
                <w:sz w:val="21"/>
              </w:rPr>
              <w:t>基于玄女月度地理嵌入的海淀区生态系统生产总值（GEP）核算技术试点与智能服务研究</w:t>
            </w:r>
          </w:p>
        </w:tc>
      </w:tr>
      <w:tr>
        <w:tc>
          <w:tcPr>
            <w:tcW w:type="dxa" w:w="4589"/>
            <w:vAlign w:val="center"/>
          </w:tcPr>
          <w:p>
            <w:pPr>
              <w:spacing w:after="0" w:before="0"/>
              <w:jc w:val="center"/>
            </w:pPr>
            <w:r/>
            <w:r>
              <w:rPr>
                <w:rFonts w:ascii="Times New Roman" w:hAnsi="Times New Roman" w:eastAsia="宋体"/>
                <w:b/>
                <w:sz w:val="21"/>
              </w:rPr>
              <w:t>申报部门</w:t>
            </w:r>
          </w:p>
        </w:tc>
        <w:tc>
          <w:tcPr>
            <w:tcW w:type="dxa" w:w="4589"/>
            <w:vAlign w:val="center"/>
          </w:tcPr>
          <w:p>
            <w:pPr>
              <w:spacing w:after="0" w:before="0"/>
              <w:jc w:val="center"/>
            </w:pPr>
            <w:r/>
            <w:r>
              <w:rPr>
                <w:rFonts w:ascii="Times New Roman" w:hAnsi="Times New Roman" w:eastAsia="宋体"/>
                <w:b w:val="0"/>
                <w:sz w:val="21"/>
              </w:rPr>
              <w:t>待填</w:t>
            </w:r>
          </w:p>
        </w:tc>
      </w:tr>
      <w:tr>
        <w:tc>
          <w:tcPr>
            <w:tcW w:type="dxa" w:w="4589"/>
            <w:vAlign w:val="center"/>
          </w:tcPr>
          <w:p>
            <w:pPr>
              <w:spacing w:after="0" w:before="0"/>
              <w:jc w:val="center"/>
            </w:pPr>
            <w:r/>
            <w:r>
              <w:rPr>
                <w:rFonts w:ascii="Times New Roman" w:hAnsi="Times New Roman" w:eastAsia="宋体"/>
                <w:b/>
                <w:sz w:val="21"/>
              </w:rPr>
              <w:t>项目申报人</w:t>
            </w:r>
          </w:p>
        </w:tc>
        <w:tc>
          <w:tcPr>
            <w:tcW w:type="dxa" w:w="4589"/>
            <w:vAlign w:val="center"/>
          </w:tcPr>
          <w:p>
            <w:pPr>
              <w:spacing w:after="0" w:before="0"/>
              <w:jc w:val="center"/>
            </w:pPr>
            <w:r/>
            <w:r>
              <w:rPr>
                <w:rFonts w:ascii="Times New Roman" w:hAnsi="Times New Roman" w:eastAsia="宋体"/>
                <w:b w:val="0"/>
                <w:sz w:val="21"/>
              </w:rPr>
              <w:t>待填</w:t>
            </w:r>
          </w:p>
        </w:tc>
      </w:tr>
      <w:tr>
        <w:tc>
          <w:tcPr>
            <w:tcW w:type="dxa" w:w="4589"/>
            <w:vAlign w:val="center"/>
          </w:tcPr>
          <w:p>
            <w:pPr>
              <w:spacing w:after="0" w:before="0"/>
              <w:jc w:val="center"/>
            </w:pPr>
            <w:r/>
            <w:r>
              <w:rPr>
                <w:rFonts w:ascii="Times New Roman" w:hAnsi="Times New Roman" w:eastAsia="宋体"/>
                <w:b/>
                <w:sz w:val="21"/>
              </w:rPr>
              <w:t>研究周期</w:t>
            </w:r>
          </w:p>
        </w:tc>
        <w:tc>
          <w:tcPr>
            <w:tcW w:type="dxa" w:w="4589"/>
            <w:vAlign w:val="center"/>
          </w:tcPr>
          <w:p>
            <w:pPr>
              <w:spacing w:after="0" w:before="0"/>
              <w:jc w:val="center"/>
            </w:pPr>
            <w:r/>
            <w:r>
              <w:rPr>
                <w:rFonts w:ascii="Times New Roman" w:hAnsi="Times New Roman" w:eastAsia="宋体"/>
                <w:b w:val="0"/>
                <w:sz w:val="21"/>
              </w:rPr>
              <w:t>建议2年（以正式立项文件为准）</w:t>
            </w:r>
          </w:p>
        </w:tc>
      </w:tr>
      <w:tr>
        <w:tc>
          <w:tcPr>
            <w:tcW w:type="dxa" w:w="4589"/>
            <w:vAlign w:val="center"/>
          </w:tcPr>
          <w:p>
            <w:pPr>
              <w:spacing w:after="0" w:before="0"/>
              <w:jc w:val="center"/>
            </w:pPr>
            <w:r/>
            <w:r>
              <w:rPr>
                <w:rFonts w:ascii="Times New Roman" w:hAnsi="Times New Roman" w:eastAsia="宋体"/>
                <w:b/>
                <w:sz w:val="21"/>
              </w:rPr>
              <w:t>成果转化方式</w:t>
            </w:r>
          </w:p>
        </w:tc>
        <w:tc>
          <w:tcPr>
            <w:tcW w:type="dxa" w:w="4589"/>
            <w:vAlign w:val="center"/>
          </w:tcPr>
          <w:p>
            <w:pPr>
              <w:spacing w:after="0" w:before="0"/>
              <w:jc w:val="center"/>
            </w:pPr>
            <w:r/>
            <w:r>
              <w:rPr>
                <w:rFonts w:ascii="Times New Roman" w:hAnsi="Times New Roman" w:eastAsia="宋体"/>
                <w:b w:val="0"/>
                <w:sz w:val="21"/>
              </w:rPr>
              <w:t>业务化、工程化</w:t>
            </w:r>
          </w:p>
        </w:tc>
      </w:tr>
    </w:tbl>
    <w:p>
      <w:r>
        <w:br w:type="page"/>
      </w:r>
    </w:p>
    <w:p>
      <w:pPr>
        <w:spacing w:before="280" w:after="160"/>
      </w:pPr>
      <w:r>
        <w:rPr>
          <w:rFonts w:ascii="Times New Roman" w:hAnsi="Times New Roman" w:eastAsia="宋体"/>
          <w:b/>
          <w:sz w:val="28"/>
        </w:rPr>
        <w:t>一、项目概述</w:t>
      </w:r>
    </w:p>
    <w:p>
      <w:pPr>
        <w:spacing w:after="100" w:line="360" w:lineRule="auto"/>
        <w:ind w:firstLine="420"/>
      </w:pPr>
      <w:r>
        <w:rPr>
          <w:rFonts w:ascii="Times New Roman" w:hAnsi="Times New Roman" w:eastAsia="宋体"/>
          <w:b w:val="0"/>
          <w:sz w:val="24"/>
        </w:rPr>
        <w:t>本项目面向海淀区GEP核算中数据分散、生态状态更新不及时和结果难以追溯等问题，建设“10米月度生态证据层—服务实物量反演—标准化价值量核算—可信服务”链条。玄女以1,280米×1,280米范围组织训练，每个patch输出128×128×64稠密embedding，实际对应10米网格，1,280米不是产品分辨率。项目依据GB/T 46869—2025，先开展固碳、洪水调蓄、局部气候调节三类调节服务价值试点；模型不直接预测货币，实物量和价值量由生态过程模型、监测资料、统计资料与标准参数共同核算，形成可追溯、可复算的示范成果。</w:t>
      </w:r>
    </w:p>
    <w:p>
      <w:pPr>
        <w:spacing w:before="280" w:after="160"/>
      </w:pPr>
      <w:r>
        <w:rPr>
          <w:rFonts w:ascii="Times New Roman" w:hAnsi="Times New Roman" w:eastAsia="宋体"/>
          <w:b/>
          <w:sz w:val="28"/>
        </w:rPr>
        <w:t>二、项目研究的目的、必要性和可行性</w:t>
      </w:r>
    </w:p>
    <w:p>
      <w:pPr>
        <w:spacing w:before="160" w:after="80"/>
      </w:pPr>
      <w:r>
        <w:rPr>
          <w:rFonts w:ascii="Times New Roman" w:hAnsi="Times New Roman" w:eastAsia="宋体"/>
          <w:b/>
          <w:sz w:val="24"/>
        </w:rPr>
        <w:t>1. 项目目的</w:t>
      </w:r>
    </w:p>
    <w:p>
      <w:pPr>
        <w:spacing w:after="100" w:line="360" w:lineRule="auto"/>
        <w:ind w:firstLine="420"/>
      </w:pPr>
      <w:r>
        <w:rPr>
          <w:rFonts w:ascii="Times New Roman" w:hAnsi="Times New Roman" w:eastAsia="宋体"/>
          <w:b w:val="0"/>
          <w:sz w:val="24"/>
        </w:rPr>
        <w:t>建立以10米月度生态状态embedding为证据层、以GB/T 46869—2025核算流程为约束的海淀区GEP核算技术试点。项目重点不是用人工智能端到端“预测人民币”，而是提高生态状态制图、服务实物量反演、数据对齐和过程调度的效率，使每项核算结果均可追溯到影像、模型、参数和统计资料。</w:t>
      </w:r>
    </w:p>
    <w:p>
      <w:pPr>
        <w:spacing w:before="160" w:after="80"/>
      </w:pPr>
      <w:r>
        <w:rPr>
          <w:rFonts w:ascii="Times New Roman" w:hAnsi="Times New Roman" w:eastAsia="宋体"/>
          <w:b/>
          <w:sz w:val="24"/>
        </w:rPr>
        <w:t>2. 项目必要性</w:t>
      </w:r>
    </w:p>
    <w:p>
      <w:pPr>
        <w:spacing w:after="100" w:line="360" w:lineRule="auto"/>
        <w:ind w:firstLine="420"/>
      </w:pPr>
      <w:r>
        <w:rPr>
          <w:rFonts w:ascii="Times New Roman" w:hAnsi="Times New Roman" w:eastAsia="宋体"/>
          <w:b w:val="0"/>
          <w:sz w:val="24"/>
        </w:rPr>
        <w:t>现有GEP工作需要人工整合遥感影像、生态模型、统计年鉴、价格参数和监测资料。不同来源的分辨率、时间和空间参考不一致，导致更新慢、复算成本高。海淀区建设用地、河湖湿地、山地林地和公园绿地交错，生态服务具有显著空间异质性，需要更精细且可持续更新的空间证据。</w:t>
      </w:r>
    </w:p>
    <w:p>
      <w:pPr>
        <w:spacing w:before="160" w:after="80"/>
      </w:pPr>
      <w:r>
        <w:rPr>
          <w:rFonts w:ascii="Times New Roman" w:hAnsi="Times New Roman" w:eastAsia="宋体"/>
          <w:b/>
          <w:sz w:val="24"/>
        </w:rPr>
        <w:t>3. 项目可行性</w:t>
      </w:r>
    </w:p>
    <w:p>
      <w:pPr>
        <w:spacing w:after="100" w:line="360" w:lineRule="auto"/>
        <w:ind w:firstLine="420"/>
      </w:pPr>
      <w:r>
        <w:rPr>
          <w:rFonts w:ascii="Times New Roman" w:hAnsi="Times New Roman" w:eastAsia="宋体"/>
          <w:b w:val="0"/>
          <w:sz w:val="24"/>
        </w:rPr>
        <w:t>项目已有玄女海淀月度embedding底座作为起点。P10C生产权重覆盖2025年12月至2026年5月、320个patch；对每个1,280米×1,280米patch输出128×128×64 embedding map，提供10米输出网格和64维表征。建筑、道路、水体仅在与预训练OSM弱语义同源的少样本基准上完成初步评测，尚未完成独立人工标注、生态监测或GEP服务变量验证。本项目将在此基础上补充DEM、气象、土壤、水文、地表温度、生态统计和监测资料，以生态过程模型和国家标准完成服务实物量及价值量试点核算。</w:t>
      </w:r>
    </w:p>
    <w:p>
      <w:pPr>
        <w:spacing w:before="280" w:after="160"/>
      </w:pPr>
      <w:r>
        <w:rPr>
          <w:rFonts w:ascii="Times New Roman" w:hAnsi="Times New Roman" w:eastAsia="宋体"/>
          <w:b/>
          <w:sz w:val="28"/>
        </w:rPr>
        <w:t>三、项目目标与考核要求</w:t>
      </w:r>
    </w:p>
    <w:p>
      <w:pPr>
        <w:spacing w:before="160" w:after="80"/>
      </w:pPr>
      <w:r>
        <w:rPr>
          <w:rFonts w:ascii="Times New Roman" w:hAnsi="Times New Roman" w:eastAsia="宋体"/>
          <w:b/>
          <w:sz w:val="24"/>
        </w:rPr>
        <w:t>1. 总体目标</w:t>
      </w:r>
    </w:p>
    <w:p>
      <w:pPr>
        <w:spacing w:after="100" w:line="360" w:lineRule="auto"/>
        <w:ind w:firstLine="420"/>
      </w:pPr>
      <w:r>
        <w:rPr>
          <w:rFonts w:ascii="Times New Roman" w:hAnsi="Times New Roman" w:eastAsia="宋体"/>
          <w:b w:val="0"/>
          <w:sz w:val="24"/>
        </w:rPr>
        <w:t>构建海淀区10米月度生态证据层和三类调节服务的标准化核算原型，形成从多源数据对齐、embedding生成、生态服务实物量反演、价值量核算到可信问答的完整流程。</w:t>
      </w:r>
    </w:p>
    <w:p>
      <w:pPr>
        <w:spacing w:before="160" w:after="80"/>
      </w:pPr>
      <w:r>
        <w:rPr>
          <w:rFonts w:ascii="Times New Roman" w:hAnsi="Times New Roman" w:eastAsia="宋体"/>
          <w:b/>
          <w:sz w:val="24"/>
        </w:rPr>
        <w:t>2. 可考核目标</w:t>
      </w:r>
    </w:p>
    <w:p>
      <w:pPr>
        <w:spacing w:after="100" w:line="360" w:lineRule="auto"/>
        <w:ind w:firstLine="420"/>
      </w:pPr>
      <w:r>
        <w:rPr>
          <w:rFonts w:ascii="Times New Roman" w:hAnsi="Times New Roman" w:eastAsia="宋体"/>
          <w:b w:val="0"/>
          <w:sz w:val="24"/>
        </w:rPr>
        <w:t>1. 建成项目覆盖范围内的10米月度生态证据产品，包括质量掩膜、月度embedding、生态状态图和数据血缘记录；每个产品均保留时间、来源、空间参考和质量信息。</w:t>
      </w:r>
    </w:p>
    <w:p>
      <w:pPr>
        <w:spacing w:after="100" w:line="360" w:lineRule="auto"/>
        <w:ind w:firstLine="420"/>
      </w:pPr>
      <w:r>
        <w:rPr>
          <w:rFonts w:ascii="Times New Roman" w:hAnsi="Times New Roman" w:eastAsia="宋体"/>
          <w:b w:val="0"/>
          <w:sz w:val="24"/>
        </w:rPr>
        <w:t>2. 建成GEP样本库，分离保存月度观测、生态状态、服务实物量监督/校准资料和价值参数四类数据；所有栅格按统一网格对齐，原始数据分辨率与重采样方法可追溯。</w:t>
      </w:r>
    </w:p>
    <w:p>
      <w:pPr>
        <w:spacing w:after="100" w:line="360" w:lineRule="auto"/>
        <w:ind w:firstLine="420"/>
      </w:pPr>
      <w:r>
        <w:rPr>
          <w:rFonts w:ascii="Times New Roman" w:hAnsi="Times New Roman" w:eastAsia="宋体"/>
          <w:b w:val="0"/>
          <w:sz w:val="24"/>
        </w:rPr>
        <w:t>3. 完成固定二氧化碳、洪水调蓄、局部气候调节三类服务的实物量反演与价值量核算原型；其合计明确表述为“三类调节服务价值试点合计”，不等同于海淀区完整GEP总值。水质净化、土壤保持、游憩和物质产品仅在形成适用清单、取得资料并完成独立验证后纳入扩展核算。</w:t>
      </w:r>
    </w:p>
    <w:p>
      <w:pPr>
        <w:spacing w:after="100" w:line="360" w:lineRule="auto"/>
        <w:ind w:firstLine="420"/>
      </w:pPr>
      <w:r>
        <w:rPr>
          <w:rFonts w:ascii="Times New Roman" w:hAnsi="Times New Roman" w:eastAsia="宋体"/>
          <w:b w:val="0"/>
          <w:sz w:val="24"/>
        </w:rPr>
        <w:t>4. 核算开始前固定边界版本、核算基准年、服务清单、数据来源、基线方法、独立验证资料和验收判定规则。对分类任务报告F1、IoU和总体精度；对连续生态变量报告R²、MAE、RMSE和Bias；对雨洪过程报告NSE、KGE、PBIAS和事件命中率。各指标均采用空间分块、时间留出或独立监测资料验证，校准资料与最终评价资料隔离。</w:t>
      </w:r>
    </w:p>
    <w:p>
      <w:pPr>
        <w:spacing w:after="100" w:line="360" w:lineRule="auto"/>
        <w:ind w:firstLine="420"/>
      </w:pPr>
      <w:r>
        <w:rPr>
          <w:rFonts w:ascii="Times New Roman" w:hAnsi="Times New Roman" w:eastAsia="宋体"/>
          <w:b w:val="0"/>
          <w:sz w:val="24"/>
        </w:rPr>
        <w:t>5. 建成可调用的GEP核算工具链和问答原型。问答结果必须返回数据时间、空间范围、模型版本、参数版本、核算方法和不确定性说明；未完成核算的数据不得生成定量结论。</w:t>
      </w:r>
    </w:p>
    <w:p>
      <w:pPr>
        <w:spacing w:before="160" w:after="80"/>
      </w:pPr>
      <w:r>
        <w:rPr>
          <w:rFonts w:ascii="Times New Roman" w:hAnsi="Times New Roman" w:eastAsia="宋体"/>
          <w:b/>
          <w:sz w:val="24"/>
        </w:rPr>
        <w:t>3. 试点边界与完整GEP的关系</w:t>
      </w:r>
    </w:p>
    <w:p>
      <w:pPr>
        <w:spacing w:after="100" w:line="360" w:lineRule="auto"/>
        <w:ind w:firstLine="420"/>
      </w:pPr>
      <w:r>
        <w:rPr>
          <w:rFonts w:ascii="Times New Roman" w:hAnsi="Times New Roman" w:eastAsia="宋体"/>
          <w:b w:val="0"/>
          <w:sz w:val="24"/>
        </w:rPr>
        <w:t>本项目首期交付的是三类调节服务价值试点，不以其合计替代完整GEP。完整GEP需先按GB/T 46869—2025编制海淀区生态产品清单，说明物质产品、调节服务、文化服务的纳入或排除依据，并采用“区域内生态产品价值合计－来自区域外的生态产品价值”规则进行汇总。项目将建立该清单、扣减字段和审计规则；只有在适用科目、数据、参数及独立验证齐备后，才形成完整GEP总值。</w:t>
      </w:r>
    </w:p>
    <w:p>
      <w:pPr>
        <w:spacing w:before="280" w:after="160"/>
      </w:pPr>
      <w:r>
        <w:rPr>
          <w:rFonts w:ascii="Times New Roman" w:hAnsi="Times New Roman" w:eastAsia="宋体"/>
          <w:b/>
          <w:sz w:val="28"/>
        </w:rPr>
        <w:t>四、研究内容</w:t>
      </w:r>
    </w:p>
    <w:p>
      <w:pPr>
        <w:spacing w:before="160" w:after="80"/>
      </w:pPr>
      <w:r>
        <w:rPr>
          <w:rFonts w:ascii="Times New Roman" w:hAnsi="Times New Roman" w:eastAsia="宋体"/>
          <w:b/>
          <w:sz w:val="24"/>
        </w:rPr>
        <w:t>1. 数据对齐与GEP样本库构建</w:t>
      </w:r>
    </w:p>
    <w:p>
      <w:pPr>
        <w:spacing w:after="100" w:line="360" w:lineRule="auto"/>
        <w:ind w:firstLine="420"/>
      </w:pPr>
      <w:r>
        <w:rPr>
          <w:rFonts w:ascii="Times New Roman" w:hAnsi="Times New Roman" w:eastAsia="宋体"/>
          <w:b w:val="0"/>
          <w:sz w:val="24"/>
        </w:rPr>
        <w:t>建立统一的10米分析网格和数据目录。10米网格是生态状态和embedding产品的表达网格，不意味着所有输入资料原始分辨率均为10米。每个产品必须标明其属性：原始观测、重采样辅助变量或模型推断结果。对于较粗的气象、土壤、DEM、统计和生态产品，保存原始空间分辨率、时间范围与重采样方法，避免把插值结果误表述为新增的10米观测事实。</w:t>
      </w:r>
    </w:p>
    <w:p>
      <w:pPr>
        <w:spacing w:after="100" w:line="360" w:lineRule="auto"/>
        <w:ind w:firstLine="420"/>
      </w:pPr>
      <w:r>
        <w:rPr>
          <w:rFonts w:ascii="Times New Roman" w:hAnsi="Times New Roman" w:eastAsia="宋体"/>
          <w:b w:val="0"/>
          <w:sz w:val="24"/>
        </w:rPr>
        <w:t>样本库由四个相互独立的层次组成。</w:t>
      </w:r>
    </w:p>
    <w:p>
      <w:pPr>
        <w:spacing w:after="100" w:line="360" w:lineRule="auto"/>
        <w:ind w:firstLine="420"/>
      </w:pPr>
      <w:r>
        <w:rPr>
          <w:rFonts w:ascii="Times New Roman" w:hAnsi="Times New Roman" w:eastAsia="宋体"/>
          <w:b w:val="0"/>
          <w:sz w:val="24"/>
        </w:rPr>
        <w:t>1. 月度观测层。包括Sentinel-1、Sentinel-2、Landsat、高分光学和高分SAR等影像及其云、阴影、缺失和质量掩膜。</w:t>
      </w:r>
    </w:p>
    <w:p>
      <w:pPr>
        <w:spacing w:after="100" w:line="360" w:lineRule="auto"/>
        <w:ind w:firstLine="420"/>
      </w:pPr>
      <w:r>
        <w:rPr>
          <w:rFonts w:ascii="Times New Roman" w:hAnsi="Times New Roman" w:eastAsia="宋体"/>
          <w:b w:val="0"/>
          <w:sz w:val="24"/>
        </w:rPr>
        <w:t>2. 生态状态层。形成与GB/T 46869—2025附录B生态系统分类相衔接的森林、灌丛、草地、湿地、农田和城市生态系统分类；城市生态系统进一步记录城市绿地、城市水体、居住地、工矿交通等子类。对分类图开展面积闭合、边界像元与混合像元处理，并使用独立样本评价。植被覆盖度、地表温度、热环境和变化图均属于本项目拟由专用头和外部资料生成的产品，不作为现有P10C已交付能力表述。</w:t>
      </w:r>
    </w:p>
    <w:p>
      <w:pPr>
        <w:spacing w:after="100" w:line="360" w:lineRule="auto"/>
        <w:ind w:firstLine="420"/>
      </w:pPr>
      <w:r>
        <w:rPr>
          <w:rFonts w:ascii="Times New Roman" w:hAnsi="Times New Roman" w:eastAsia="宋体"/>
          <w:b w:val="0"/>
          <w:sz w:val="24"/>
        </w:rPr>
        <w:t>3. 服务实物量层。包括NPP/生物量、蒸散发、降雨、辐射、气温、DEM、坡度、土壤、水文、水质、监测站和统计资料。该层用于模型校准与独立验证，不与最终测试资料混用。</w:t>
      </w:r>
    </w:p>
    <w:p>
      <w:pPr>
        <w:spacing w:after="100" w:line="360" w:lineRule="auto"/>
        <w:ind w:firstLine="420"/>
      </w:pPr>
      <w:r>
        <w:rPr>
          <w:rFonts w:ascii="Times New Roman" w:hAnsi="Times New Roman" w:eastAsia="宋体"/>
          <w:b w:val="0"/>
          <w:sz w:val="24"/>
        </w:rPr>
        <w:t>4. 价值核算层。包括价格、影子价格、替代成本、单位服务价值、参数来源和适用年份。价值参数与影像、模型权重分开管理，确保核算过程可复算。</w:t>
      </w:r>
    </w:p>
    <w:p>
      <w:pPr>
        <w:spacing w:before="160" w:after="80"/>
      </w:pPr>
      <w:r>
        <w:rPr>
          <w:rFonts w:ascii="Times New Roman" w:hAnsi="Times New Roman" w:eastAsia="宋体"/>
          <w:b/>
          <w:sz w:val="24"/>
        </w:rPr>
        <w:t>2. 嵌入地球基础模型构建与嵌入生成</w:t>
      </w:r>
    </w:p>
    <w:p>
      <w:pPr>
        <w:spacing w:after="100" w:line="360" w:lineRule="auto"/>
        <w:ind w:firstLine="420"/>
      </w:pPr>
      <w:r>
        <w:rPr>
          <w:rFonts w:ascii="Times New Roman" w:hAnsi="Times New Roman" w:eastAsia="宋体"/>
          <w:b w:val="0"/>
          <w:sz w:val="24"/>
        </w:rPr>
        <w:t>以玄女海淀P10C生产模型为初始化底座，保持其多源遥感输入、月度输出、128×128空间网格和64维稠密embedding能力。模型以六个月时序上下文生成对应月份的嵌入，因此应表述为“月度输出、具有时序上下文”，而非“每月只使用单月影像”。项目启动时需定义月产品采用回看窗口、居中窗口或其他规则，明确最短出具滞后、首尾月份处理、云缺失阈值和降级策略。</w:t>
      </w:r>
    </w:p>
    <w:p>
      <w:pPr>
        <w:spacing w:after="100" w:line="360" w:lineRule="auto"/>
        <w:ind w:firstLine="420"/>
      </w:pPr>
      <w:r>
        <w:rPr>
          <w:rFonts w:ascii="Times New Roman" w:hAnsi="Times New Roman" w:eastAsia="宋体"/>
          <w:b w:val="0"/>
          <w:sz w:val="24"/>
        </w:rPr>
        <w:t>在生态适配阶段引入DEM、坡度、气象、植被指数、地表温度等辅助变量，并设置质量感知的时空对齐和缺失处理机制。预训练和适配训练仍以多源重建、困难重建、质量掩膜和广义弱语义为主；不得将最终GEP金额、最终核算结果、价格参数或最终独立评价标签作为基础模型训练目标。OSM等开放数据只作为广义弱语义先验，不作为GEP服务的唯一真值。</w:t>
      </w:r>
    </w:p>
    <w:p>
      <w:pPr>
        <w:spacing w:after="100" w:line="360" w:lineRule="auto"/>
        <w:ind w:firstLine="420"/>
      </w:pPr>
      <w:r>
        <w:rPr>
          <w:rFonts w:ascii="Times New Roman" w:hAnsi="Times New Roman" w:eastAsia="宋体"/>
          <w:b w:val="0"/>
          <w:sz w:val="24"/>
        </w:rPr>
        <w:t>现有P10C导出结果为embedding及其全局元数据，不直接输出逐patch、逐月质量信息或生态状态图；现有高分源还采用跨可用时相汇聚后逐月重复融合，不能称为同期高分观测。项目拟改造为按目标月匹配的高分融合，并发布独立的月度产品包：embedding、输入可用性、云/阴影等质量掩膜、源数据日期、空间参考、处理版本和不确定性字段。无同期高分观测时应按规则降级并记录，不以相邻月份影像冒充同期观测。</w:t>
      </w:r>
    </w:p>
    <w:p>
      <w:pPr>
        <w:spacing w:before="160" w:after="80"/>
      </w:pPr>
      <w:r>
        <w:rPr>
          <w:rFonts w:ascii="Times New Roman" w:hAnsi="Times New Roman" w:eastAsia="宋体"/>
          <w:b/>
          <w:sz w:val="24"/>
        </w:rPr>
        <w:t>3. GEP反演与问答智能体构建</w:t>
      </w:r>
    </w:p>
    <w:p>
      <w:pPr>
        <w:spacing w:after="100" w:line="360" w:lineRule="auto"/>
        <w:ind w:firstLine="420"/>
      </w:pPr>
      <w:r>
        <w:rPr>
          <w:rFonts w:ascii="Times New Roman" w:hAnsi="Times New Roman" w:eastAsia="宋体"/>
          <w:b w:val="0"/>
          <w:sz w:val="24"/>
        </w:rPr>
        <w:t>按照GB/T 46869—2025，GEP核算应依次完成核算区域与生态系统类型确定、生态产品清单确定、数据收集、实物量核算、价值量核算和总值汇总。正式核算前锁定自然年或明确核算期、行政边界版本、边界像元归属和水体范围；月度embedding只作为状态证据，不能把月度存量或状态简单累加为年度实物量。玄女embedding的角色是提高生态状态表达与空间细化能力，不取代生态过程模型、标准公式、统计口径和价值参数。</w:t>
      </w:r>
    </w:p>
    <w:p>
      <w:pPr>
        <w:spacing w:after="100" w:line="360" w:lineRule="auto"/>
        <w:ind w:firstLine="420"/>
      </w:pPr>
      <w:r>
        <w:rPr>
          <w:rFonts w:ascii="Times New Roman" w:hAnsi="Times New Roman" w:eastAsia="宋体"/>
          <w:b w:val="0"/>
          <w:sz w:val="24"/>
        </w:rPr>
        <w:t>首期重点建设三类服务模块。</w:t>
      </w:r>
    </w:p>
    <w:p>
      <w:pPr>
        <w:spacing w:after="100" w:line="360" w:lineRule="auto"/>
        <w:ind w:firstLine="420"/>
      </w:pPr>
      <w:r>
        <w:rPr>
          <w:rFonts w:ascii="Times New Roman" w:hAnsi="Times New Roman" w:eastAsia="宋体"/>
          <w:b w:val="0"/>
          <w:sz w:val="24"/>
        </w:rPr>
        <w:t>1. 固碳服务模块。实物量口径为固定二氧化碳量（tCO2/a）。以10米生态状态证据辅助植被类型与空间化，但不把NPP直接等同于净碳汇；优先采用经呼吸项校正的NEP或经验证的固碳速率/生物量变化法。若仅具备NPP，只能作为过程代理变量，不进入正式固碳价值量。不同生态系统类型分别建模，避免重复计量；价值参数明确碳价或替代成本、适用年份、折算方法和版本。</w:t>
      </w:r>
    </w:p>
    <w:p>
      <w:pPr>
        <w:spacing w:after="100" w:line="360" w:lineRule="auto"/>
        <w:ind w:firstLine="420"/>
      </w:pPr>
      <w:r>
        <w:rPr>
          <w:rFonts w:ascii="Times New Roman" w:hAnsi="Times New Roman" w:eastAsia="宋体"/>
          <w:b w:val="0"/>
          <w:sz w:val="24"/>
        </w:rPr>
        <w:t>2. 洪水调蓄服务模块。实物量口径为调蓄水量（m3/a）。以不透水面、绿地、水体和地形为精细空间证据，结合降雨、土壤、管网边界、排水分区和子汇水区，采用明确的水文模型计算。项目启动时固定设计暴雨情景、重现期、汇流边界和基础设施边界；模型须通过水量平衡、参数本地化和径流/积水资料验证。水文过程先在子汇水区或明确的排水单元计算，再汇总到海淀区，不能把像元结果简单相加。价值参数采用单位库容建设与运维替代成本，记录来源、价格年份和适用范围。</w:t>
      </w:r>
    </w:p>
    <w:p>
      <w:pPr>
        <w:spacing w:after="100" w:line="360" w:lineRule="auto"/>
        <w:ind w:firstLine="420"/>
      </w:pPr>
      <w:r>
        <w:rPr>
          <w:rFonts w:ascii="Times New Roman" w:hAnsi="Times New Roman" w:eastAsia="宋体"/>
          <w:b w:val="0"/>
          <w:sz w:val="24"/>
        </w:rPr>
        <w:t>3. 局部气候调节模块。以蒸散发调节温湿度所消耗的能量作为正式实物量口径，结合地表温度、植被、水体、不透水面、建筑环境和气象资料计算。采用明确的基准情景，区分地表温度、近地气温与热暴露；热暴露缓解作为补充效益，不能替代正式实物量。价值量按当地生活电价及替代制冷能耗核算，并记录服务对象、受益范围、价格年份和参数版本。</w:t>
      </w:r>
    </w:p>
    <w:p>
      <w:pPr>
        <w:spacing w:after="100" w:line="360" w:lineRule="auto"/>
        <w:ind w:firstLine="420"/>
      </w:pPr>
      <w:r>
        <w:rPr>
          <w:rFonts w:ascii="Times New Roman" w:hAnsi="Times New Roman" w:eastAsia="宋体"/>
          <w:b w:val="0"/>
          <w:sz w:val="24"/>
        </w:rPr>
        <w:t>每项服务均建立“供给区—受益对象—受益区—核算归属”表。跨街道、跨行政区和跨汇水区服务按预先确定的规则分摊；完整GEP汇总时单列区域外生态产品价值扣减，防止重复计量。</w:t>
      </w:r>
    </w:p>
    <w:p>
      <w:pPr>
        <w:spacing w:after="100" w:line="360" w:lineRule="auto"/>
        <w:ind w:firstLine="420"/>
      </w:pPr>
      <w:r>
        <w:rPr>
          <w:rFonts w:ascii="Times New Roman" w:hAnsi="Times New Roman" w:eastAsia="宋体"/>
          <w:b w:val="0"/>
          <w:sz w:val="24"/>
        </w:rPr>
        <w:t>智能体采用“问—查—算—验—答”流程：解析问题后调用注册的数据、embedding、生态模型、标准参数和制图工具；输出专题图、统计表和文字结论；同时返回方法、输入版本、适用条件和不确定性。智能体不直接编造GEP数值，也不得绕过核算工具调用。</w:t>
      </w:r>
    </w:p>
    <w:p>
      <w:pPr>
        <w:spacing w:before="160" w:after="80"/>
      </w:pPr>
      <w:r>
        <w:rPr>
          <w:rFonts w:ascii="Times New Roman" w:hAnsi="Times New Roman" w:eastAsia="宋体"/>
          <w:b/>
          <w:sz w:val="24"/>
        </w:rPr>
        <w:t>4. 海淀区应用示范</w:t>
      </w:r>
    </w:p>
    <w:p>
      <w:pPr>
        <w:spacing w:after="100" w:line="360" w:lineRule="auto"/>
        <w:ind w:firstLine="420"/>
      </w:pPr>
      <w:r>
        <w:rPr>
          <w:rFonts w:ascii="Times New Roman" w:hAnsi="Times New Roman" w:eastAsia="宋体"/>
          <w:b w:val="0"/>
          <w:sz w:val="24"/>
        </w:rPr>
        <w:t>在海淀区开展示范，形成三层成果。</w:t>
      </w:r>
    </w:p>
    <w:p>
      <w:pPr>
        <w:spacing w:after="100" w:line="360" w:lineRule="auto"/>
        <w:ind w:firstLine="420"/>
      </w:pPr>
      <w:r>
        <w:rPr>
          <w:rFonts w:ascii="Times New Roman" w:hAnsi="Times New Roman" w:eastAsia="宋体"/>
          <w:b w:val="0"/>
          <w:sz w:val="24"/>
        </w:rPr>
        <w:t>1. 10米月度生态状态产品。展示植被、水体、绿地、不透水面、热环境和质量掩膜等空间信息，并保留相应月份和数据来源。</w:t>
      </w:r>
    </w:p>
    <w:p>
      <w:pPr>
        <w:spacing w:after="100" w:line="360" w:lineRule="auto"/>
        <w:ind w:firstLine="420"/>
      </w:pPr>
      <w:r>
        <w:rPr>
          <w:rFonts w:ascii="Times New Roman" w:hAnsi="Times New Roman" w:eastAsia="宋体"/>
          <w:b w:val="0"/>
          <w:sz w:val="24"/>
        </w:rPr>
        <w:t>2. 服务实物量产品。按像元或适当的子汇水区、绿地斑块等过程单元计算固碳、雨洪调蓄和热环境调节服务，再按街道或行政区进行汇总。</w:t>
      </w:r>
    </w:p>
    <w:p>
      <w:pPr>
        <w:spacing w:after="100" w:line="360" w:lineRule="auto"/>
        <w:ind w:firstLine="420"/>
      </w:pPr>
      <w:r>
        <w:rPr>
          <w:rFonts w:ascii="Times New Roman" w:hAnsi="Times New Roman" w:eastAsia="宋体"/>
          <w:b w:val="0"/>
          <w:sz w:val="24"/>
        </w:rPr>
        <w:t>3. GEP核算与决策产品。形成三类调节服务价值试点表、完整GEP生态产品清单草案、逐科目实物量—单位—价值量—单位—方法—数据来源附表、区域外价值扣减字段、参数台账和不确定性说明。对条件不足的服务项目明确列为“待补数据/待验证”，不纳入三类试点合计，更不纳入完整GEP总值。</w:t>
      </w:r>
    </w:p>
    <w:p>
      <w:pPr>
        <w:spacing w:before="280" w:after="160"/>
      </w:pPr>
      <w:r>
        <w:rPr>
          <w:rFonts w:ascii="Times New Roman" w:hAnsi="Times New Roman" w:eastAsia="宋体"/>
          <w:b/>
          <w:sz w:val="28"/>
        </w:rPr>
        <w:t>五、关键技术与技术路线</w:t>
      </w:r>
    </w:p>
    <w:p>
      <w:pPr>
        <w:spacing w:before="160" w:after="80"/>
      </w:pPr>
      <w:r>
        <w:rPr>
          <w:rFonts w:ascii="Times New Roman" w:hAnsi="Times New Roman" w:eastAsia="宋体"/>
          <w:b/>
          <w:sz w:val="24"/>
        </w:rPr>
        <w:t>1. 关键技术一：多源时空对齐与质量可追溯的10米生态证据构建</w:t>
      </w:r>
    </w:p>
    <w:p>
      <w:pPr>
        <w:spacing w:after="100" w:line="360" w:lineRule="auto"/>
        <w:ind w:firstLine="420"/>
      </w:pPr>
      <w:r>
        <w:rPr>
          <w:rFonts w:ascii="Times New Roman" w:hAnsi="Times New Roman" w:eastAsia="宋体"/>
          <w:b w:val="0"/>
          <w:sz w:val="24"/>
        </w:rPr>
        <w:t>建立统一空间参考、统一10米分析网格、传感器质量掩膜、时相匹配规则和数据血缘记录。该技术解决多源影像、生态辅助数据和统计资料在分辨率、时间和空间范围上的不一致问题。</w:t>
      </w:r>
    </w:p>
    <w:p>
      <w:pPr>
        <w:spacing w:before="160" w:after="80"/>
      </w:pPr>
      <w:r>
        <w:rPr>
          <w:rFonts w:ascii="Times New Roman" w:hAnsi="Times New Roman" w:eastAsia="宋体"/>
          <w:b/>
          <w:sz w:val="24"/>
        </w:rPr>
        <w:t>2. 关键技术二：月度地理embedding与生态服务实物量协同反演</w:t>
      </w:r>
    </w:p>
    <w:p>
      <w:pPr>
        <w:spacing w:after="100" w:line="360" w:lineRule="auto"/>
        <w:ind w:firstLine="420"/>
      </w:pPr>
      <w:r>
        <w:rPr>
          <w:rFonts w:ascii="Times New Roman" w:hAnsi="Times New Roman" w:eastAsia="宋体"/>
          <w:b w:val="0"/>
          <w:sz w:val="24"/>
        </w:rPr>
        <w:t>采用“冻结或轻量适配的embedding底座＋服务专用轻量头＋生态过程模型”的组合，而非以黑盒网络直接预测价值量。embedding负责可迁移地表语义和精细边界表达；服务头负责从生态状态映射至过程变量；CASA、InVEST或经验证的本地模型负责实物量计算。</w:t>
      </w:r>
    </w:p>
    <w:p>
      <w:pPr>
        <w:spacing w:before="160" w:after="80"/>
      </w:pPr>
      <w:r>
        <w:rPr>
          <w:rFonts w:ascii="Times New Roman" w:hAnsi="Times New Roman" w:eastAsia="宋体"/>
          <w:b/>
          <w:sz w:val="24"/>
        </w:rPr>
        <w:t>3. 关键技术三：标准约束和可追溯的GEP智能服务</w:t>
      </w:r>
    </w:p>
    <w:p>
      <w:pPr>
        <w:spacing w:after="100" w:line="360" w:lineRule="auto"/>
        <w:ind w:firstLine="420"/>
      </w:pPr>
      <w:r>
        <w:rPr>
          <w:rFonts w:ascii="Times New Roman" w:hAnsi="Times New Roman" w:eastAsia="宋体"/>
          <w:b w:val="0"/>
          <w:sz w:val="24"/>
        </w:rPr>
        <w:t>将GB/T 46869—2025的核算顺序、指标定义、输入要求、单位和价值参数版本纳入工具调用规则。每一次核算形成可审计记录，包括数据版本、模型版本、参数版本、空间范围、时间范围、结果及不确定性。</w:t>
      </w:r>
    </w:p>
    <w:p>
      <w:pPr>
        <w:spacing w:after="100" w:line="360" w:lineRule="auto"/>
        <w:ind w:firstLine="420"/>
      </w:pPr>
      <w:r>
        <w:rPr>
          <w:rFonts w:ascii="Times New Roman" w:hAnsi="Times New Roman" w:eastAsia="宋体"/>
          <w:b w:val="0"/>
          <w:sz w:val="24"/>
        </w:rPr>
        <w:t>技术路线如下：多源月度影像与生态辅助数据 → 质量控制、时间匹配和10米网格对齐 → 玄女月度embedding与生态状态图 → 服务实物量模型与独立验证 → 标准化价值量核算 → 海淀区GEP汇总、专题图和可信问答。</w:t>
      </w:r>
    </w:p>
    <w:p>
      <w:pPr>
        <w:spacing w:before="280" w:after="160"/>
      </w:pPr>
      <w:r>
        <w:rPr>
          <w:rFonts w:ascii="Times New Roman" w:hAnsi="Times New Roman" w:eastAsia="宋体"/>
          <w:b/>
          <w:sz w:val="28"/>
        </w:rPr>
        <w:t>六、创新点</w:t>
      </w:r>
    </w:p>
    <w:p>
      <w:pPr>
        <w:spacing w:before="160" w:after="80"/>
      </w:pPr>
      <w:r>
        <w:rPr>
          <w:rFonts w:ascii="Times New Roman" w:hAnsi="Times New Roman" w:eastAsia="宋体"/>
          <w:b/>
          <w:sz w:val="24"/>
        </w:rPr>
        <w:t>1. 10米月度生态证据层与标准核算链条衔接</w:t>
      </w:r>
    </w:p>
    <w:p>
      <w:pPr>
        <w:spacing w:after="100" w:line="360" w:lineRule="auto"/>
        <w:ind w:firstLine="420"/>
      </w:pPr>
      <w:r>
        <w:rPr>
          <w:rFonts w:ascii="Times New Roman" w:hAnsi="Times New Roman" w:eastAsia="宋体"/>
          <w:b w:val="0"/>
          <w:sz w:val="24"/>
        </w:rPr>
        <w:t>将玄女稠密月度embedding作为生态状态证据层，服务于生态系统类型、植被、水体、不透水面和热环境等精细空间表达；同时保持GEP实物量和价值量核算遵循标准与过程模型，不混淆“表征分辨率”和“核算口径”。该项属于应用与工程创新，不把10米embedding误述为10米原始生态观测。</w:t>
      </w:r>
    </w:p>
    <w:p>
      <w:pPr>
        <w:spacing w:before="160" w:after="80"/>
      </w:pPr>
      <w:r>
        <w:rPr>
          <w:rFonts w:ascii="Times New Roman" w:hAnsi="Times New Roman" w:eastAsia="宋体"/>
          <w:b/>
          <w:sz w:val="24"/>
        </w:rPr>
        <w:t>2. 面向生态过程的可复用embedding适配方式</w:t>
      </w:r>
    </w:p>
    <w:p>
      <w:pPr>
        <w:spacing w:after="100" w:line="360" w:lineRule="auto"/>
        <w:ind w:firstLine="420"/>
      </w:pPr>
      <w:r>
        <w:rPr>
          <w:rFonts w:ascii="Times New Roman" w:hAnsi="Times New Roman" w:eastAsia="宋体"/>
          <w:b w:val="0"/>
          <w:sz w:val="24"/>
        </w:rPr>
        <w:t>在通用多源遥感表征基础上，加入质量感知、地形和气象等生态辅助信息，研究“冻结底座＋生态适配器＋服务轻量头＋过程模型”的协同方式。通过与仅使用原始影像、仅使用embedding轻量头和全监督任务模型的对比及消融，检验生态适配器、质量信息和过程约束的实际贡献。</w:t>
      </w:r>
    </w:p>
    <w:p>
      <w:pPr>
        <w:spacing w:before="160" w:after="80"/>
      </w:pPr>
      <w:r>
        <w:rPr>
          <w:rFonts w:ascii="Times New Roman" w:hAnsi="Times New Roman" w:eastAsia="宋体"/>
          <w:b/>
          <w:sz w:val="24"/>
        </w:rPr>
        <w:t>3. 面向核算审计的可信智能体</w:t>
      </w:r>
    </w:p>
    <w:p>
      <w:pPr>
        <w:spacing w:after="100" w:line="360" w:lineRule="auto"/>
        <w:ind w:firstLine="420"/>
      </w:pPr>
      <w:r>
        <w:rPr>
          <w:rFonts w:ascii="Times New Roman" w:hAnsi="Times New Roman" w:eastAsia="宋体"/>
          <w:b w:val="0"/>
          <w:sz w:val="24"/>
        </w:rPr>
        <w:t>将数据、模型、参数和标准条款注册为可调用工具，形成“问—查—算—验—答”的受约束流程；每项结论可追溯、可复算，并能明确表达缺失数据和不确定性。</w:t>
      </w:r>
    </w:p>
    <w:p>
      <w:pPr>
        <w:spacing w:before="280" w:after="160"/>
      </w:pPr>
      <w:r>
        <w:rPr>
          <w:rFonts w:ascii="Times New Roman" w:hAnsi="Times New Roman" w:eastAsia="宋体"/>
          <w:b/>
          <w:sz w:val="28"/>
        </w:rPr>
        <w:t>七、预期成果、考核指标与成果转化</w:t>
      </w:r>
    </w:p>
    <w:p>
      <w:pPr>
        <w:spacing w:before="160" w:after="80"/>
      </w:pPr>
      <w:r>
        <w:rPr>
          <w:rFonts w:ascii="Times New Roman" w:hAnsi="Times New Roman" w:eastAsia="宋体"/>
          <w:b/>
          <w:sz w:val="24"/>
        </w:rPr>
        <w:t>1. 预期成果</w:t>
      </w:r>
    </w:p>
    <w:p>
      <w:pPr>
        <w:spacing w:after="100" w:line="360" w:lineRule="auto"/>
        <w:ind w:firstLine="420"/>
      </w:pPr>
      <w:r>
        <w:rPr>
          <w:rFonts w:ascii="Times New Roman" w:hAnsi="Times New Roman" w:eastAsia="宋体"/>
          <w:b w:val="0"/>
          <w:sz w:val="24"/>
        </w:rPr>
        <w:t>1. 海淀区10米月度生态证据产品和数据字典，包括embedding、质量掩膜、生态状态图和数据血缘信息。现有P10C结果将作为基线；逐patch、逐月质量元数据和生态状态图为本项目新增交付。</w:t>
      </w:r>
    </w:p>
    <w:p>
      <w:pPr>
        <w:spacing w:after="100" w:line="360" w:lineRule="auto"/>
        <w:ind w:firstLine="420"/>
      </w:pPr>
      <w:r>
        <w:rPr>
          <w:rFonts w:ascii="Times New Roman" w:hAnsi="Times New Roman" w:eastAsia="宋体"/>
          <w:b w:val="0"/>
          <w:sz w:val="24"/>
        </w:rPr>
        <w:t>2. 海淀区GEP样本库与核算数据台账，包括月度观测、生态状态、服务实物量资料和价值参数四类数据。</w:t>
      </w:r>
    </w:p>
    <w:p>
      <w:pPr>
        <w:spacing w:after="100" w:line="360" w:lineRule="auto"/>
        <w:ind w:firstLine="420"/>
      </w:pPr>
      <w:r>
        <w:rPr>
          <w:rFonts w:ascii="Times New Roman" w:hAnsi="Times New Roman" w:eastAsia="宋体"/>
          <w:b w:val="0"/>
          <w:sz w:val="24"/>
        </w:rPr>
        <w:t>3. 固定二氧化碳、洪水调蓄、局部气候调节三类服务的实物量反演及价值量核算原型，成果名称为“三类调节服务价值试点”；扩展服务的纳入条件、数据缺口和验证报告。</w:t>
      </w:r>
    </w:p>
    <w:p>
      <w:pPr>
        <w:spacing w:after="100" w:line="360" w:lineRule="auto"/>
        <w:ind w:firstLine="420"/>
      </w:pPr>
      <w:r>
        <w:rPr>
          <w:rFonts w:ascii="Times New Roman" w:hAnsi="Times New Roman" w:eastAsia="宋体"/>
          <w:b w:val="0"/>
          <w:sz w:val="24"/>
        </w:rPr>
        <w:t>4. GEP核算工具链和可信问答原型，提供数据查询、模型运行、结果制图、报告导出和审计记录能力。</w:t>
      </w:r>
    </w:p>
    <w:p>
      <w:pPr>
        <w:spacing w:after="100" w:line="360" w:lineRule="auto"/>
        <w:ind w:firstLine="420"/>
      </w:pPr>
      <w:r>
        <w:rPr>
          <w:rFonts w:ascii="Times New Roman" w:hAnsi="Times New Roman" w:eastAsia="宋体"/>
          <w:b w:val="0"/>
          <w:sz w:val="24"/>
        </w:rPr>
        <w:t>5. 海淀区应用示范报告，包含生态产品清单草案、三类试点实物量与价值量、区域外价值扣减规则、不确定性和方法说明。完整GEP总值仅在全部适用科目满足标准数据与验证条件时另行核算。</w:t>
      </w:r>
    </w:p>
    <w:p>
      <w:pPr>
        <w:spacing w:before="160" w:after="80"/>
      </w:pPr>
      <w:r>
        <w:rPr>
          <w:rFonts w:ascii="Times New Roman" w:hAnsi="Times New Roman" w:eastAsia="宋体"/>
          <w:b/>
          <w:sz w:val="24"/>
        </w:rPr>
        <w:t>2. 评价原则</w:t>
      </w:r>
    </w:p>
    <w:p>
      <w:pPr>
        <w:spacing w:after="100" w:line="360" w:lineRule="auto"/>
        <w:ind w:firstLine="420"/>
      </w:pPr>
      <w:r>
        <w:rPr>
          <w:rFonts w:ascii="Times New Roman" w:hAnsi="Times New Roman" w:eastAsia="宋体"/>
          <w:b w:val="0"/>
          <w:sz w:val="24"/>
        </w:rPr>
        <w:t>所有成果的空间分辨率、时间范围、资料来源、模型版本和适用条件应在产品说明中明确。立项后第2个月完成并冻结《核算边界、样本与验收方案》：分类产品按不少于5个空间块进行留出评价；连续变量按独立站点/样地和时间留出评价；洪水调蓄按预先选定的降雨事件或年度径流资料评价。每项服务均明确验证数据、校准/评价隔离、基线方法、合格判定、不确定性来源和复核责任。分类、连续变量和水文过程分别采用对应指标，不以单一R²或单一总体精度替代全过程评价。</w:t>
      </w:r>
    </w:p>
    <w:p>
      <w:pPr>
        <w:spacing w:before="160" w:after="80"/>
      </w:pPr>
      <w:r>
        <w:rPr>
          <w:rFonts w:ascii="Times New Roman" w:hAnsi="Times New Roman" w:eastAsia="宋体"/>
          <w:b/>
          <w:sz w:val="24"/>
        </w:rPr>
        <w:t>3. 成果转化路径</w:t>
      </w:r>
    </w:p>
    <w:p>
      <w:pPr>
        <w:spacing w:after="100" w:line="360" w:lineRule="auto"/>
        <w:ind w:firstLine="420"/>
      </w:pPr>
      <w:r>
        <w:rPr>
          <w:rFonts w:ascii="Times New Roman" w:hAnsi="Times New Roman" w:eastAsia="宋体"/>
          <w:b w:val="0"/>
          <w:sz w:val="24"/>
        </w:rPr>
        <w:t>项目成果首先服务于海淀区生态空间精细化监测、生态保护成效评估和GEP核算辅助工作。成熟后，可将数据对齐规范、服务模型组件、核算参数台账和工具接口封装为可部署组件，推广至其他城区或生态功能区。任何跨区域应用均需重新核验生态类型、参数适用性、数据可得性和独立验证资料。</w:t>
      </w:r>
    </w:p>
    <w:p>
      <w:pPr>
        <w:spacing w:before="280" w:after="160"/>
      </w:pPr>
      <w:r>
        <w:rPr>
          <w:rFonts w:ascii="Times New Roman" w:hAnsi="Times New Roman" w:eastAsia="宋体"/>
          <w:b/>
          <w:sz w:val="28"/>
        </w:rPr>
        <w:t>八、现有工作基础与待补条件</w:t>
      </w:r>
    </w:p>
    <w:p>
      <w:pPr>
        <w:spacing w:before="160" w:after="80"/>
      </w:pPr>
      <w:r>
        <w:rPr>
          <w:rFonts w:ascii="Times New Roman" w:hAnsi="Times New Roman" w:eastAsia="宋体"/>
          <w:b/>
          <w:sz w:val="24"/>
        </w:rPr>
        <w:t>1. 已有基础</w:t>
      </w:r>
    </w:p>
    <w:p>
      <w:pPr>
        <w:spacing w:after="100" w:line="360" w:lineRule="auto"/>
        <w:ind w:firstLine="420"/>
      </w:pPr>
      <w:r>
        <w:rPr>
          <w:rFonts w:ascii="Times New Roman" w:hAnsi="Times New Roman" w:eastAsia="宋体"/>
          <w:b w:val="0"/>
          <w:sz w:val="24"/>
        </w:rPr>
        <w:t>玄女海淀P10C生产模型已形成月度多源遥感embedding能力：输入由Sentinel-2、Sentinel-1、Landsat、高分光学和高分SAR等组成；在2025年12月至2026年5月、320个patch范围内输出128×128×64的10米稠密embedding map。现有建筑、道路、水体结果来自与预训练OSM弱语义同源的少样本基准，说明其具有地表表征和快速适配潜力，但不能作为独立生态服务反演精度或GEP核算能力的证据。</w:t>
      </w:r>
    </w:p>
    <w:p>
      <w:pPr>
        <w:spacing w:before="160" w:after="80"/>
      </w:pPr>
      <w:r>
        <w:rPr>
          <w:rFonts w:ascii="Times New Roman" w:hAnsi="Times New Roman" w:eastAsia="宋体"/>
          <w:b/>
          <w:sz w:val="24"/>
        </w:rPr>
        <w:t>2. 待补条件</w:t>
      </w:r>
    </w:p>
    <w:p>
      <w:pPr>
        <w:spacing w:after="100" w:line="360" w:lineRule="auto"/>
        <w:ind w:firstLine="420"/>
      </w:pPr>
      <w:r>
        <w:rPr>
          <w:rFonts w:ascii="Times New Roman" w:hAnsi="Times New Roman" w:eastAsia="宋体"/>
          <w:b w:val="0"/>
          <w:sz w:val="24"/>
        </w:rPr>
        <w:t>项目启动前需完成生态辅助资料和验证资料清单。重点包括气象驱动、DEM与坡度、土壤、水文与排水单元、水质或污染源资料、地表温度、NPP/生物量参考资料、样地/监测站资料、统计年鉴和价值参数。资料到位前，不应承诺相应服务的正式核算精度或价值总量。</w:t>
      </w:r>
    </w:p>
    <w:p>
      <w:pPr>
        <w:spacing w:before="280" w:after="160"/>
      </w:pPr>
      <w:r>
        <w:rPr>
          <w:rFonts w:ascii="Times New Roman" w:hAnsi="Times New Roman" w:eastAsia="宋体"/>
          <w:b/>
          <w:sz w:val="28"/>
        </w:rPr>
        <w:t>九、实施安排</w:t>
      </w:r>
    </w:p>
    <w:p>
      <w:pPr>
        <w:spacing w:before="160" w:after="80"/>
      </w:pPr>
      <w:r>
        <w:rPr>
          <w:rFonts w:ascii="Times New Roman" w:hAnsi="Times New Roman" w:eastAsia="宋体"/>
          <w:b/>
          <w:sz w:val="24"/>
        </w:rPr>
        <w:t>1. 第一阶段：数据、边界与核算口径确认（第1—2个月）</w:t>
      </w:r>
    </w:p>
    <w:p>
      <w:pPr>
        <w:spacing w:after="100" w:line="360" w:lineRule="auto"/>
        <w:ind w:firstLine="420"/>
      </w:pPr>
      <w:r>
        <w:rPr>
          <w:rFonts w:ascii="Times New Roman" w:hAnsi="Times New Roman" w:eastAsia="宋体"/>
          <w:b w:val="0"/>
          <w:sz w:val="24"/>
        </w:rPr>
        <w:t>锁定核算基准年/核算期、海淀区行政边界版本、边界像元归属、生态系统分类、服务清单、数据来源、10米网格和质量控制规则；完成《核算边界、样本与验收方案》。若关键气象、水文、生态监测或价格资料无法取得，则触发Go/No-Go评审：缩减至具备资料的服务模块，不发布相应价值量。</w:t>
      </w:r>
    </w:p>
    <w:p>
      <w:pPr>
        <w:spacing w:before="160" w:after="80"/>
      </w:pPr>
      <w:r>
        <w:rPr>
          <w:rFonts w:ascii="Times New Roman" w:hAnsi="Times New Roman" w:eastAsia="宋体"/>
          <w:b/>
          <w:sz w:val="24"/>
        </w:rPr>
        <w:t>2. 第二阶段：生态证据与服务实物量模型开发（第3—12个月）</w:t>
      </w:r>
    </w:p>
    <w:p>
      <w:pPr>
        <w:spacing w:after="100" w:line="360" w:lineRule="auto"/>
        <w:ind w:firstLine="420"/>
      </w:pPr>
      <w:r>
        <w:rPr>
          <w:rFonts w:ascii="Times New Roman" w:hAnsi="Times New Roman" w:eastAsia="宋体"/>
          <w:b w:val="0"/>
          <w:sz w:val="24"/>
        </w:rPr>
        <w:t>完成月度生态证据产品包、按目标月匹配的高分融合改造、生态分类与数据台账；研发固定二氧化碳、洪水调蓄和局部气候调节模块，完成原始影像、embedding和过程模型的对比及空间分块、时间留出验证。</w:t>
      </w:r>
    </w:p>
    <w:p>
      <w:pPr>
        <w:spacing w:before="160" w:after="80"/>
      </w:pPr>
      <w:r>
        <w:rPr>
          <w:rFonts w:ascii="Times New Roman" w:hAnsi="Times New Roman" w:eastAsia="宋体"/>
          <w:b/>
          <w:sz w:val="24"/>
        </w:rPr>
        <w:t>3. 第三阶段：价值量试点与可信服务原型（第13—18个月）</w:t>
      </w:r>
    </w:p>
    <w:p>
      <w:pPr>
        <w:spacing w:after="100" w:line="360" w:lineRule="auto"/>
        <w:ind w:firstLine="420"/>
      </w:pPr>
      <w:r>
        <w:rPr>
          <w:rFonts w:ascii="Times New Roman" w:hAnsi="Times New Roman" w:eastAsia="宋体"/>
          <w:b w:val="0"/>
          <w:sz w:val="24"/>
        </w:rPr>
        <w:t>完成三类服务的参数本地化、价值量计算、受益边界和区域外价值扣减规则；生成标准附录D、E所需的报告和表格字段，构建可追溯问答原型。</w:t>
      </w:r>
    </w:p>
    <w:p>
      <w:pPr>
        <w:spacing w:before="160" w:after="80"/>
      </w:pPr>
      <w:r>
        <w:rPr>
          <w:rFonts w:ascii="Times New Roman" w:hAnsi="Times New Roman" w:eastAsia="宋体"/>
          <w:b/>
          <w:sz w:val="24"/>
        </w:rPr>
        <w:t>4. 第四阶段：示范验收与成果固化（第19—24个月）</w:t>
      </w:r>
    </w:p>
    <w:p>
      <w:pPr>
        <w:spacing w:after="100" w:line="360" w:lineRule="auto"/>
        <w:ind w:firstLine="420"/>
      </w:pPr>
      <w:r>
        <w:rPr>
          <w:rFonts w:ascii="Times New Roman" w:hAnsi="Times New Roman" w:eastAsia="宋体"/>
          <w:b w:val="0"/>
          <w:sz w:val="24"/>
        </w:rPr>
        <w:t>完成独立复核、不确定性与敏感性分析、示范专题图、数据字典、方法报告和部署文档。项目负责人、数据工程、生态核算、模型研发和平台研发的具体人员及经费由申报单位在正式表格中补充，不在本技术稿中虚构。</w:t>
      </w:r>
    </w:p>
    <w:p>
      <w:pPr>
        <w:spacing w:before="280" w:after="160"/>
      </w:pPr>
      <w:r>
        <w:rPr>
          <w:rFonts w:ascii="Times New Roman" w:hAnsi="Times New Roman" w:eastAsia="宋体"/>
          <w:b/>
          <w:sz w:val="28"/>
        </w:rPr>
        <w:t>十、参考依据</w:t>
      </w:r>
    </w:p>
    <w:p>
      <w:pPr>
        <w:spacing w:after="100" w:line="360" w:lineRule="auto"/>
        <w:ind w:firstLine="420"/>
      </w:pPr>
      <w:r>
        <w:rPr>
          <w:rFonts w:ascii="Times New Roman" w:hAnsi="Times New Roman" w:eastAsia="宋体"/>
          <w:b w:val="0"/>
          <w:sz w:val="24"/>
        </w:rPr>
        <w:t>1. 国家市场监督管理总局、国家标准化管理委员会。GB/T 46869—2025《生态系统评估 陆域生态产品总值核算技术指南》：https://openstd.samr.gov.cn/bzgk/std/newGbInfo?hcno=C1F1C28ADBFD8337DE86C70BD1480613</w:t>
      </w:r>
    </w:p>
    <w:p>
      <w:pPr>
        <w:spacing w:after="100" w:line="360" w:lineRule="auto"/>
        <w:ind w:firstLine="420"/>
      </w:pPr>
      <w:r>
        <w:rPr>
          <w:rFonts w:ascii="Times New Roman" w:hAnsi="Times New Roman" w:eastAsia="宋体"/>
          <w:b w:val="0"/>
          <w:sz w:val="24"/>
        </w:rPr>
        <w:t>2. Ouyang Z. et al. Gross ecosystem product: concept, accounting framework and case study. Proceedings of the National Academy of Sciences, 2020：https://pmc.ncbi.nlm.nih.gov/articles/PMC7322027/</w:t>
      </w:r>
    </w:p>
    <w:p>
      <w:pPr>
        <w:spacing w:after="100" w:line="360" w:lineRule="auto"/>
        <w:ind w:firstLine="420"/>
      </w:pPr>
      <w:r>
        <w:rPr>
          <w:rFonts w:ascii="Times New Roman" w:hAnsi="Times New Roman" w:eastAsia="宋体"/>
          <w:b w:val="0"/>
          <w:sz w:val="24"/>
        </w:rPr>
        <w:t>3. Natural Capital Project. InVEST User Guide, Sediment Delivery Ratio model：https://storage.googleapis.com/releases.naturalcapitalproject.org/invest-userguide/latest/en/sdr.html</w:t>
      </w:r>
    </w:p>
    <w:p>
      <w:pPr>
        <w:spacing w:after="100" w:line="360" w:lineRule="auto"/>
        <w:ind w:firstLine="420"/>
      </w:pPr>
      <w:r>
        <w:rPr>
          <w:rFonts w:ascii="Times New Roman" w:hAnsi="Times New Roman" w:eastAsia="宋体"/>
          <w:b w:val="0"/>
          <w:sz w:val="24"/>
        </w:rPr>
        <w:t>4. Potter C. S. et al. Terrestrial ecosystem production: A process model based on global satellite and surface data. Global Biogeochemical Cycles, 1993：https://doi.org/10.1029/93GB02725</w:t>
      </w:r>
    </w:p>
    <w:p>
      <w:pPr>
        <w:spacing w:after="100" w:line="360" w:lineRule="auto"/>
        <w:ind w:firstLine="420"/>
      </w:pPr>
      <w:r>
        <w:rPr>
          <w:rFonts w:ascii="Times New Roman" w:hAnsi="Times New Roman" w:eastAsia="宋体"/>
          <w:b w:val="0"/>
          <w:sz w:val="24"/>
        </w:rPr>
        <w:t>5. Xuannv项目长期记忆与生产模型卡：docs/agent_memory/haidian_embedding_project_memory.md；docs/production/haidian_model_card.md。</w:t>
      </w:r>
    </w:p>
    <w:sectPr w:rsidR="00FC693F" w:rsidRPr="0006063C" w:rsidSect="00034616">
      <w:footerReference w:type="default" r:id="rId9"/>
      <w:pgSz w:w="12240" w:h="15840"/>
      <w:pgMar w:top="1440" w:right="1531" w:bottom="1440" w:left="1531"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海淀区GEP核算与智能服务关键技术研究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