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2.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Exploring</w:t>
      </w:r>
      <w:r>
        <w:t xml:space="preserve"> </w:t>
      </w:r>
      <w:r>
        <w:t xml:space="preserve">Institutional</w:t>
      </w:r>
      <w:r>
        <w:t xml:space="preserve"> </w:t>
      </w:r>
      <w:r>
        <w:t xml:space="preserve">Trust</w:t>
      </w:r>
      <w:r>
        <w:t xml:space="preserve"> </w:t>
      </w:r>
      <w:r>
        <w:t xml:space="preserve">in</w:t>
      </w:r>
      <w:r>
        <w:t xml:space="preserve"> </w:t>
      </w:r>
      <w:r>
        <w:t xml:space="preserve">New</w:t>
      </w:r>
      <w:r>
        <w:t xml:space="preserve"> </w:t>
      </w:r>
      <w:r>
        <w:t xml:space="preserve">Zealand</w:t>
      </w:r>
      <w:r>
        <w:t xml:space="preserve"> </w:t>
      </w:r>
      <w:r>
        <w:t xml:space="preserve">Pre/Post</w:t>
      </w:r>
      <w:r>
        <w:t xml:space="preserve"> </w:t>
      </w:r>
      <w:r>
        <w:t xml:space="preserve">COVID-19</w:t>
      </w:r>
      <w:r>
        <w:t xml:space="preserve"> </w:t>
      </w:r>
      <w:r>
        <w:t xml:space="preserve">Pandemic</w:t>
      </w:r>
    </w:p>
    <w:p>
      <w:pPr>
        <w:pStyle w:val="Subtitle"/>
      </w:pPr>
      <w:r>
        <w:t xml:space="preserve">New</w:t>
      </w:r>
      <w:r>
        <w:t xml:space="preserve"> </w:t>
      </w:r>
      <w:r>
        <w:t xml:space="preserve">Zealand</w:t>
      </w:r>
      <w:r>
        <w:t xml:space="preserve"> </w:t>
      </w:r>
      <w:r>
        <w:t xml:space="preserve">Attitudes</w:t>
      </w:r>
      <w:r>
        <w:t xml:space="preserve"> </w:t>
      </w:r>
      <w:r>
        <w:t xml:space="preserve">and</w:t>
      </w:r>
      <w:r>
        <w:t xml:space="preserve"> </w:t>
      </w:r>
      <w:r>
        <w:t xml:space="preserve">Values</w:t>
      </w:r>
      <w:r>
        <w:t xml:space="preserve"> </w:t>
      </w:r>
      <w:r>
        <w:t xml:space="preserve">Study:</w:t>
      </w:r>
      <w:r>
        <w:t xml:space="preserve"> </w:t>
      </w:r>
      <w:r>
        <w:t xml:space="preserve">Years</w:t>
      </w:r>
      <w:r>
        <w:t xml:space="preserve"> </w:t>
      </w:r>
      <w:r>
        <w:t xml:space="preserve">2019-2022</w:t>
      </w:r>
      <w:r>
        <w:t xml:space="preserve"> </w:t>
      </w:r>
      <w:r>
        <w:t xml:space="preserve">N</w:t>
      </w:r>
      <w:r>
        <w:t xml:space="preserve"> </w:t>
      </w:r>
      <w:r>
        <w:t xml:space="preserve">=</w:t>
      </w:r>
      <w:r>
        <w:t xml:space="preserve"> </w:t>
      </w:r>
      <w:r>
        <w:t xml:space="preserve">42,681</w:t>
      </w:r>
    </w:p>
    <w:p>
      <w:pPr>
        <w:pStyle w:val="Author"/>
      </w:pPr>
      <w:r>
        <w:t xml:space="preserve">Authors</w:t>
      </w:r>
      <w:r>
        <w:t xml:space="preserve"> </w:t>
      </w:r>
      <w:r>
        <w:t xml:space="preserve">TBA</w:t>
      </w:r>
    </w:p>
    <w:p>
      <w:pPr>
        <w:pStyle w:val="Author"/>
      </w:pPr>
      <w:r>
        <w:t xml:space="preserve">Chris</w:t>
      </w:r>
      <w:r>
        <w:t xml:space="preserve"> </w:t>
      </w:r>
      <w:r>
        <w:t xml:space="preserve">G</w:t>
      </w:r>
      <w:r>
        <w:t xml:space="preserve"> </w:t>
      </w:r>
      <w:r>
        <w:t xml:space="preserve">Sibley</w:t>
      </w:r>
    </w:p>
    <w:p>
      <w:pPr>
        <w:pStyle w:val="Author"/>
      </w:pPr>
      <w:r>
        <w:t xml:space="preserve">Joseph</w:t>
      </w:r>
      <w:r>
        <w:t xml:space="preserve"> </w:t>
      </w:r>
      <w:r>
        <w:t xml:space="preserve">Bulbulia</w:t>
      </w:r>
    </w:p>
    <w:p>
      <w:pPr>
        <w:pStyle w:val="Date"/>
      </w:pPr>
      <w:r>
        <w:t xml:space="preserve">3/23/23</w:t>
      </w:r>
    </w:p>
    <w:bookmarkStart w:id="32" w:name="X630a0b8a0c4f87e640c14713d2618b864d1b67b"/>
    <w:p>
      <w:pPr>
        <w:pStyle w:val="Heading2"/>
      </w:pPr>
      <w:r>
        <w:t xml:space="preserve">NZAVS Report on Institutional Trust Pre/Post COVID</w:t>
      </w:r>
    </w:p>
    <w:p>
      <w:pPr>
        <w:pStyle w:val="FirstParagraph"/>
      </w:pPr>
      <w:r>
        <w:t xml:space="preserve">This report delves into the changes in institutional trust among New Zealanders from the pre-pandemic period in 2019 to 2022.</w:t>
      </w:r>
    </w:p>
    <w:p>
      <w:pPr>
        <w:pStyle w:val="BodyText"/>
      </w:pPr>
      <w:r>
        <w:t xml:space="preserve">The New Zealand Attitudes and Values Study uses a two-item scale to measure</w:t>
      </w:r>
      <w:r>
        <w:t xml:space="preserve"> </w:t>
      </w:r>
      <w:r>
        <w:rPr>
          <w:bCs/>
          <w:b/>
        </w:rPr>
        <w:t xml:space="preserve">Trust in Science</w:t>
      </w:r>
    </w:p>
    <w:p>
      <w:pPr>
        <w:numPr>
          <w:ilvl w:val="0"/>
          <w:numId w:val="1001"/>
        </w:numPr>
      </w:pPr>
      <w:r>
        <w:t xml:space="preserve">“</w:t>
      </w:r>
      <w:r>
        <w:t xml:space="preserve">I have a high degree of confidence in the scientific community.</w:t>
      </w:r>
      <w:r>
        <w:t xml:space="preserve">”</w:t>
      </w:r>
      <w:r>
        <w:t xml:space="preserve">(Nisbet, Cooper, and Garrett 2015)</w:t>
      </w:r>
    </w:p>
    <w:p>
      <w:pPr>
        <w:numPr>
          <w:ilvl w:val="0"/>
          <w:numId w:val="1001"/>
        </w:numPr>
      </w:pPr>
      <w:r>
        <w:t xml:space="preserve">“</w:t>
      </w:r>
      <w:r>
        <w:t xml:space="preserve">Our society places too much emphasis on science.</w:t>
      </w:r>
      <w:r>
        <w:t xml:space="preserve">”</w:t>
      </w:r>
      <w:r>
        <w:t xml:space="preserve">(reverse coded)</w:t>
      </w:r>
    </w:p>
    <w:p>
      <w:pPr>
        <w:pStyle w:val="FirstParagraph"/>
      </w:pPr>
      <w:r>
        <w:t xml:space="preserve">We average these scores to form a single score</w:t>
      </w:r>
      <w:r>
        <w:t xml:space="preserve"> </w:t>
      </w:r>
      <w:r>
        <w:t xml:space="preserve">(Hartman et al. 2017)</w:t>
      </w:r>
      <w:r>
        <w:t xml:space="preserve">.</w:t>
      </w:r>
      <w:r>
        <w:t xml:space="preserve"> </w:t>
      </w:r>
      <w:r>
        <w:rPr>
          <w:rStyle w:val="FootnoteReference"/>
        </w:rPr>
        <w:footnoteReference w:id="20"/>
      </w:r>
      <w:r>
        <w:t xml:space="preserve"> </w:t>
      </w:r>
      <w:r>
        <w:t xml:space="preserve">These items were introduced in NZAVS Wave 11 (2019 - 2020)</w:t>
      </w:r>
      <w:r>
        <w:t xml:space="preserve"> </w:t>
      </w:r>
      <w:r>
        <w:rPr>
          <w:rStyle w:val="FootnoteReference"/>
        </w:rPr>
        <w:footnoteReference w:id="21"/>
      </w:r>
    </w:p>
    <w:p>
      <w:pPr>
        <w:pStyle w:val="BodyText"/>
      </w:pPr>
      <w:r>
        <w:t xml:space="preserve">Previous research using a propensity score design reported on changes in Trust in Science during the first three weeks of New Zealand’s COVID lockdown in March and April 2020</w:t>
      </w:r>
      <w:r>
        <w:t xml:space="preserve"> </w:t>
      </w:r>
      <w:r>
        <w:t xml:space="preserve">(Sibley et al. 2020)</w:t>
      </w:r>
      <w:r>
        <w:t xml:space="preserve">.</w:t>
      </w:r>
    </w:p>
    <w:p>
      <w:pPr>
        <w:pStyle w:val="BodyText"/>
      </w:pPr>
      <w:r>
        <w:rPr>
          <w:bCs/>
          <w:b/>
        </w:rPr>
        <w:t xml:space="preserve">COVID-19 Government response</w:t>
      </w:r>
      <w:r>
        <w:t xml:space="preserve"> </w:t>
      </w:r>
      <w:r>
        <w:t xml:space="preserve">(Marques et al. 2022)</w:t>
      </w:r>
    </w:p>
    <w:p>
      <w:pPr>
        <w:numPr>
          <w:ilvl w:val="0"/>
          <w:numId w:val="1002"/>
        </w:numPr>
        <w:pStyle w:val="Compact"/>
      </w:pPr>
      <w:r>
        <w:t xml:space="preserve">“</w:t>
      </w:r>
      <w:r>
        <w:t xml:space="preserve">I trust the Government to make sensible decisions about how to best manage COVID-19 in New Zealand.</w:t>
      </w:r>
      <w:r>
        <w:t xml:space="preserve">”</w:t>
      </w:r>
    </w:p>
    <w:p>
      <w:pPr>
        <w:numPr>
          <w:ilvl w:val="0"/>
          <w:numId w:val="1002"/>
        </w:numPr>
        <w:pStyle w:val="Compact"/>
      </w:pPr>
      <w:r>
        <w:t xml:space="preserve">“</w:t>
      </w:r>
      <w:r>
        <w:t xml:space="preserve">The New Zealand government response to COVID-19.</w:t>
      </w:r>
      <w:r>
        <w:t xml:space="preserve">”</w:t>
      </w:r>
    </w:p>
    <w:p>
      <w:pPr>
        <w:pStyle w:val="FirstParagraph"/>
      </w:pPr>
      <w:r>
        <w:rPr>
          <w:bCs/>
          <w:b/>
        </w:rPr>
        <w:t xml:space="preserve">Trust in politicians</w:t>
      </w:r>
      <w:r>
        <w:t xml:space="preserve"> </w:t>
      </w:r>
      <w:r>
        <w:t xml:space="preserve">(Sibley et al. 2020)</w:t>
      </w:r>
    </w:p>
    <w:p>
      <w:pPr>
        <w:numPr>
          <w:ilvl w:val="0"/>
          <w:numId w:val="1003"/>
        </w:numPr>
        <w:pStyle w:val="Compact"/>
      </w:pPr>
      <w:r>
        <w:t xml:space="preserve">“</w:t>
      </w:r>
      <w:r>
        <w:t xml:space="preserve">Politicians in New Zealand can generally be trusted.</w:t>
      </w:r>
      <w:r>
        <w:t xml:space="preserve">”</w:t>
      </w:r>
    </w:p>
    <w:p>
      <w:pPr>
        <w:pStyle w:val="FirstParagraph"/>
      </w:pPr>
      <w:r>
        <w:rPr>
          <w:bCs/>
          <w:b/>
        </w:rPr>
        <w:t xml:space="preserve">Institutional trust in police</w:t>
      </w:r>
      <w:r>
        <w:t xml:space="preserve"> </w:t>
      </w:r>
      <w:r>
        <w:t xml:space="preserve">(Tyler 2005)</w:t>
      </w:r>
    </w:p>
    <w:p>
      <w:pPr>
        <w:numPr>
          <w:ilvl w:val="0"/>
          <w:numId w:val="1004"/>
        </w:numPr>
        <w:pStyle w:val="Compact"/>
      </w:pPr>
      <w:r>
        <w:t xml:space="preserve">“</w:t>
      </w:r>
      <w:r>
        <w:t xml:space="preserve">People’s basic rights are well protected by the New Zealand Police.</w:t>
      </w:r>
      <w:r>
        <w:t xml:space="preserve">”</w:t>
      </w:r>
    </w:p>
    <w:p>
      <w:pPr>
        <w:numPr>
          <w:ilvl w:val="0"/>
          <w:numId w:val="1004"/>
        </w:numPr>
        <w:pStyle w:val="Compact"/>
      </w:pPr>
      <w:r>
        <w:t xml:space="preserve">“</w:t>
      </w:r>
      <w:r>
        <w:t xml:space="preserve">There are many things about the New Zealand Police and its policies that need to be changed.</w:t>
      </w:r>
      <w:r>
        <w:t xml:space="preserve">”</w:t>
      </w:r>
    </w:p>
    <w:p>
      <w:pPr>
        <w:numPr>
          <w:ilvl w:val="0"/>
          <w:numId w:val="1004"/>
        </w:numPr>
        <w:pStyle w:val="Compact"/>
      </w:pPr>
      <w:r>
        <w:t xml:space="preserve">“</w:t>
      </w:r>
      <w:r>
        <w:t xml:space="preserve">The New Zealand Police care about the well-being of everyone they deal with.</w:t>
      </w:r>
      <w:r>
        <w:t xml:space="preserve">”</w:t>
      </w:r>
    </w:p>
    <w:p>
      <w:pPr>
        <w:pStyle w:val="FirstParagraph"/>
      </w:pPr>
      <w:r>
        <w:rPr>
          <w:bCs/>
          <w:b/>
        </w:rPr>
        <w:t xml:space="preserve">General tendency to believe in conspiracies</w:t>
      </w:r>
      <w:r>
        <w:t xml:space="preserve">(Lantian et al. 2016)</w:t>
      </w:r>
    </w:p>
    <w:p>
      <w:pPr>
        <w:numPr>
          <w:ilvl w:val="0"/>
          <w:numId w:val="1005"/>
        </w:numPr>
        <w:pStyle w:val="Compact"/>
      </w:pPr>
      <w:r>
        <w:t xml:space="preserve">“</w:t>
      </w:r>
      <w:r>
        <w:t xml:space="preserve">I think that the official version of major world events given by authorities often hides the truth.</w:t>
      </w:r>
      <w:r>
        <w:t xml:space="preserve">”</w:t>
      </w:r>
    </w:p>
    <w:bookmarkStart w:id="26" w:name="X3477765544e3304fcdf5d1f5a6ca5335b114599"/>
    <w:p>
      <w:pPr>
        <w:pStyle w:val="Heading3"/>
      </w:pPr>
      <w:r>
        <w:t xml:space="preserve">Sample responses: years 2019-2020: Pre-Covid, Lockdown, Post-Lockdown</w:t>
      </w:r>
    </w:p>
    <w:tbl>
      <w:tblPr>
        <w:tblStyle w:val="Table"/>
        <w:tblW w:type="pct" w:w="5000"/>
        <w:tblLook w:firstRow="1" w:lastRow="0" w:firstColumn="0" w:lastColumn="0" w:noHBand="0" w:noVBand="0" w:val="0020"/>
      </w:tblPr>
      <w:tblGrid>
        <w:gridCol w:w="2496"/>
        <w:gridCol w:w="1807"/>
        <w:gridCol w:w="1807"/>
        <w:gridCol w:w="1807"/>
      </w:tblGrid>
      <w:tr>
        <w:trPr>
          <w:tblHeader w:val="true"/>
        </w:trPr>
        <w:tc>
          <w:tcPr/>
          <w:p>
            <w:pPr>
              <w:pStyle w:val="Compact"/>
              <w:jc w:val="left"/>
            </w:pPr>
            <w:r>
              <w:t xml:space="preserve">Forms of Institutional Trust</w:t>
            </w:r>
          </w:p>
        </w:tc>
        <w:tc>
          <w:tcPr/>
          <w:p>
            <w:pPr>
              <w:pStyle w:val="Compact"/>
              <w:jc w:val="left"/>
            </w:pPr>
            <w:r>
              <w:t xml:space="preserve">pre_covid</w:t>
            </w:r>
          </w:p>
        </w:tc>
        <w:tc>
          <w:tcPr/>
          <w:p>
            <w:pPr>
              <w:pStyle w:val="Compact"/>
              <w:jc w:val="left"/>
            </w:pPr>
            <w:r>
              <w:t xml:space="preserve">lockdown</w:t>
            </w:r>
          </w:p>
        </w:tc>
        <w:tc>
          <w:tcPr/>
          <w:p>
            <w:pPr>
              <w:pStyle w:val="Compact"/>
              <w:jc w:val="left"/>
            </w:pPr>
            <w:r>
              <w:t xml:space="preserve">post_lockdown</w:t>
            </w:r>
          </w:p>
        </w:tc>
      </w:tr>
      <w:tr>
        <w:tc>
          <w:tcPr/>
          <w:p>
            <w:pPr>
              <w:pStyle w:val="Compact"/>
            </w:pPr>
          </w:p>
        </w:tc>
        <w:tc>
          <w:tcPr/>
          <w:p>
            <w:pPr>
              <w:pStyle w:val="Compact"/>
              <w:jc w:val="left"/>
            </w:pPr>
            <w:r>
              <w:t xml:space="preserve">(N=29812)</w:t>
            </w:r>
          </w:p>
        </w:tc>
        <w:tc>
          <w:tcPr/>
          <w:p>
            <w:pPr>
              <w:pStyle w:val="Compact"/>
              <w:jc w:val="left"/>
            </w:pPr>
            <w:r>
              <w:t xml:space="preserve">(N=3511)</w:t>
            </w:r>
          </w:p>
        </w:tc>
        <w:tc>
          <w:tcPr/>
          <w:p>
            <w:pPr>
              <w:pStyle w:val="Compact"/>
              <w:jc w:val="left"/>
            </w:pPr>
            <w:r>
              <w:t xml:space="preserve">(N=9358)</w:t>
            </w:r>
          </w:p>
        </w:tc>
      </w:tr>
      <w:tr>
        <w:tc>
          <w:tcPr/>
          <w:p>
            <w:pPr>
              <w:pStyle w:val="Compact"/>
              <w:jc w:val="left"/>
            </w:pPr>
            <w:r>
              <w:t xml:space="preserve">Trust_in_Science</w:t>
            </w:r>
          </w:p>
        </w:tc>
        <w:tc>
          <w:tcPr/>
          <w:p>
            <w:pPr>
              <w:pStyle w:val="Compact"/>
            </w:pPr>
          </w:p>
        </w:tc>
        <w:tc>
          <w:tcPr/>
          <w:p>
            <w:pPr>
              <w:pStyle w:val="Compact"/>
            </w:pPr>
          </w:p>
        </w:tc>
        <w:tc>
          <w:tcPr/>
          <w:p>
            <w:pPr>
              <w:pStyle w:val="Compact"/>
            </w:pPr>
          </w:p>
        </w:tc>
      </w:tr>
      <w:tr>
        <w:tc>
          <w:tcPr/>
          <w:p>
            <w:pPr>
              <w:pStyle w:val="Compact"/>
              <w:jc w:val="left"/>
            </w:pPr>
            <w:r>
              <w:t xml:space="preserve">Mean (SD)</w:t>
            </w:r>
          </w:p>
        </w:tc>
        <w:tc>
          <w:tcPr/>
          <w:p>
            <w:pPr>
              <w:pStyle w:val="Compact"/>
              <w:jc w:val="left"/>
            </w:pPr>
            <w:r>
              <w:t xml:space="preserve">5.36 (± 1.28)</w:t>
            </w:r>
          </w:p>
        </w:tc>
        <w:tc>
          <w:tcPr/>
          <w:p>
            <w:pPr>
              <w:pStyle w:val="Compact"/>
              <w:jc w:val="left"/>
            </w:pPr>
            <w:r>
              <w:t xml:space="preserve">5.66 (± 1.23)</w:t>
            </w:r>
          </w:p>
        </w:tc>
        <w:tc>
          <w:tcPr/>
          <w:p>
            <w:pPr>
              <w:pStyle w:val="Compact"/>
              <w:jc w:val="left"/>
            </w:pPr>
            <w:r>
              <w:t xml:space="preserve">5.55 (± 1.27)</w:t>
            </w:r>
          </w:p>
        </w:tc>
      </w:tr>
      <w:tr>
        <w:tc>
          <w:tcPr/>
          <w:p>
            <w:pPr>
              <w:pStyle w:val="Compact"/>
              <w:jc w:val="left"/>
            </w:pPr>
            <w:r>
              <w:t xml:space="preserve">Missing</w:t>
            </w:r>
          </w:p>
        </w:tc>
        <w:tc>
          <w:tcPr/>
          <w:p>
            <w:pPr>
              <w:pStyle w:val="Compact"/>
              <w:jc w:val="left"/>
            </w:pPr>
            <w:r>
              <w:t xml:space="preserve">289 (1.0%)</w:t>
            </w:r>
          </w:p>
        </w:tc>
        <w:tc>
          <w:tcPr/>
          <w:p>
            <w:pPr>
              <w:pStyle w:val="Compact"/>
              <w:jc w:val="left"/>
            </w:pPr>
            <w:r>
              <w:t xml:space="preserve">16 (0.5%)</w:t>
            </w:r>
          </w:p>
        </w:tc>
        <w:tc>
          <w:tcPr/>
          <w:p>
            <w:pPr>
              <w:pStyle w:val="Compact"/>
              <w:jc w:val="left"/>
            </w:pPr>
            <w:r>
              <w:t xml:space="preserve">70 (0.7%)</w:t>
            </w:r>
          </w:p>
        </w:tc>
      </w:tr>
      <w:tr>
        <w:tc>
          <w:tcPr/>
          <w:p>
            <w:pPr>
              <w:pStyle w:val="Compact"/>
              <w:jc w:val="left"/>
            </w:pPr>
            <w:r>
              <w:t xml:space="preserve">Trust_in_Politicians</w:t>
            </w:r>
          </w:p>
        </w:tc>
        <w:tc>
          <w:tcPr/>
          <w:p>
            <w:pPr>
              <w:pStyle w:val="Compact"/>
            </w:pPr>
          </w:p>
        </w:tc>
        <w:tc>
          <w:tcPr/>
          <w:p>
            <w:pPr>
              <w:pStyle w:val="Compact"/>
            </w:pPr>
          </w:p>
        </w:tc>
        <w:tc>
          <w:tcPr/>
          <w:p>
            <w:pPr>
              <w:pStyle w:val="Compact"/>
            </w:pPr>
          </w:p>
        </w:tc>
      </w:tr>
      <w:tr>
        <w:tc>
          <w:tcPr/>
          <w:p>
            <w:pPr>
              <w:pStyle w:val="Compact"/>
              <w:jc w:val="left"/>
            </w:pPr>
            <w:r>
              <w:t xml:space="preserve">Mean (SD)</w:t>
            </w:r>
          </w:p>
        </w:tc>
        <w:tc>
          <w:tcPr/>
          <w:p>
            <w:pPr>
              <w:pStyle w:val="Compact"/>
              <w:jc w:val="left"/>
            </w:pPr>
            <w:r>
              <w:t xml:space="preserve">3.72 (± 1.44)</w:t>
            </w:r>
          </w:p>
        </w:tc>
        <w:tc>
          <w:tcPr/>
          <w:p>
            <w:pPr>
              <w:pStyle w:val="Compact"/>
              <w:jc w:val="left"/>
            </w:pPr>
            <w:r>
              <w:t xml:space="preserve">4.00 (± 1.48)</w:t>
            </w:r>
          </w:p>
        </w:tc>
        <w:tc>
          <w:tcPr/>
          <w:p>
            <w:pPr>
              <w:pStyle w:val="Compact"/>
              <w:jc w:val="left"/>
            </w:pPr>
            <w:r>
              <w:t xml:space="preserve">3.78 (± 1.48)</w:t>
            </w:r>
          </w:p>
        </w:tc>
      </w:tr>
      <w:tr>
        <w:tc>
          <w:tcPr/>
          <w:p>
            <w:pPr>
              <w:pStyle w:val="Compact"/>
              <w:jc w:val="left"/>
            </w:pPr>
            <w:r>
              <w:t xml:space="preserve">Missing</w:t>
            </w:r>
          </w:p>
        </w:tc>
        <w:tc>
          <w:tcPr/>
          <w:p>
            <w:pPr>
              <w:pStyle w:val="Compact"/>
              <w:jc w:val="left"/>
            </w:pPr>
            <w:r>
              <w:t xml:space="preserve">685 (2.3%)</w:t>
            </w:r>
          </w:p>
        </w:tc>
        <w:tc>
          <w:tcPr/>
          <w:p>
            <w:pPr>
              <w:pStyle w:val="Compact"/>
              <w:jc w:val="left"/>
            </w:pPr>
            <w:r>
              <w:t xml:space="preserve">25 (0.7%)</w:t>
            </w:r>
          </w:p>
        </w:tc>
        <w:tc>
          <w:tcPr/>
          <w:p>
            <w:pPr>
              <w:pStyle w:val="Compact"/>
              <w:jc w:val="left"/>
            </w:pPr>
            <w:r>
              <w:t xml:space="preserve">143 (1.5%)</w:t>
            </w:r>
          </w:p>
        </w:tc>
      </w:tr>
      <w:tr>
        <w:tc>
          <w:tcPr/>
          <w:p>
            <w:pPr>
              <w:pStyle w:val="Compact"/>
              <w:jc w:val="left"/>
            </w:pPr>
            <w:r>
              <w:t xml:space="preserve">Trust_in_Police</w:t>
            </w:r>
          </w:p>
        </w:tc>
        <w:tc>
          <w:tcPr/>
          <w:p>
            <w:pPr>
              <w:pStyle w:val="Compact"/>
            </w:pPr>
          </w:p>
        </w:tc>
        <w:tc>
          <w:tcPr/>
          <w:p>
            <w:pPr>
              <w:pStyle w:val="Compact"/>
            </w:pPr>
          </w:p>
        </w:tc>
        <w:tc>
          <w:tcPr/>
          <w:p>
            <w:pPr>
              <w:pStyle w:val="Compact"/>
            </w:pPr>
          </w:p>
        </w:tc>
      </w:tr>
      <w:tr>
        <w:tc>
          <w:tcPr/>
          <w:p>
            <w:pPr>
              <w:pStyle w:val="Compact"/>
              <w:jc w:val="left"/>
            </w:pPr>
            <w:r>
              <w:t xml:space="preserve">Mean (SD)</w:t>
            </w:r>
          </w:p>
        </w:tc>
        <w:tc>
          <w:tcPr/>
          <w:p>
            <w:pPr>
              <w:pStyle w:val="Compact"/>
              <w:jc w:val="left"/>
            </w:pPr>
            <w:r>
              <w:t xml:space="preserve">4.61 (± 1.23)</w:t>
            </w:r>
          </w:p>
        </w:tc>
        <w:tc>
          <w:tcPr/>
          <w:p>
            <w:pPr>
              <w:pStyle w:val="Compact"/>
              <w:jc w:val="left"/>
            </w:pPr>
            <w:r>
              <w:t xml:space="preserve">4.60 (± 1.34)</w:t>
            </w:r>
          </w:p>
        </w:tc>
        <w:tc>
          <w:tcPr/>
          <w:p>
            <w:pPr>
              <w:pStyle w:val="Compact"/>
              <w:jc w:val="left"/>
            </w:pPr>
            <w:r>
              <w:t xml:space="preserve">4.50 (± 1.33)</w:t>
            </w:r>
          </w:p>
        </w:tc>
      </w:tr>
      <w:tr>
        <w:tc>
          <w:tcPr/>
          <w:p>
            <w:pPr>
              <w:pStyle w:val="Compact"/>
              <w:jc w:val="left"/>
            </w:pPr>
            <w:r>
              <w:t xml:space="preserve">Missing</w:t>
            </w:r>
          </w:p>
        </w:tc>
        <w:tc>
          <w:tcPr/>
          <w:p>
            <w:pPr>
              <w:pStyle w:val="Compact"/>
              <w:jc w:val="left"/>
            </w:pPr>
            <w:r>
              <w:t xml:space="preserve">12 (0.0%)</w:t>
            </w:r>
          </w:p>
        </w:tc>
        <w:tc>
          <w:tcPr/>
          <w:p>
            <w:pPr>
              <w:pStyle w:val="Compact"/>
              <w:jc w:val="left"/>
            </w:pPr>
            <w:r>
              <w:t xml:space="preserve">0 (0%)</w:t>
            </w:r>
          </w:p>
        </w:tc>
        <w:tc>
          <w:tcPr/>
          <w:p>
            <w:pPr>
              <w:pStyle w:val="Compact"/>
              <w:jc w:val="left"/>
            </w:pPr>
            <w:r>
              <w:t xml:space="preserve">3 (0.0%)</w:t>
            </w:r>
          </w:p>
        </w:tc>
      </w:tr>
      <w:tr>
        <w:tc>
          <w:tcPr/>
          <w:p>
            <w:pPr>
              <w:pStyle w:val="Compact"/>
              <w:jc w:val="left"/>
            </w:pPr>
            <w:r>
              <w:t xml:space="preserve">Conspiracy_Beliefs</w:t>
            </w:r>
          </w:p>
        </w:tc>
        <w:tc>
          <w:tcPr/>
          <w:p>
            <w:pPr>
              <w:pStyle w:val="Compact"/>
            </w:pPr>
          </w:p>
        </w:tc>
        <w:tc>
          <w:tcPr/>
          <w:p>
            <w:pPr>
              <w:pStyle w:val="Compact"/>
            </w:pPr>
          </w:p>
        </w:tc>
        <w:tc>
          <w:tcPr/>
          <w:p>
            <w:pPr>
              <w:pStyle w:val="Compact"/>
            </w:pPr>
          </w:p>
        </w:tc>
      </w:tr>
      <w:tr>
        <w:tc>
          <w:tcPr/>
          <w:p>
            <w:pPr>
              <w:pStyle w:val="Compact"/>
              <w:jc w:val="left"/>
            </w:pPr>
            <w:r>
              <w:t xml:space="preserve">Mean (SD)</w:t>
            </w:r>
          </w:p>
        </w:tc>
        <w:tc>
          <w:tcPr/>
          <w:p>
            <w:pPr>
              <w:pStyle w:val="Compact"/>
              <w:jc w:val="left"/>
            </w:pPr>
            <w:r>
              <w:t xml:space="preserve">4.38 (± 1.60)</w:t>
            </w:r>
          </w:p>
        </w:tc>
        <w:tc>
          <w:tcPr/>
          <w:p>
            <w:pPr>
              <w:pStyle w:val="Compact"/>
              <w:jc w:val="left"/>
            </w:pPr>
            <w:r>
              <w:t xml:space="preserve">4.29 (± 1.68)</w:t>
            </w:r>
          </w:p>
        </w:tc>
        <w:tc>
          <w:tcPr/>
          <w:p>
            <w:pPr>
              <w:pStyle w:val="Compact"/>
              <w:jc w:val="left"/>
            </w:pPr>
            <w:r>
              <w:t xml:space="preserve">4.31 (± 1.69)</w:t>
            </w:r>
          </w:p>
        </w:tc>
      </w:tr>
      <w:tr>
        <w:tc>
          <w:tcPr/>
          <w:p>
            <w:pPr>
              <w:pStyle w:val="Compact"/>
              <w:jc w:val="left"/>
            </w:pPr>
            <w:r>
              <w:t xml:space="preserve">Missing</w:t>
            </w:r>
          </w:p>
        </w:tc>
        <w:tc>
          <w:tcPr/>
          <w:p>
            <w:pPr>
              <w:pStyle w:val="Compact"/>
              <w:jc w:val="left"/>
            </w:pPr>
            <w:r>
              <w:t xml:space="preserve">940 (3.2%)</w:t>
            </w:r>
          </w:p>
        </w:tc>
        <w:tc>
          <w:tcPr/>
          <w:p>
            <w:pPr>
              <w:pStyle w:val="Compact"/>
              <w:jc w:val="left"/>
            </w:pPr>
            <w:r>
              <w:t xml:space="preserve">43 (1.2%)</w:t>
            </w:r>
          </w:p>
        </w:tc>
        <w:tc>
          <w:tcPr/>
          <w:p>
            <w:pPr>
              <w:pStyle w:val="Compact"/>
              <w:jc w:val="left"/>
            </w:pPr>
            <w:r>
              <w:t xml:space="preserve">214 (2.3%)</w:t>
            </w:r>
          </w:p>
        </w:tc>
      </w:tr>
    </w:tbl>
    <w:p>
      <w:pPr>
        <w:pStyle w:val="BodyText"/>
      </w:pPr>
      <w:r>
        <w:t xml:space="preserve">Here is a graph of the same.</w:t>
      </w:r>
    </w:p>
    <w:tbl>
      <w:tblPr>
        <w:tblStyle w:val="Table"/>
        <w:tblW w:type="pct" w:w="5000"/>
        <w:tblLook w:firstRow="0" w:lastRow="0" w:firstColumn="0" w:lastColumn="0" w:noHBand="0" w:noVBand="0" w:val="0000"/>
      </w:tblPr>
      <w:tblGrid>
        <w:gridCol w:w="7920"/>
      </w:tblGrid>
      <w:tr>
        <w:tc>
          <w:tcPr/>
          <w:bookmarkStart w:id="25" w:name="fig-trust-wave-11"/>
          <w:p>
            <w:pPr>
              <w:pStyle w:val="Figure"/>
              <w:jc w:val="center"/>
            </w:pPr>
            <w:r>
              <w:drawing>
                <wp:inline>
                  <wp:extent cx="5334000" cy="4267200"/>
                  <wp:effectExtent b="0" l="0" r="0" t="0"/>
                  <wp:docPr descr="" title="" id="23" name="Picture"/>
                  <a:graphic>
                    <a:graphicData uri="http://schemas.openxmlformats.org/drawingml/2006/picture">
                      <pic:pic>
                        <pic:nvPicPr>
                          <pic:cNvPr descr="trust-science_files/figure-docx/fig-trust-wave-11-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Boxplot for Institutional Trust: NZAVS Waves During Covid: Years 2020</w:t>
            </w:r>
          </w:p>
          <w:bookmarkEnd w:id="25"/>
        </w:tc>
      </w:tr>
    </w:tbl>
    <w:p>
      <w:pPr>
        <w:pStyle w:val="BodyText"/>
      </w:pPr>
      <w:r>
        <w:t xml:space="preserve">This table and graph compare the trust in science, police, and politicians across three different periods: pre-Covid, lockdown, and post-lockdown.</w:t>
      </w:r>
    </w:p>
    <w:p>
      <w:pPr>
        <w:pStyle w:val="BodyText"/>
      </w:pPr>
      <w:r>
        <w:t xml:space="preserve">We observe:</w:t>
      </w:r>
    </w:p>
    <w:p>
      <w:pPr>
        <w:numPr>
          <w:ilvl w:val="0"/>
          <w:numId w:val="1006"/>
        </w:numPr>
        <w:pStyle w:val="Compact"/>
      </w:pPr>
      <w:r>
        <w:t xml:space="preserve">Trust in science increased during the lockdown period and remained higher in the post-lockdown period compared to the pre-Covid period.</w:t>
      </w:r>
    </w:p>
    <w:p>
      <w:pPr>
        <w:numPr>
          <w:ilvl w:val="0"/>
          <w:numId w:val="1006"/>
        </w:numPr>
        <w:pStyle w:val="Compact"/>
      </w:pPr>
      <w:r>
        <w:t xml:space="preserve">Trust in police remained relatively stable across all three periods, although the trend tracked downward after lockdown.</w:t>
      </w:r>
    </w:p>
    <w:p>
      <w:pPr>
        <w:numPr>
          <w:ilvl w:val="0"/>
          <w:numId w:val="1006"/>
        </w:numPr>
        <w:pStyle w:val="Compact"/>
      </w:pPr>
      <w:r>
        <w:t xml:space="preserve">Trust in politicians increased during the lockdown period. It decreased slightly in the post-lockdown period but remained higher than in the pre-Covid period.</w:t>
      </w:r>
    </w:p>
    <w:p>
      <w:pPr>
        <w:numPr>
          <w:ilvl w:val="0"/>
          <w:numId w:val="1006"/>
        </w:numPr>
        <w:pStyle w:val="Compact"/>
      </w:pPr>
      <w:r>
        <w:t xml:space="preserve">Conspiracy Beliefs: the average mistrust of official versions of major world events given by authorities appear to decrease during lockdown but subsequently decrease.</w:t>
      </w:r>
    </w:p>
    <w:p>
      <w:pPr>
        <w:pStyle w:val="FirstParagraph"/>
      </w:pPr>
      <w:r>
        <w:t xml:space="preserve">Notably, the central tendency may not always be the interesting statistic for understanding social change. There may be greater galvanisation in response that is masked by overall average response. In future work, we will examine this point. For now, the trends suggest overall stability during 2019-2020, with increasing confidence in science.</w:t>
      </w:r>
    </w:p>
    <w:bookmarkEnd w:id="26"/>
    <w:bookmarkStart w:id="31" w:name="nzavs-sample-responses-years-2019-2022"/>
    <w:p>
      <w:pPr>
        <w:pStyle w:val="Heading3"/>
      </w:pPr>
      <w:r>
        <w:t xml:space="preserve">NZAVS sample responses: years 2019-2022</w:t>
      </w:r>
    </w:p>
    <w:p>
      <w:pPr>
        <w:pStyle w:val="FirstParagraph"/>
      </w:pPr>
      <w:r>
        <w:t xml:space="preserve">Next, we examine changes in institutional trust across two waves following the 2019/2020 NZAVS wave.</w:t>
      </w:r>
    </w:p>
    <w:p>
      <w:pPr>
        <w:pStyle w:val="BodyText"/>
      </w:pPr>
      <w:r>
        <w:t xml:space="preserve">Table:</w:t>
      </w:r>
    </w:p>
    <w:tbl>
      <w:tblPr>
        <w:tblStyle w:val="Table"/>
        <w:tblW w:type="pct" w:w="5000"/>
        <w:tblLook w:firstRow="1" w:lastRow="0" w:firstColumn="0" w:lastColumn="0" w:noHBand="0" w:noVBand="0" w:val="0020"/>
      </w:tblPr>
      <w:tblGrid>
        <w:gridCol w:w="2496"/>
        <w:gridCol w:w="1807"/>
        <w:gridCol w:w="1807"/>
        <w:gridCol w:w="1807"/>
      </w:tblGrid>
      <w:tr>
        <w:trPr>
          <w:tblHeader w:val="true"/>
        </w:trPr>
        <w:tc>
          <w:tcPr/>
          <w:p>
            <w:pPr>
              <w:pStyle w:val="Compact"/>
              <w:jc w:val="left"/>
            </w:pPr>
            <w:r>
              <w:t xml:space="preserve">Forms of Institutional Trust</w:t>
            </w:r>
          </w:p>
        </w:tc>
        <w:tc>
          <w:tcPr/>
          <w:p>
            <w:pPr>
              <w:pStyle w:val="Compact"/>
              <w:jc w:val="left"/>
            </w:pPr>
            <w:r>
              <w:t xml:space="preserve">X2019</w:t>
            </w:r>
          </w:p>
        </w:tc>
        <w:tc>
          <w:tcPr/>
          <w:p>
            <w:pPr>
              <w:pStyle w:val="Compact"/>
              <w:jc w:val="left"/>
            </w:pPr>
            <w:r>
              <w:t xml:space="preserve">X2020</w:t>
            </w:r>
          </w:p>
        </w:tc>
        <w:tc>
          <w:tcPr/>
          <w:p>
            <w:pPr>
              <w:pStyle w:val="Compact"/>
              <w:jc w:val="left"/>
            </w:pPr>
            <w:r>
              <w:t xml:space="preserve">X2021</w:t>
            </w:r>
          </w:p>
        </w:tc>
      </w:tr>
      <w:tr>
        <w:tc>
          <w:tcPr/>
          <w:p>
            <w:pPr>
              <w:pStyle w:val="Compact"/>
            </w:pPr>
          </w:p>
        </w:tc>
        <w:tc>
          <w:tcPr/>
          <w:p>
            <w:pPr>
              <w:pStyle w:val="Compact"/>
              <w:jc w:val="left"/>
            </w:pPr>
            <w:r>
              <w:t xml:space="preserve">(N=42681)</w:t>
            </w:r>
          </w:p>
        </w:tc>
        <w:tc>
          <w:tcPr/>
          <w:p>
            <w:pPr>
              <w:pStyle w:val="Compact"/>
              <w:jc w:val="left"/>
            </w:pPr>
            <w:r>
              <w:t xml:space="preserve">(N=42681)</w:t>
            </w:r>
          </w:p>
        </w:tc>
        <w:tc>
          <w:tcPr/>
          <w:p>
            <w:pPr>
              <w:pStyle w:val="Compact"/>
              <w:jc w:val="left"/>
            </w:pPr>
            <w:r>
              <w:t xml:space="preserve">(N=42681)</w:t>
            </w:r>
          </w:p>
        </w:tc>
      </w:tr>
      <w:tr>
        <w:tc>
          <w:tcPr/>
          <w:p>
            <w:pPr>
              <w:pStyle w:val="Compact"/>
              <w:jc w:val="left"/>
            </w:pPr>
            <w:r>
              <w:t xml:space="preserve">Trust_in_Science</w:t>
            </w:r>
          </w:p>
        </w:tc>
        <w:tc>
          <w:tcPr/>
          <w:p>
            <w:pPr>
              <w:pStyle w:val="Compact"/>
            </w:pPr>
          </w:p>
        </w:tc>
        <w:tc>
          <w:tcPr/>
          <w:p>
            <w:pPr>
              <w:pStyle w:val="Compact"/>
            </w:pPr>
          </w:p>
        </w:tc>
        <w:tc>
          <w:tcPr/>
          <w:p>
            <w:pPr>
              <w:pStyle w:val="Compact"/>
            </w:pPr>
          </w:p>
        </w:tc>
      </w:tr>
      <w:tr>
        <w:tc>
          <w:tcPr/>
          <w:p>
            <w:pPr>
              <w:pStyle w:val="Compact"/>
              <w:jc w:val="left"/>
            </w:pPr>
            <w:r>
              <w:t xml:space="preserve">Mean (SD)</w:t>
            </w:r>
          </w:p>
        </w:tc>
        <w:tc>
          <w:tcPr/>
          <w:p>
            <w:pPr>
              <w:pStyle w:val="Compact"/>
              <w:jc w:val="left"/>
            </w:pPr>
            <w:r>
              <w:t xml:space="preserve">5.43 (± 1.28)</w:t>
            </w:r>
          </w:p>
        </w:tc>
        <w:tc>
          <w:tcPr/>
          <w:p>
            <w:pPr>
              <w:pStyle w:val="Compact"/>
              <w:jc w:val="left"/>
            </w:pPr>
            <w:r>
              <w:t xml:space="preserve">5.67 (± 1.24)</w:t>
            </w:r>
          </w:p>
        </w:tc>
        <w:tc>
          <w:tcPr/>
          <w:p>
            <w:pPr>
              <w:pStyle w:val="Compact"/>
              <w:jc w:val="left"/>
            </w:pPr>
            <w:r>
              <w:t xml:space="preserve">5.70 (± 1.26)</w:t>
            </w:r>
          </w:p>
        </w:tc>
      </w:tr>
      <w:tr>
        <w:tc>
          <w:tcPr/>
          <w:p>
            <w:pPr>
              <w:pStyle w:val="Compact"/>
              <w:jc w:val="left"/>
            </w:pPr>
            <w:r>
              <w:t xml:space="preserve">Missing</w:t>
            </w:r>
          </w:p>
        </w:tc>
        <w:tc>
          <w:tcPr/>
          <w:p>
            <w:pPr>
              <w:pStyle w:val="Compact"/>
              <w:jc w:val="left"/>
            </w:pPr>
            <w:r>
              <w:t xml:space="preserve">375 (0.9%)</w:t>
            </w:r>
          </w:p>
        </w:tc>
        <w:tc>
          <w:tcPr/>
          <w:p>
            <w:pPr>
              <w:pStyle w:val="Compact"/>
              <w:jc w:val="left"/>
            </w:pPr>
            <w:r>
              <w:t xml:space="preserve">9475 (22.2%)</w:t>
            </w:r>
          </w:p>
        </w:tc>
        <w:tc>
          <w:tcPr/>
          <w:p>
            <w:pPr>
              <w:pStyle w:val="Compact"/>
              <w:jc w:val="left"/>
            </w:pPr>
            <w:r>
              <w:t xml:space="preserve">14231 (33.3%)</w:t>
            </w:r>
          </w:p>
        </w:tc>
      </w:tr>
      <w:tr>
        <w:tc>
          <w:tcPr/>
          <w:p>
            <w:pPr>
              <w:pStyle w:val="Compact"/>
              <w:jc w:val="left"/>
            </w:pPr>
            <w:r>
              <w:t xml:space="preserve">Trust_in_Politicians</w:t>
            </w:r>
          </w:p>
        </w:tc>
        <w:tc>
          <w:tcPr/>
          <w:p>
            <w:pPr>
              <w:pStyle w:val="Compact"/>
            </w:pPr>
          </w:p>
        </w:tc>
        <w:tc>
          <w:tcPr/>
          <w:p>
            <w:pPr>
              <w:pStyle w:val="Compact"/>
            </w:pPr>
          </w:p>
        </w:tc>
        <w:tc>
          <w:tcPr/>
          <w:p>
            <w:pPr>
              <w:pStyle w:val="Compact"/>
            </w:pPr>
          </w:p>
        </w:tc>
      </w:tr>
      <w:tr>
        <w:tc>
          <w:tcPr/>
          <w:p>
            <w:pPr>
              <w:pStyle w:val="Compact"/>
              <w:jc w:val="left"/>
            </w:pPr>
            <w:r>
              <w:t xml:space="preserve">Mean (SD)</w:t>
            </w:r>
          </w:p>
        </w:tc>
        <w:tc>
          <w:tcPr/>
          <w:p>
            <w:pPr>
              <w:pStyle w:val="Compact"/>
              <w:jc w:val="left"/>
            </w:pPr>
            <w:r>
              <w:t xml:space="preserve">3.76 (± 1.45)</w:t>
            </w:r>
          </w:p>
        </w:tc>
        <w:tc>
          <w:tcPr/>
          <w:p>
            <w:pPr>
              <w:pStyle w:val="Compact"/>
              <w:jc w:val="left"/>
            </w:pPr>
            <w:r>
              <w:t xml:space="preserve">4.05 (± 1.49)</w:t>
            </w:r>
          </w:p>
        </w:tc>
        <w:tc>
          <w:tcPr/>
          <w:p>
            <w:pPr>
              <w:pStyle w:val="Compact"/>
              <w:jc w:val="left"/>
            </w:pPr>
            <w:r>
              <w:t xml:space="preserve">3.92 (± 1.56)</w:t>
            </w:r>
          </w:p>
        </w:tc>
      </w:tr>
      <w:tr>
        <w:tc>
          <w:tcPr/>
          <w:p>
            <w:pPr>
              <w:pStyle w:val="Compact"/>
              <w:jc w:val="left"/>
            </w:pPr>
            <w:r>
              <w:t xml:space="preserve">Missing</w:t>
            </w:r>
          </w:p>
        </w:tc>
        <w:tc>
          <w:tcPr/>
          <w:p>
            <w:pPr>
              <w:pStyle w:val="Compact"/>
              <w:jc w:val="left"/>
            </w:pPr>
            <w:r>
              <w:t xml:space="preserve">853 (2.0%)</w:t>
            </w:r>
          </w:p>
        </w:tc>
        <w:tc>
          <w:tcPr/>
          <w:p>
            <w:pPr>
              <w:pStyle w:val="Compact"/>
              <w:jc w:val="left"/>
            </w:pPr>
            <w:r>
              <w:t xml:space="preserve">10078 (23.6%)</w:t>
            </w:r>
          </w:p>
        </w:tc>
        <w:tc>
          <w:tcPr/>
          <w:p>
            <w:pPr>
              <w:pStyle w:val="Compact"/>
              <w:jc w:val="left"/>
            </w:pPr>
            <w:r>
              <w:t xml:space="preserve">15406 (36.1%)</w:t>
            </w:r>
          </w:p>
        </w:tc>
      </w:tr>
      <w:tr>
        <w:tc>
          <w:tcPr/>
          <w:p>
            <w:pPr>
              <w:pStyle w:val="Compact"/>
              <w:jc w:val="left"/>
            </w:pPr>
            <w:r>
              <w:t xml:space="preserve">Trust_in_Police</w:t>
            </w:r>
          </w:p>
        </w:tc>
        <w:tc>
          <w:tcPr/>
          <w:p>
            <w:pPr>
              <w:pStyle w:val="Compact"/>
            </w:pPr>
          </w:p>
        </w:tc>
        <w:tc>
          <w:tcPr/>
          <w:p>
            <w:pPr>
              <w:pStyle w:val="Compact"/>
            </w:pPr>
          </w:p>
        </w:tc>
        <w:tc>
          <w:tcPr/>
          <w:p>
            <w:pPr>
              <w:pStyle w:val="Compact"/>
            </w:pPr>
          </w:p>
        </w:tc>
      </w:tr>
      <w:tr>
        <w:tc>
          <w:tcPr/>
          <w:p>
            <w:pPr>
              <w:pStyle w:val="Compact"/>
              <w:jc w:val="left"/>
            </w:pPr>
            <w:r>
              <w:t xml:space="preserve">Mean (SD)</w:t>
            </w:r>
          </w:p>
        </w:tc>
        <w:tc>
          <w:tcPr/>
          <w:p>
            <w:pPr>
              <w:pStyle w:val="Compact"/>
              <w:jc w:val="left"/>
            </w:pPr>
            <w:r>
              <w:t xml:space="preserve">4.58 (± 1.26)</w:t>
            </w:r>
          </w:p>
        </w:tc>
        <w:tc>
          <w:tcPr/>
          <w:p>
            <w:pPr>
              <w:pStyle w:val="Compact"/>
              <w:jc w:val="left"/>
            </w:pPr>
            <w:r>
              <w:t xml:space="preserve">4.53 (± 1.26)</w:t>
            </w:r>
          </w:p>
        </w:tc>
        <w:tc>
          <w:tcPr/>
          <w:p>
            <w:pPr>
              <w:pStyle w:val="Compact"/>
              <w:jc w:val="left"/>
            </w:pPr>
            <w:r>
              <w:t xml:space="preserve">4.43 (± 1.30)</w:t>
            </w:r>
          </w:p>
        </w:tc>
      </w:tr>
      <w:tr>
        <w:tc>
          <w:tcPr/>
          <w:p>
            <w:pPr>
              <w:pStyle w:val="Compact"/>
              <w:jc w:val="left"/>
            </w:pPr>
            <w:r>
              <w:t xml:space="preserve">Missing</w:t>
            </w:r>
          </w:p>
        </w:tc>
        <w:tc>
          <w:tcPr/>
          <w:p>
            <w:pPr>
              <w:pStyle w:val="Compact"/>
              <w:jc w:val="left"/>
            </w:pPr>
            <w:r>
              <w:t xml:space="preserve">15 (0.0%)</w:t>
            </w:r>
          </w:p>
        </w:tc>
        <w:tc>
          <w:tcPr/>
          <w:p>
            <w:pPr>
              <w:pStyle w:val="Compact"/>
              <w:jc w:val="left"/>
            </w:pPr>
            <w:r>
              <w:t xml:space="preserve">9378 (22.0%)</w:t>
            </w:r>
          </w:p>
        </w:tc>
        <w:tc>
          <w:tcPr/>
          <w:p>
            <w:pPr>
              <w:pStyle w:val="Compact"/>
              <w:jc w:val="left"/>
            </w:pPr>
            <w:r>
              <w:t xml:space="preserve">13770 (32.3%)</w:t>
            </w:r>
          </w:p>
        </w:tc>
      </w:tr>
      <w:tr>
        <w:tc>
          <w:tcPr/>
          <w:p>
            <w:pPr>
              <w:pStyle w:val="Compact"/>
              <w:jc w:val="left"/>
            </w:pPr>
            <w:r>
              <w:t xml:space="preserve">Trust_in_Govt_Covid_Response</w:t>
            </w:r>
          </w:p>
        </w:tc>
        <w:tc>
          <w:tcPr/>
          <w:p>
            <w:pPr>
              <w:pStyle w:val="Compact"/>
            </w:pPr>
          </w:p>
        </w:tc>
        <w:tc>
          <w:tcPr/>
          <w:p>
            <w:pPr>
              <w:pStyle w:val="Compact"/>
            </w:pPr>
          </w:p>
        </w:tc>
        <w:tc>
          <w:tcPr/>
          <w:p>
            <w:pPr>
              <w:pStyle w:val="Compact"/>
            </w:pPr>
          </w:p>
        </w:tc>
      </w:tr>
      <w:tr>
        <w:tc>
          <w:tcPr/>
          <w:p>
            <w:pPr>
              <w:pStyle w:val="Compact"/>
              <w:jc w:val="left"/>
            </w:pPr>
            <w:r>
              <w:t xml:space="preserve">Mean (SD)</w:t>
            </w:r>
          </w:p>
        </w:tc>
        <w:tc>
          <w:tcPr/>
          <w:p>
            <w:pPr>
              <w:pStyle w:val="Compact"/>
              <w:jc w:val="left"/>
            </w:pPr>
            <w:r>
              <w:t xml:space="preserve">NA (± NA)</w:t>
            </w:r>
          </w:p>
        </w:tc>
        <w:tc>
          <w:tcPr/>
          <w:p>
            <w:pPr>
              <w:pStyle w:val="Compact"/>
              <w:jc w:val="left"/>
            </w:pPr>
            <w:r>
              <w:t xml:space="preserve">5.66 (± 1.55)</w:t>
            </w:r>
          </w:p>
        </w:tc>
        <w:tc>
          <w:tcPr/>
          <w:p>
            <w:pPr>
              <w:pStyle w:val="Compact"/>
              <w:jc w:val="left"/>
            </w:pPr>
            <w:r>
              <w:t xml:space="preserve">4.79 (± 1.94)</w:t>
            </w:r>
          </w:p>
        </w:tc>
      </w:tr>
      <w:tr>
        <w:tc>
          <w:tcPr/>
          <w:p>
            <w:pPr>
              <w:pStyle w:val="Compact"/>
              <w:jc w:val="left"/>
            </w:pPr>
            <w:r>
              <w:t xml:space="preserve">Missing</w:t>
            </w:r>
          </w:p>
        </w:tc>
        <w:tc>
          <w:tcPr/>
          <w:p>
            <w:pPr>
              <w:pStyle w:val="Compact"/>
              <w:jc w:val="left"/>
            </w:pPr>
            <w:r>
              <w:t xml:space="preserve">42681 (100%)</w:t>
            </w:r>
          </w:p>
        </w:tc>
        <w:tc>
          <w:tcPr/>
          <w:p>
            <w:pPr>
              <w:pStyle w:val="Compact"/>
              <w:jc w:val="left"/>
            </w:pPr>
            <w:r>
              <w:t xml:space="preserve">9620 (22.5%)</w:t>
            </w:r>
          </w:p>
        </w:tc>
        <w:tc>
          <w:tcPr/>
          <w:p>
            <w:pPr>
              <w:pStyle w:val="Compact"/>
              <w:jc w:val="left"/>
            </w:pPr>
            <w:r>
              <w:t xml:space="preserve">15123 (35.4%)</w:t>
            </w:r>
          </w:p>
        </w:tc>
      </w:tr>
      <w:tr>
        <w:tc>
          <w:tcPr/>
          <w:p>
            <w:pPr>
              <w:pStyle w:val="Compact"/>
              <w:jc w:val="left"/>
            </w:pPr>
            <w:r>
              <w:t xml:space="preserve">Conspiracy_Beliefs</w:t>
            </w:r>
          </w:p>
        </w:tc>
        <w:tc>
          <w:tcPr/>
          <w:p>
            <w:pPr>
              <w:pStyle w:val="Compact"/>
            </w:pPr>
          </w:p>
        </w:tc>
        <w:tc>
          <w:tcPr/>
          <w:p>
            <w:pPr>
              <w:pStyle w:val="Compact"/>
            </w:pPr>
          </w:p>
        </w:tc>
        <w:tc>
          <w:tcPr/>
          <w:p>
            <w:pPr>
              <w:pStyle w:val="Compact"/>
            </w:pPr>
          </w:p>
        </w:tc>
      </w:tr>
      <w:tr>
        <w:tc>
          <w:tcPr/>
          <w:p>
            <w:pPr>
              <w:pStyle w:val="Compact"/>
              <w:jc w:val="left"/>
            </w:pPr>
            <w:r>
              <w:t xml:space="preserve">Mean (SD)</w:t>
            </w:r>
          </w:p>
        </w:tc>
        <w:tc>
          <w:tcPr/>
          <w:p>
            <w:pPr>
              <w:pStyle w:val="Compact"/>
              <w:jc w:val="left"/>
            </w:pPr>
            <w:r>
              <w:t xml:space="preserve">4.36 (± 1.63)</w:t>
            </w:r>
          </w:p>
        </w:tc>
        <w:tc>
          <w:tcPr/>
          <w:p>
            <w:pPr>
              <w:pStyle w:val="Compact"/>
              <w:jc w:val="left"/>
            </w:pPr>
            <w:r>
              <w:t xml:space="preserve">4.10 (± 1.68)</w:t>
            </w:r>
          </w:p>
        </w:tc>
        <w:tc>
          <w:tcPr/>
          <w:p>
            <w:pPr>
              <w:pStyle w:val="Compact"/>
              <w:jc w:val="left"/>
            </w:pPr>
            <w:r>
              <w:t xml:space="preserve">4.02 (± 1.74)</w:t>
            </w:r>
          </w:p>
        </w:tc>
      </w:tr>
      <w:tr>
        <w:tc>
          <w:tcPr/>
          <w:p>
            <w:pPr>
              <w:pStyle w:val="Compact"/>
              <w:jc w:val="left"/>
            </w:pPr>
            <w:r>
              <w:t xml:space="preserve">Missing</w:t>
            </w:r>
          </w:p>
        </w:tc>
        <w:tc>
          <w:tcPr/>
          <w:p>
            <w:pPr>
              <w:pStyle w:val="Compact"/>
              <w:jc w:val="left"/>
            </w:pPr>
            <w:r>
              <w:t xml:space="preserve">1197 (2.8%)</w:t>
            </w:r>
          </w:p>
        </w:tc>
        <w:tc>
          <w:tcPr/>
          <w:p>
            <w:pPr>
              <w:pStyle w:val="Compact"/>
              <w:jc w:val="left"/>
            </w:pPr>
            <w:r>
              <w:t xml:space="preserve">9676 (22.7%)</w:t>
            </w:r>
          </w:p>
        </w:tc>
        <w:tc>
          <w:tcPr/>
          <w:p>
            <w:pPr>
              <w:pStyle w:val="Compact"/>
              <w:jc w:val="left"/>
            </w:pPr>
            <w:r>
              <w:t xml:space="preserve">15110 (35.4%)</w:t>
            </w:r>
          </w:p>
        </w:tc>
      </w:tr>
    </w:tbl>
    <w:p>
      <w:pPr>
        <w:pStyle w:val="BodyText"/>
      </w:pPr>
      <w:r>
        <w:t xml:space="preserve">Here is a graph of the same.</w:t>
      </w:r>
    </w:p>
    <w:tbl>
      <w:tblPr>
        <w:tblStyle w:val="Table"/>
        <w:tblW w:type="pct" w:w="5000"/>
        <w:tblLook w:firstRow="0" w:lastRow="0" w:firstColumn="0" w:lastColumn="0" w:noHBand="0" w:noVBand="0" w:val="0000"/>
      </w:tblPr>
      <w:tblGrid>
        <w:gridCol w:w="7920"/>
      </w:tblGrid>
      <w:tr>
        <w:tc>
          <w:tcPr/>
          <w:bookmarkStart w:id="30" w:name="fig-trust"/>
          <w:p>
            <w:pPr>
              <w:pStyle w:val="Figure"/>
              <w:jc w:val="center"/>
            </w:pPr>
            <w:r>
              <w:drawing>
                <wp:inline>
                  <wp:extent cx="5334000" cy="4267200"/>
                  <wp:effectExtent b="0" l="0" r="0" t="0"/>
                  <wp:docPr descr="" title="" id="28" name="Picture"/>
                  <a:graphic>
                    <a:graphicData uri="http://schemas.openxmlformats.org/drawingml/2006/picture">
                      <pic:pic>
                        <pic:nvPicPr>
                          <pic:cNvPr descr="trust-science_files/figure-docx/fig-trust-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Boxplot for Institutional Trust: NZAVS Waves 11-13 (years 2019-2022)</w:t>
            </w:r>
          </w:p>
          <w:bookmarkEnd w:id="30"/>
        </w:tc>
      </w:tr>
    </w:tbl>
    <w:p>
      <w:pPr>
        <w:pStyle w:val="BodyText"/>
      </w:pPr>
      <w:r>
        <w:t xml:space="preserve">Descriptive fndings.</w:t>
      </w:r>
    </w:p>
    <w:p>
      <w:pPr>
        <w:pStyle w:val="BodyText"/>
      </w:pPr>
      <w:r>
        <w:t xml:space="preserve">Trust in Science: The average trust score increased from 5.43 (±1.28) in 2019 to 5.67 (±1.24) in 2020 and to 5.70 (±1.26) in 2021. The number of missing values increased from 375 (0.9%) in 2019 to 9,475 (22.2%) in 2020 and further to 14,231 (33.3%) in 2021.</w:t>
      </w:r>
    </w:p>
    <w:p>
      <w:pPr>
        <w:pStyle w:val="BodyText"/>
      </w:pPr>
      <w:r>
        <w:t xml:space="preserve">Trust in Politicians: The average trust score increased from 3.76 (±1.45) in 2019 to 4.05 (±1.49) in 2020, then slightly decreased to 3.92 (±1.56) in 2021. The number of missing values increased from 853 (2.0%) in 2019 to 10,078 (23.6%) in 2020 and further to 15,406 (36.1%) in 2021.</w:t>
      </w:r>
    </w:p>
    <w:p>
      <w:pPr>
        <w:pStyle w:val="BodyText"/>
      </w:pPr>
      <w:r>
        <w:t xml:space="preserve">Trust in Police: The average trust score decreased from 4.58 (±1.26) in 2019 to 4.53 (±1.26) in 2020 and further to 4.43 (±1.30) in 2021. The number of missing values increased from 15 (0.0%) in 2019 to 9,378 (22.0%) in 2020 and further to 13,770 (32.3%) in 2021.</w:t>
      </w:r>
    </w:p>
    <w:p>
      <w:pPr>
        <w:pStyle w:val="BodyText"/>
      </w:pPr>
      <w:r>
        <w:t xml:space="preserve">Trust in Government’s COVID Response: This metric was not applicable in 2019. The average trust score was 5.66 (±1.55) in 2020 and decreased to 4.79 (±1.94) in 2021. The number of missing values was 42,681 (100%) in 2019, 9,620 (22.5%) in 2020, and 15,123 (35.4%) in 2021.</w:t>
      </w:r>
    </w:p>
    <w:p>
      <w:pPr>
        <w:pStyle w:val="BodyText"/>
      </w:pPr>
      <w:r>
        <w:t xml:space="preserve">Conspiracy Beliefs: The average score decreased from 4.36 (±1.63) in 2019 to 4.10 (±1.68) in 2020 and further to 4.02 (±1.74) in 2021. The number of missing values increased from 1,197 (2.8%) in 2019 to 9,676 (22.7%) in 2020 and further to 15,110 (35.4%) in 2021.</w:t>
      </w:r>
    </w:p>
    <w:p>
      <w:pPr>
        <w:pStyle w:val="BodyText"/>
      </w:pPr>
      <w:r>
        <w:t xml:space="preserve">How should we in interpret these findings? Missing data from non-response and panel attrition may bias estimates for the population. We must address bias from missing responses. We address this bias through multiple imputation.</w:t>
      </w:r>
    </w:p>
    <w:bookmarkEnd w:id="31"/>
    <w:bookmarkEnd w:id="32"/>
    <w:bookmarkStart w:id="59" w:name="handling-missingness"/>
    <w:p>
      <w:pPr>
        <w:pStyle w:val="Heading2"/>
      </w:pPr>
      <w:r>
        <w:t xml:space="preserve">Handling missingness</w:t>
      </w:r>
    </w:p>
    <w:p>
      <w:pPr>
        <w:pStyle w:val="FirstParagraph"/>
      </w:pPr>
      <w:r>
        <w:t xml:space="preserve">To handle missing data, we must model and predict missing responses. We attempt two types of missing data imputation. Both use machine learning. The first is the</w:t>
      </w:r>
      <w:r>
        <w:t xml:space="preserve"> </w:t>
      </w:r>
      <w:r>
        <w:rPr>
          <w:rStyle w:val="VerbatimChar"/>
        </w:rPr>
        <w:t xml:space="preserve">mlim</w:t>
      </w:r>
      <w:r>
        <w:t xml:space="preserve"> </w:t>
      </w:r>
      <w:r>
        <w:t xml:space="preserve">package in R, which uses model tuning to optimise the prediction of missing values. The second is the</w:t>
      </w:r>
      <w:r>
        <w:t xml:space="preserve"> </w:t>
      </w:r>
      <w:r>
        <w:rPr>
          <w:rStyle w:val="VerbatimChar"/>
        </w:rPr>
        <w:t xml:space="preserve">mice</w:t>
      </w:r>
      <w:r>
        <w:t xml:space="preserve"> </w:t>
      </w:r>
      <w:r>
        <w:t xml:space="preserve">package in R. It uses predictive mean matching (ppm) optimse the prediction of missing values. We find that the mice package/ppm performs better, and present the</w:t>
      </w:r>
      <w:r>
        <w:rPr>
          <w:rStyle w:val="VerbatimChar"/>
        </w:rPr>
        <w:t xml:space="preserve">ppm</w:t>
      </w:r>
      <w:r>
        <w:t xml:space="preserve"> </w:t>
      </w:r>
      <w:r>
        <w:t xml:space="preserve">results here. We present the code for both approaches below.</w:t>
      </w:r>
    </w:p>
    <w:p>
      <w:pPr>
        <w:pStyle w:val="BodyText"/>
      </w:pPr>
      <w:r>
        <w:drawing>
          <wp:inline>
            <wp:extent cx="5334000" cy="4267200"/>
            <wp:effectExtent b="0" l="0" r="0" t="0"/>
            <wp:docPr descr="" title="" id="34" name="Picture"/>
            <a:graphic>
              <a:graphicData uri="http://schemas.openxmlformats.org/drawingml/2006/picture">
                <pic:pic>
                  <pic:nvPicPr>
                    <pic:cNvPr descr="trust-science_files/figure-docx/ppm-graph-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
        <w:tblW w:type="pct" w:w="5000"/>
        <w:tblLook w:firstRow="1" w:lastRow="0" w:firstColumn="0" w:lastColumn="0" w:noHBand="0" w:noVBand="0" w:val="0020"/>
      </w:tblPr>
      <w:tblGrid>
        <w:gridCol w:w="2496"/>
        <w:gridCol w:w="1807"/>
        <w:gridCol w:w="1807"/>
        <w:gridCol w:w="1807"/>
      </w:tblGrid>
      <w:tr>
        <w:trPr>
          <w:tblHeader w:val="true"/>
        </w:trPr>
        <w:tc>
          <w:tcPr/>
          <w:p>
            <w:pPr>
              <w:pStyle w:val="Compact"/>
              <w:jc w:val="left"/>
            </w:pPr>
            <w:r>
              <w:t xml:space="preserve">Forms of Institutional Trust</w:t>
            </w:r>
          </w:p>
        </w:tc>
        <w:tc>
          <w:tcPr/>
          <w:p>
            <w:pPr>
              <w:pStyle w:val="Compact"/>
              <w:jc w:val="left"/>
            </w:pPr>
            <w:r>
              <w:t xml:space="preserve">X2019</w:t>
            </w:r>
          </w:p>
        </w:tc>
        <w:tc>
          <w:tcPr/>
          <w:p>
            <w:pPr>
              <w:pStyle w:val="Compact"/>
              <w:jc w:val="left"/>
            </w:pPr>
            <w:r>
              <w:t xml:space="preserve">X2020</w:t>
            </w:r>
          </w:p>
        </w:tc>
        <w:tc>
          <w:tcPr/>
          <w:p>
            <w:pPr>
              <w:pStyle w:val="Compact"/>
              <w:jc w:val="left"/>
            </w:pPr>
            <w:r>
              <w:t xml:space="preserve">X2021</w:t>
            </w:r>
          </w:p>
        </w:tc>
      </w:tr>
      <w:tr>
        <w:tc>
          <w:tcPr/>
          <w:p>
            <w:pPr>
              <w:pStyle w:val="Compact"/>
            </w:pPr>
          </w:p>
        </w:tc>
        <w:tc>
          <w:tcPr/>
          <w:p>
            <w:pPr>
              <w:pStyle w:val="Compact"/>
              <w:jc w:val="left"/>
            </w:pPr>
            <w:r>
              <w:t xml:space="preserve">(N=469491)</w:t>
            </w:r>
          </w:p>
        </w:tc>
        <w:tc>
          <w:tcPr/>
          <w:p>
            <w:pPr>
              <w:pStyle w:val="Compact"/>
              <w:jc w:val="left"/>
            </w:pPr>
            <w:r>
              <w:t xml:space="preserve">(N=469491)</w:t>
            </w:r>
          </w:p>
        </w:tc>
        <w:tc>
          <w:tcPr/>
          <w:p>
            <w:pPr>
              <w:pStyle w:val="Compact"/>
              <w:jc w:val="left"/>
            </w:pPr>
            <w:r>
              <w:t xml:space="preserve">(N=469491)</w:t>
            </w:r>
          </w:p>
        </w:tc>
      </w:tr>
      <w:tr>
        <w:tc>
          <w:tcPr/>
          <w:p>
            <w:pPr>
              <w:pStyle w:val="Compact"/>
              <w:jc w:val="left"/>
            </w:pPr>
            <w:r>
              <w:t xml:space="preserve">Trust_in_Science</w:t>
            </w:r>
          </w:p>
        </w:tc>
        <w:tc>
          <w:tcPr/>
          <w:p>
            <w:pPr>
              <w:pStyle w:val="Compact"/>
            </w:pPr>
          </w:p>
        </w:tc>
        <w:tc>
          <w:tcPr/>
          <w:p>
            <w:pPr>
              <w:pStyle w:val="Compact"/>
            </w:pPr>
          </w:p>
        </w:tc>
        <w:tc>
          <w:tcPr/>
          <w:p>
            <w:pPr>
              <w:pStyle w:val="Compact"/>
            </w:pPr>
          </w:p>
        </w:tc>
      </w:tr>
      <w:tr>
        <w:tc>
          <w:tcPr/>
          <w:p>
            <w:pPr>
              <w:pStyle w:val="Compact"/>
              <w:jc w:val="left"/>
            </w:pPr>
            <w:r>
              <w:t xml:space="preserve">Mean (SD)</w:t>
            </w:r>
          </w:p>
        </w:tc>
        <w:tc>
          <w:tcPr/>
          <w:p>
            <w:pPr>
              <w:pStyle w:val="Compact"/>
              <w:jc w:val="left"/>
            </w:pPr>
            <w:r>
              <w:t xml:space="preserve">5.43 (± 1.28)</w:t>
            </w:r>
          </w:p>
        </w:tc>
        <w:tc>
          <w:tcPr/>
          <w:p>
            <w:pPr>
              <w:pStyle w:val="Compact"/>
              <w:jc w:val="left"/>
            </w:pPr>
            <w:r>
              <w:t xml:space="preserve">5.64 (± 1.25)</w:t>
            </w:r>
          </w:p>
        </w:tc>
        <w:tc>
          <w:tcPr/>
          <w:p>
            <w:pPr>
              <w:pStyle w:val="Compact"/>
              <w:jc w:val="left"/>
            </w:pPr>
            <w:r>
              <w:t xml:space="preserve">5.65 (± 1.28)</w:t>
            </w:r>
          </w:p>
        </w:tc>
      </w:tr>
      <w:tr>
        <w:tc>
          <w:tcPr/>
          <w:p>
            <w:pPr>
              <w:pStyle w:val="Compact"/>
              <w:jc w:val="left"/>
            </w:pPr>
            <w:r>
              <w:t xml:space="preserve">Missing</w:t>
            </w:r>
          </w:p>
        </w:tc>
        <w:tc>
          <w:tcPr/>
          <w:p>
            <w:pPr>
              <w:pStyle w:val="Compact"/>
              <w:jc w:val="left"/>
            </w:pPr>
            <w:r>
              <w:t xml:space="preserve">375 (0.1%)</w:t>
            </w:r>
          </w:p>
        </w:tc>
        <w:tc>
          <w:tcPr/>
          <w:p>
            <w:pPr>
              <w:pStyle w:val="Compact"/>
              <w:jc w:val="left"/>
            </w:pPr>
            <w:r>
              <w:t xml:space="preserve">9475 (2.0%)</w:t>
            </w:r>
          </w:p>
        </w:tc>
        <w:tc>
          <w:tcPr/>
          <w:p>
            <w:pPr>
              <w:pStyle w:val="Compact"/>
              <w:jc w:val="left"/>
            </w:pPr>
            <w:r>
              <w:t xml:space="preserve">14231 (3.0%)</w:t>
            </w:r>
          </w:p>
        </w:tc>
      </w:tr>
      <w:tr>
        <w:tc>
          <w:tcPr/>
          <w:p>
            <w:pPr>
              <w:pStyle w:val="Compact"/>
              <w:jc w:val="left"/>
            </w:pPr>
            <w:r>
              <w:t xml:space="preserve">Trust_in_Politicians</w:t>
            </w:r>
          </w:p>
        </w:tc>
        <w:tc>
          <w:tcPr/>
          <w:p>
            <w:pPr>
              <w:pStyle w:val="Compact"/>
            </w:pPr>
          </w:p>
        </w:tc>
        <w:tc>
          <w:tcPr/>
          <w:p>
            <w:pPr>
              <w:pStyle w:val="Compact"/>
            </w:pPr>
          </w:p>
        </w:tc>
        <w:tc>
          <w:tcPr/>
          <w:p>
            <w:pPr>
              <w:pStyle w:val="Compact"/>
            </w:pPr>
          </w:p>
        </w:tc>
      </w:tr>
      <w:tr>
        <w:tc>
          <w:tcPr/>
          <w:p>
            <w:pPr>
              <w:pStyle w:val="Compact"/>
              <w:jc w:val="left"/>
            </w:pPr>
            <w:r>
              <w:t xml:space="preserve">Mean (SD)</w:t>
            </w:r>
          </w:p>
        </w:tc>
        <w:tc>
          <w:tcPr/>
          <w:p>
            <w:pPr>
              <w:pStyle w:val="Compact"/>
              <w:jc w:val="left"/>
            </w:pPr>
            <w:r>
              <w:t xml:space="preserve">3.76 (± 1.45)</w:t>
            </w:r>
          </w:p>
        </w:tc>
        <w:tc>
          <w:tcPr/>
          <w:p>
            <w:pPr>
              <w:pStyle w:val="Compact"/>
              <w:jc w:val="left"/>
            </w:pPr>
            <w:r>
              <w:t xml:space="preserve">4.02 (± 1.50)</w:t>
            </w:r>
          </w:p>
        </w:tc>
        <w:tc>
          <w:tcPr/>
          <w:p>
            <w:pPr>
              <w:pStyle w:val="Compact"/>
              <w:jc w:val="left"/>
            </w:pPr>
            <w:r>
              <w:t xml:space="preserve">3.85 (± 1.57)</w:t>
            </w:r>
          </w:p>
        </w:tc>
      </w:tr>
      <w:tr>
        <w:tc>
          <w:tcPr/>
          <w:p>
            <w:pPr>
              <w:pStyle w:val="Compact"/>
              <w:jc w:val="left"/>
            </w:pPr>
            <w:r>
              <w:t xml:space="preserve">Missing</w:t>
            </w:r>
          </w:p>
        </w:tc>
        <w:tc>
          <w:tcPr/>
          <w:p>
            <w:pPr>
              <w:pStyle w:val="Compact"/>
              <w:jc w:val="left"/>
            </w:pPr>
            <w:r>
              <w:t xml:space="preserve">853 (0.2%)</w:t>
            </w:r>
          </w:p>
        </w:tc>
        <w:tc>
          <w:tcPr/>
          <w:p>
            <w:pPr>
              <w:pStyle w:val="Compact"/>
              <w:jc w:val="left"/>
            </w:pPr>
            <w:r>
              <w:t xml:space="preserve">10078 (2.1%)</w:t>
            </w:r>
          </w:p>
        </w:tc>
        <w:tc>
          <w:tcPr/>
          <w:p>
            <w:pPr>
              <w:pStyle w:val="Compact"/>
              <w:jc w:val="left"/>
            </w:pPr>
            <w:r>
              <w:t xml:space="preserve">15406 (3.3%)</w:t>
            </w:r>
          </w:p>
        </w:tc>
      </w:tr>
      <w:tr>
        <w:tc>
          <w:tcPr/>
          <w:p>
            <w:pPr>
              <w:pStyle w:val="Compact"/>
              <w:jc w:val="left"/>
            </w:pPr>
            <w:r>
              <w:t xml:space="preserve">Trust_in_Police</w:t>
            </w:r>
          </w:p>
        </w:tc>
        <w:tc>
          <w:tcPr/>
          <w:p>
            <w:pPr>
              <w:pStyle w:val="Compact"/>
            </w:pPr>
          </w:p>
        </w:tc>
        <w:tc>
          <w:tcPr/>
          <w:p>
            <w:pPr>
              <w:pStyle w:val="Compact"/>
            </w:pPr>
          </w:p>
        </w:tc>
        <w:tc>
          <w:tcPr/>
          <w:p>
            <w:pPr>
              <w:pStyle w:val="Compact"/>
            </w:pPr>
          </w:p>
        </w:tc>
      </w:tr>
      <w:tr>
        <w:tc>
          <w:tcPr/>
          <w:p>
            <w:pPr>
              <w:pStyle w:val="Compact"/>
              <w:jc w:val="left"/>
            </w:pPr>
            <w:r>
              <w:t xml:space="preserve">Mean (SD)</w:t>
            </w:r>
          </w:p>
        </w:tc>
        <w:tc>
          <w:tcPr/>
          <w:p>
            <w:pPr>
              <w:pStyle w:val="Compact"/>
              <w:jc w:val="left"/>
            </w:pPr>
            <w:r>
              <w:t xml:space="preserve">4.58 (± 1.26)</w:t>
            </w:r>
          </w:p>
        </w:tc>
        <w:tc>
          <w:tcPr/>
          <w:p>
            <w:pPr>
              <w:pStyle w:val="Compact"/>
              <w:jc w:val="left"/>
            </w:pPr>
            <w:r>
              <w:t xml:space="preserve">4.50 (± 1.27)</w:t>
            </w:r>
          </w:p>
        </w:tc>
        <w:tc>
          <w:tcPr/>
          <w:p>
            <w:pPr>
              <w:pStyle w:val="Compact"/>
              <w:jc w:val="left"/>
            </w:pPr>
            <w:r>
              <w:t xml:space="preserve">4.37 (± 1.32)</w:t>
            </w:r>
          </w:p>
        </w:tc>
      </w:tr>
      <w:tr>
        <w:tc>
          <w:tcPr/>
          <w:p>
            <w:pPr>
              <w:pStyle w:val="Compact"/>
              <w:jc w:val="left"/>
            </w:pPr>
            <w:r>
              <w:t xml:space="preserve">Missing</w:t>
            </w:r>
          </w:p>
        </w:tc>
        <w:tc>
          <w:tcPr/>
          <w:p>
            <w:pPr>
              <w:pStyle w:val="Compact"/>
              <w:jc w:val="left"/>
            </w:pPr>
            <w:r>
              <w:t xml:space="preserve">15 (0.0%)</w:t>
            </w:r>
          </w:p>
        </w:tc>
        <w:tc>
          <w:tcPr/>
          <w:p>
            <w:pPr>
              <w:pStyle w:val="Compact"/>
              <w:jc w:val="left"/>
            </w:pPr>
            <w:r>
              <w:t xml:space="preserve">9378 (2.0%)</w:t>
            </w:r>
          </w:p>
        </w:tc>
        <w:tc>
          <w:tcPr/>
          <w:p>
            <w:pPr>
              <w:pStyle w:val="Compact"/>
              <w:jc w:val="left"/>
            </w:pPr>
            <w:r>
              <w:t xml:space="preserve">13770 (2.9%)</w:t>
            </w:r>
          </w:p>
        </w:tc>
      </w:tr>
      <w:tr>
        <w:tc>
          <w:tcPr/>
          <w:p>
            <w:pPr>
              <w:pStyle w:val="Compact"/>
              <w:jc w:val="left"/>
            </w:pPr>
            <w:r>
              <w:t xml:space="preserve">Trust_in_Govt_Covid_Response</w:t>
            </w:r>
          </w:p>
        </w:tc>
        <w:tc>
          <w:tcPr/>
          <w:p>
            <w:pPr>
              <w:pStyle w:val="Compact"/>
            </w:pPr>
          </w:p>
        </w:tc>
        <w:tc>
          <w:tcPr/>
          <w:p>
            <w:pPr>
              <w:pStyle w:val="Compact"/>
            </w:pPr>
          </w:p>
        </w:tc>
        <w:tc>
          <w:tcPr/>
          <w:p>
            <w:pPr>
              <w:pStyle w:val="Compact"/>
            </w:pPr>
          </w:p>
        </w:tc>
      </w:tr>
      <w:tr>
        <w:tc>
          <w:tcPr/>
          <w:p>
            <w:pPr>
              <w:pStyle w:val="Compact"/>
              <w:jc w:val="left"/>
            </w:pPr>
            <w:r>
              <w:t xml:space="preserve">Mean (SD)</w:t>
            </w:r>
          </w:p>
        </w:tc>
        <w:tc>
          <w:tcPr/>
          <w:p>
            <w:pPr>
              <w:pStyle w:val="Compact"/>
              <w:jc w:val="left"/>
            </w:pPr>
            <w:r>
              <w:t xml:space="preserve">NA (± NA)</w:t>
            </w:r>
          </w:p>
        </w:tc>
        <w:tc>
          <w:tcPr/>
          <w:p>
            <w:pPr>
              <w:pStyle w:val="Compact"/>
              <w:jc w:val="left"/>
            </w:pPr>
            <w:r>
              <w:t xml:space="preserve">5.64 (± 1.56)</w:t>
            </w:r>
          </w:p>
        </w:tc>
        <w:tc>
          <w:tcPr/>
          <w:p>
            <w:pPr>
              <w:pStyle w:val="Compact"/>
              <w:jc w:val="left"/>
            </w:pPr>
            <w:r>
              <w:t xml:space="preserve">4.74 (± 1.96)</w:t>
            </w:r>
          </w:p>
        </w:tc>
      </w:tr>
      <w:tr>
        <w:tc>
          <w:tcPr/>
          <w:p>
            <w:pPr>
              <w:pStyle w:val="Compact"/>
              <w:jc w:val="left"/>
            </w:pPr>
            <w:r>
              <w:t xml:space="preserve">Missing</w:t>
            </w:r>
          </w:p>
        </w:tc>
        <w:tc>
          <w:tcPr/>
          <w:p>
            <w:pPr>
              <w:pStyle w:val="Compact"/>
              <w:jc w:val="left"/>
            </w:pPr>
            <w:r>
              <w:t xml:space="preserve">469491 (100%)</w:t>
            </w:r>
          </w:p>
        </w:tc>
        <w:tc>
          <w:tcPr/>
          <w:p>
            <w:pPr>
              <w:pStyle w:val="Compact"/>
              <w:jc w:val="left"/>
            </w:pPr>
            <w:r>
              <w:t xml:space="preserve">9620 (2.0%)</w:t>
            </w:r>
          </w:p>
        </w:tc>
        <w:tc>
          <w:tcPr/>
          <w:p>
            <w:pPr>
              <w:pStyle w:val="Compact"/>
              <w:jc w:val="left"/>
            </w:pPr>
            <w:r>
              <w:t xml:space="preserve">15123 (3.2%)</w:t>
            </w:r>
          </w:p>
        </w:tc>
      </w:tr>
      <w:tr>
        <w:tc>
          <w:tcPr/>
          <w:p>
            <w:pPr>
              <w:pStyle w:val="Compact"/>
              <w:jc w:val="left"/>
            </w:pPr>
            <w:r>
              <w:t xml:space="preserve">Conspiracy_Beliefs</w:t>
            </w:r>
          </w:p>
        </w:tc>
        <w:tc>
          <w:tcPr/>
          <w:p>
            <w:pPr>
              <w:pStyle w:val="Compact"/>
            </w:pPr>
          </w:p>
        </w:tc>
        <w:tc>
          <w:tcPr/>
          <w:p>
            <w:pPr>
              <w:pStyle w:val="Compact"/>
            </w:pPr>
          </w:p>
        </w:tc>
        <w:tc>
          <w:tcPr/>
          <w:p>
            <w:pPr>
              <w:pStyle w:val="Compact"/>
            </w:pPr>
          </w:p>
        </w:tc>
      </w:tr>
      <w:tr>
        <w:tc>
          <w:tcPr/>
          <w:p>
            <w:pPr>
              <w:pStyle w:val="Compact"/>
              <w:jc w:val="left"/>
            </w:pPr>
            <w:r>
              <w:t xml:space="preserve">Mean (SD)</w:t>
            </w:r>
          </w:p>
        </w:tc>
        <w:tc>
          <w:tcPr/>
          <w:p>
            <w:pPr>
              <w:pStyle w:val="Compact"/>
              <w:jc w:val="left"/>
            </w:pPr>
            <w:r>
              <w:t xml:space="preserve">4.36 (± 1.63)</w:t>
            </w:r>
          </w:p>
        </w:tc>
        <w:tc>
          <w:tcPr/>
          <w:p>
            <w:pPr>
              <w:pStyle w:val="Compact"/>
              <w:jc w:val="left"/>
            </w:pPr>
            <w:r>
              <w:t xml:space="preserve">4.13 (± 1.68)</w:t>
            </w:r>
          </w:p>
        </w:tc>
        <w:tc>
          <w:tcPr/>
          <w:p>
            <w:pPr>
              <w:pStyle w:val="Compact"/>
              <w:jc w:val="left"/>
            </w:pPr>
            <w:r>
              <w:t xml:space="preserve">4.06 (± 1.75)</w:t>
            </w:r>
          </w:p>
        </w:tc>
      </w:tr>
      <w:tr>
        <w:tc>
          <w:tcPr/>
          <w:p>
            <w:pPr>
              <w:pStyle w:val="Compact"/>
              <w:jc w:val="left"/>
            </w:pPr>
            <w:r>
              <w:t xml:space="preserve">Missing</w:t>
            </w:r>
          </w:p>
        </w:tc>
        <w:tc>
          <w:tcPr/>
          <w:p>
            <w:pPr>
              <w:pStyle w:val="Compact"/>
              <w:jc w:val="left"/>
            </w:pPr>
            <w:r>
              <w:t xml:space="preserve">1197 (0.3%)</w:t>
            </w:r>
          </w:p>
        </w:tc>
        <w:tc>
          <w:tcPr/>
          <w:p>
            <w:pPr>
              <w:pStyle w:val="Compact"/>
              <w:jc w:val="left"/>
            </w:pPr>
            <w:r>
              <w:t xml:space="preserve">9676 (2.1%)</w:t>
            </w:r>
          </w:p>
        </w:tc>
        <w:tc>
          <w:tcPr/>
          <w:p>
            <w:pPr>
              <w:pStyle w:val="Compact"/>
              <w:jc w:val="left"/>
            </w:pPr>
            <w:r>
              <w:t xml:space="preserve">15110 (3.2%)</w:t>
            </w:r>
          </w:p>
        </w:tc>
      </w:tr>
    </w:tbl>
    <w:p>
      <w:pPr>
        <w:pStyle w:val="BodyText"/>
      </w:pPr>
      <w:r>
        <w:t xml:space="preserve">The imputed data contain ten imputed datasets plus the original data with missing values. We will need to adjust for the uncertainities of multiple imputation using Rubin’s rule.</w:t>
      </w:r>
    </w:p>
    <w:p>
      <w:pPr>
        <w:pStyle w:val="BodyText"/>
      </w:pPr>
      <w:r>
        <w:t xml:space="preserve">Additionally, we are now grouping pre and post responses together in the 2019 wave. So we are no longer identifying specific responses of to the COVID pandemic and response. To identify the specific effects of the COVID pandemic and response requires care. There are no contrasts from which to derive comparisons. That is, because all in the population were subject to the exposure, we cannot straightforwardly infer how people would have responded were they not exposed. We will return to this issue in future work.</w:t>
      </w:r>
    </w:p>
    <w:p>
      <w:pPr>
        <w:pStyle w:val="BodyText"/>
      </w:pPr>
      <w:r>
        <w:t xml:space="preserve">These provisos aside, we find evidence for continued average confidence in science, with some evidence for a continued downward shift in trust for the NZ police.</w:t>
      </w:r>
    </w:p>
    <w:p>
      <w:pPr>
        <w:pStyle w:val="BodyText"/>
      </w:pPr>
      <w:r>
        <w:t xml:space="preserve">Next, we formally model change over time using generalised estimating equations (GEE). They models take into account uncertainties from multiple imputation. We employ survey weights to recover population estimates.</w:t>
      </w:r>
    </w:p>
    <w:bookmarkStart w:id="36" w:name="results-for-average-responses."/>
    <w:p>
      <w:pPr>
        <w:pStyle w:val="Heading3"/>
      </w:pPr>
      <w:r>
        <w:t xml:space="preserve">Results for average responses.</w:t>
      </w:r>
    </w:p>
    <w:bookmarkEnd w:id="36"/>
    <w:bookmarkStart w:id="42" w:name="trust-in-science"/>
    <w:p>
      <w:pPr>
        <w:pStyle w:val="Heading3"/>
      </w:pPr>
      <w:r>
        <w:t xml:space="preserve">Trust in science</w:t>
      </w:r>
    </w:p>
    <w:p>
      <w:pPr>
        <w:pStyle w:val="TableCaption"/>
      </w:pPr>
      <w:r>
        <w:t xml:space="preserve">Trust in Science by NZAVS Wave</w:t>
      </w:r>
      <w:r>
        <w:t xml:space="preserve"> </w:t>
      </w:r>
    </w:p>
    <w:tbl>
      <w:tblPr>
        <w:tblStyle w:val="Table"/>
        <w:tblW w:type="auto" w:w="0"/>
        <w:tblLook w:firstRow="1" w:lastRow="0" w:firstColumn="0" w:lastColumn="0" w:noHBand="0" w:noVBand="0" w:val="0020"/>
        <w:tblCaption w:val="Trust in Science by NZAVS Wave "/>
      </w:tblPr>
      <w:tblGrid>
        <w:gridCol w:w="1320"/>
        <w:gridCol w:w="1320"/>
        <w:gridCol w:w="1320"/>
        <w:gridCol w:w="1320"/>
        <w:gridCol w:w="1320"/>
        <w:gridCol w:w="1320"/>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df</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5.451</w:t>
            </w:r>
          </w:p>
        </w:tc>
        <w:tc>
          <w:tcPr/>
          <w:p>
            <w:pPr>
              <w:pStyle w:val="Compact"/>
              <w:jc w:val="right"/>
            </w:pPr>
            <w:r>
              <w:t xml:space="preserve">0.007</w:t>
            </w:r>
          </w:p>
        </w:tc>
        <w:tc>
          <w:tcPr/>
          <w:p>
            <w:pPr>
              <w:pStyle w:val="Compact"/>
              <w:jc w:val="right"/>
            </w:pPr>
            <w:r>
              <w:t xml:space="preserve">756.404</w:t>
            </w:r>
          </w:p>
        </w:tc>
        <w:tc>
          <w:tcPr/>
          <w:p>
            <w:pPr>
              <w:pStyle w:val="Compact"/>
              <w:jc w:val="right"/>
            </w:pPr>
            <w:r>
              <w:t xml:space="preserve">62762.541</w:t>
            </w:r>
          </w:p>
        </w:tc>
        <w:tc>
          <w:tcPr/>
          <w:p>
            <w:pPr>
              <w:pStyle w:val="Compact"/>
              <w:jc w:val="right"/>
            </w:pPr>
            <w:r>
              <w:t xml:space="preserve">0</w:t>
            </w:r>
          </w:p>
        </w:tc>
      </w:tr>
      <w:tr>
        <w:tc>
          <w:tcPr/>
          <w:p>
            <w:pPr>
              <w:pStyle w:val="Compact"/>
              <w:jc w:val="left"/>
            </w:pPr>
            <w:r>
              <w:t xml:space="preserve">Wave2020</w:t>
            </w:r>
          </w:p>
        </w:tc>
        <w:tc>
          <w:tcPr/>
          <w:p>
            <w:pPr>
              <w:pStyle w:val="Compact"/>
              <w:jc w:val="right"/>
            </w:pPr>
            <w:r>
              <w:t xml:space="preserve">0.192</w:t>
            </w:r>
          </w:p>
        </w:tc>
        <w:tc>
          <w:tcPr/>
          <w:p>
            <w:pPr>
              <w:pStyle w:val="Compact"/>
              <w:jc w:val="right"/>
            </w:pPr>
            <w:r>
              <w:t xml:space="preserve">0.006</w:t>
            </w:r>
          </w:p>
        </w:tc>
        <w:tc>
          <w:tcPr/>
          <w:p>
            <w:pPr>
              <w:pStyle w:val="Compact"/>
              <w:jc w:val="right"/>
            </w:pPr>
            <w:r>
              <w:t xml:space="preserve">29.781</w:t>
            </w:r>
          </w:p>
        </w:tc>
        <w:tc>
          <w:tcPr/>
          <w:p>
            <w:pPr>
              <w:pStyle w:val="Compact"/>
              <w:jc w:val="right"/>
            </w:pPr>
            <w:r>
              <w:t xml:space="preserve">176.552</w:t>
            </w:r>
          </w:p>
        </w:tc>
        <w:tc>
          <w:tcPr/>
          <w:p>
            <w:pPr>
              <w:pStyle w:val="Compact"/>
              <w:jc w:val="right"/>
            </w:pPr>
            <w:r>
              <w:t xml:space="preserve">0</w:t>
            </w:r>
          </w:p>
        </w:tc>
      </w:tr>
      <w:tr>
        <w:tc>
          <w:tcPr/>
          <w:p>
            <w:pPr>
              <w:pStyle w:val="Compact"/>
              <w:jc w:val="left"/>
            </w:pPr>
            <w:r>
              <w:t xml:space="preserve">Wave2021</w:t>
            </w:r>
          </w:p>
        </w:tc>
        <w:tc>
          <w:tcPr/>
          <w:p>
            <w:pPr>
              <w:pStyle w:val="Compact"/>
              <w:jc w:val="right"/>
            </w:pPr>
            <w:r>
              <w:t xml:space="preserve">0.215</w:t>
            </w:r>
          </w:p>
        </w:tc>
        <w:tc>
          <w:tcPr/>
          <w:p>
            <w:pPr>
              <w:pStyle w:val="Compact"/>
              <w:jc w:val="right"/>
            </w:pPr>
            <w:r>
              <w:t xml:space="preserve">0.007</w:t>
            </w:r>
          </w:p>
        </w:tc>
        <w:tc>
          <w:tcPr/>
          <w:p>
            <w:pPr>
              <w:pStyle w:val="Compact"/>
              <w:jc w:val="right"/>
            </w:pPr>
            <w:r>
              <w:t xml:space="preserve">29.572</w:t>
            </w:r>
          </w:p>
        </w:tc>
        <w:tc>
          <w:tcPr/>
          <w:p>
            <w:pPr>
              <w:pStyle w:val="Compact"/>
              <w:jc w:val="right"/>
            </w:pPr>
            <w:r>
              <w:t xml:space="preserve">146.591</w:t>
            </w:r>
          </w:p>
        </w:tc>
        <w:tc>
          <w:tcPr/>
          <w:p>
            <w:pPr>
              <w:pStyle w:val="Compact"/>
              <w:jc w:val="right"/>
            </w:pPr>
            <w:r>
              <w:t xml:space="preserve">0</w:t>
            </w:r>
          </w:p>
        </w:tc>
      </w:tr>
    </w:tbl>
    <w:p>
      <w:pPr>
        <w:pStyle w:val="BodyText"/>
      </w:pPr>
      <w:r>
        <w:t xml:space="preserve"> </w:t>
      </w:r>
    </w:p>
    <w:p>
      <w:pPr>
        <w:pStyle w:val="TableCaption"/>
      </w:pPr>
      <w:r>
        <w:t xml:space="preserve">Trust in Politicians by NZAVS Wave</w:t>
      </w:r>
      <w:r>
        <w:t xml:space="preserve"> </w:t>
      </w:r>
    </w:p>
    <w:tbl>
      <w:tblPr>
        <w:tblStyle w:val="Table"/>
        <w:tblW w:type="auto" w:w="0"/>
        <w:tblLook w:firstRow="1" w:lastRow="0" w:firstColumn="0" w:lastColumn="0" w:noHBand="0" w:noVBand="0" w:val="0020"/>
        <w:tblCaption w:val="Trust in Politicians by NZAVS Wave "/>
      </w:tblPr>
      <w:tblGrid>
        <w:gridCol w:w="1320"/>
        <w:gridCol w:w="1320"/>
        <w:gridCol w:w="1320"/>
        <w:gridCol w:w="1320"/>
        <w:gridCol w:w="1320"/>
        <w:gridCol w:w="1320"/>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df</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3.736</w:t>
            </w:r>
          </w:p>
        </w:tc>
        <w:tc>
          <w:tcPr/>
          <w:p>
            <w:pPr>
              <w:pStyle w:val="Compact"/>
              <w:jc w:val="right"/>
            </w:pPr>
            <w:r>
              <w:t xml:space="preserve">0.008</w:t>
            </w:r>
          </w:p>
        </w:tc>
        <w:tc>
          <w:tcPr/>
          <w:p>
            <w:pPr>
              <w:pStyle w:val="Compact"/>
              <w:jc w:val="right"/>
            </w:pPr>
            <w:r>
              <w:t xml:space="preserve">441.327</w:t>
            </w:r>
          </w:p>
        </w:tc>
        <w:tc>
          <w:tcPr/>
          <w:p>
            <w:pPr>
              <w:pStyle w:val="Compact"/>
              <w:jc w:val="right"/>
            </w:pPr>
            <w:r>
              <w:t xml:space="preserve">14871.025</w:t>
            </w:r>
          </w:p>
        </w:tc>
        <w:tc>
          <w:tcPr/>
          <w:p>
            <w:pPr>
              <w:pStyle w:val="Compact"/>
              <w:jc w:val="right"/>
            </w:pPr>
            <w:r>
              <w:t xml:space="preserve">0</w:t>
            </w:r>
          </w:p>
        </w:tc>
      </w:tr>
      <w:tr>
        <w:tc>
          <w:tcPr/>
          <w:p>
            <w:pPr>
              <w:pStyle w:val="Compact"/>
              <w:jc w:val="left"/>
            </w:pPr>
            <w:r>
              <w:t xml:space="preserve">Wave2020</w:t>
            </w:r>
          </w:p>
        </w:tc>
        <w:tc>
          <w:tcPr/>
          <w:p>
            <w:pPr>
              <w:pStyle w:val="Compact"/>
              <w:jc w:val="right"/>
            </w:pPr>
            <w:r>
              <w:t xml:space="preserve">0.251</w:t>
            </w:r>
          </w:p>
        </w:tc>
        <w:tc>
          <w:tcPr/>
          <w:p>
            <w:pPr>
              <w:pStyle w:val="Compact"/>
              <w:jc w:val="right"/>
            </w:pPr>
            <w:r>
              <w:t xml:space="preserve">0.009</w:t>
            </w:r>
          </w:p>
        </w:tc>
        <w:tc>
          <w:tcPr/>
          <w:p>
            <w:pPr>
              <w:pStyle w:val="Compact"/>
              <w:jc w:val="right"/>
            </w:pPr>
            <w:r>
              <w:t xml:space="preserve">28.251</w:t>
            </w:r>
          </w:p>
        </w:tc>
        <w:tc>
          <w:tcPr/>
          <w:p>
            <w:pPr>
              <w:pStyle w:val="Compact"/>
              <w:jc w:val="right"/>
            </w:pPr>
            <w:r>
              <w:t xml:space="preserve">93.102</w:t>
            </w:r>
          </w:p>
        </w:tc>
        <w:tc>
          <w:tcPr/>
          <w:p>
            <w:pPr>
              <w:pStyle w:val="Compact"/>
              <w:jc w:val="right"/>
            </w:pPr>
            <w:r>
              <w:t xml:space="preserve">0</w:t>
            </w:r>
          </w:p>
        </w:tc>
      </w:tr>
      <w:tr>
        <w:tc>
          <w:tcPr/>
          <w:p>
            <w:pPr>
              <w:pStyle w:val="Compact"/>
              <w:jc w:val="left"/>
            </w:pPr>
            <w:r>
              <w:t xml:space="preserve">Wave2021</w:t>
            </w:r>
          </w:p>
        </w:tc>
        <w:tc>
          <w:tcPr/>
          <w:p>
            <w:pPr>
              <w:pStyle w:val="Compact"/>
              <w:jc w:val="right"/>
            </w:pPr>
            <w:r>
              <w:t xml:space="preserve">0.080</w:t>
            </w:r>
          </w:p>
        </w:tc>
        <w:tc>
          <w:tcPr/>
          <w:p>
            <w:pPr>
              <w:pStyle w:val="Compact"/>
              <w:jc w:val="right"/>
            </w:pPr>
            <w:r>
              <w:t xml:space="preserve">0.009</w:t>
            </w:r>
          </w:p>
        </w:tc>
        <w:tc>
          <w:tcPr/>
          <w:p>
            <w:pPr>
              <w:pStyle w:val="Compact"/>
              <w:jc w:val="right"/>
            </w:pPr>
            <w:r>
              <w:t xml:space="preserve">8.803</w:t>
            </w:r>
          </w:p>
        </w:tc>
        <w:tc>
          <w:tcPr/>
          <w:p>
            <w:pPr>
              <w:pStyle w:val="Compact"/>
              <w:jc w:val="right"/>
            </w:pPr>
            <w:r>
              <w:t xml:space="preserve">259.975</w:t>
            </w:r>
          </w:p>
        </w:tc>
        <w:tc>
          <w:tcPr/>
          <w:p>
            <w:pPr>
              <w:pStyle w:val="Compact"/>
              <w:jc w:val="right"/>
            </w:pPr>
            <w:r>
              <w:t xml:space="preserve">0</w:t>
            </w:r>
          </w:p>
        </w:tc>
      </w:tr>
    </w:tbl>
    <w:p>
      <w:pPr>
        <w:pStyle w:val="BodyText"/>
      </w:pPr>
      <w:r>
        <w:t xml:space="preserve"> </w:t>
      </w:r>
    </w:p>
    <w:p>
      <w:pPr>
        <w:pStyle w:val="TableCaption"/>
      </w:pPr>
      <w:r>
        <w:t xml:space="preserve">Trust in Police by NZAVS Wave</w:t>
      </w:r>
      <w:r>
        <w:t xml:space="preserve"> </w:t>
      </w:r>
    </w:p>
    <w:tbl>
      <w:tblPr>
        <w:tblStyle w:val="Table"/>
        <w:tblW w:type="auto" w:w="0"/>
        <w:tblLook w:firstRow="1" w:lastRow="0" w:firstColumn="0" w:lastColumn="0" w:noHBand="0" w:noVBand="0" w:val="0020"/>
        <w:tblCaption w:val="Trust in Police by NZAVS Wave "/>
      </w:tblPr>
      <w:tblGrid>
        <w:gridCol w:w="1320"/>
        <w:gridCol w:w="1320"/>
        <w:gridCol w:w="1320"/>
        <w:gridCol w:w="1320"/>
        <w:gridCol w:w="1320"/>
        <w:gridCol w:w="1320"/>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df</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4.539</w:t>
            </w:r>
          </w:p>
        </w:tc>
        <w:tc>
          <w:tcPr/>
          <w:p>
            <w:pPr>
              <w:pStyle w:val="Compact"/>
              <w:jc w:val="right"/>
            </w:pPr>
            <w:r>
              <w:t xml:space="preserve">0.008</w:t>
            </w:r>
          </w:p>
        </w:tc>
        <w:tc>
          <w:tcPr/>
          <w:p>
            <w:pPr>
              <w:pStyle w:val="Compact"/>
              <w:jc w:val="right"/>
            </w:pPr>
            <w:r>
              <w:t xml:space="preserve">574.900</w:t>
            </w:r>
          </w:p>
        </w:tc>
        <w:tc>
          <w:tcPr/>
          <w:p>
            <w:pPr>
              <w:pStyle w:val="Compact"/>
              <w:jc w:val="right"/>
            </w:pPr>
            <w:r>
              <w:t xml:space="preserve">103491.441</w:t>
            </w:r>
          </w:p>
        </w:tc>
        <w:tc>
          <w:tcPr/>
          <w:p>
            <w:pPr>
              <w:pStyle w:val="Compact"/>
              <w:jc w:val="right"/>
            </w:pPr>
            <w:r>
              <w:t xml:space="preserve">0</w:t>
            </w:r>
          </w:p>
        </w:tc>
      </w:tr>
      <w:tr>
        <w:tc>
          <w:tcPr/>
          <w:p>
            <w:pPr>
              <w:pStyle w:val="Compact"/>
              <w:jc w:val="left"/>
            </w:pPr>
            <w:r>
              <w:t xml:space="preserve">Wave2020</w:t>
            </w:r>
          </w:p>
        </w:tc>
        <w:tc>
          <w:tcPr/>
          <w:p>
            <w:pPr>
              <w:pStyle w:val="Compact"/>
              <w:jc w:val="right"/>
            </w:pPr>
            <w:r>
              <w:t xml:space="preserve">-0.110</w:t>
            </w:r>
          </w:p>
        </w:tc>
        <w:tc>
          <w:tcPr/>
          <w:p>
            <w:pPr>
              <w:pStyle w:val="Compact"/>
              <w:jc w:val="right"/>
            </w:pPr>
            <w:r>
              <w:t xml:space="preserve">0.007</w:t>
            </w:r>
          </w:p>
        </w:tc>
        <w:tc>
          <w:tcPr/>
          <w:p>
            <w:pPr>
              <w:pStyle w:val="Compact"/>
              <w:jc w:val="right"/>
            </w:pPr>
            <w:r>
              <w:t xml:space="preserve">-16.752</w:t>
            </w:r>
          </w:p>
        </w:tc>
        <w:tc>
          <w:tcPr/>
          <w:p>
            <w:pPr>
              <w:pStyle w:val="Compact"/>
              <w:jc w:val="right"/>
            </w:pPr>
            <w:r>
              <w:t xml:space="preserve">111.240</w:t>
            </w:r>
          </w:p>
        </w:tc>
        <w:tc>
          <w:tcPr/>
          <w:p>
            <w:pPr>
              <w:pStyle w:val="Compact"/>
              <w:jc w:val="right"/>
            </w:pPr>
            <w:r>
              <w:t xml:space="preserve">0</w:t>
            </w:r>
          </w:p>
        </w:tc>
      </w:tr>
      <w:tr>
        <w:tc>
          <w:tcPr/>
          <w:p>
            <w:pPr>
              <w:pStyle w:val="Compact"/>
              <w:jc w:val="left"/>
            </w:pPr>
            <w:r>
              <w:t xml:space="preserve">Wave2021</w:t>
            </w:r>
          </w:p>
        </w:tc>
        <w:tc>
          <w:tcPr/>
          <w:p>
            <w:pPr>
              <w:pStyle w:val="Compact"/>
              <w:jc w:val="right"/>
            </w:pPr>
            <w:r>
              <w:t xml:space="preserve">-0.247</w:t>
            </w:r>
          </w:p>
        </w:tc>
        <w:tc>
          <w:tcPr/>
          <w:p>
            <w:pPr>
              <w:pStyle w:val="Compact"/>
              <w:jc w:val="right"/>
            </w:pPr>
            <w:r>
              <w:t xml:space="preserve">0.008</w:t>
            </w:r>
          </w:p>
        </w:tc>
        <w:tc>
          <w:tcPr/>
          <w:p>
            <w:pPr>
              <w:pStyle w:val="Compact"/>
              <w:jc w:val="right"/>
            </w:pPr>
            <w:r>
              <w:t xml:space="preserve">-31.849</w:t>
            </w:r>
          </w:p>
        </w:tc>
        <w:tc>
          <w:tcPr/>
          <w:p>
            <w:pPr>
              <w:pStyle w:val="Compact"/>
              <w:jc w:val="right"/>
            </w:pPr>
            <w:r>
              <w:t xml:space="preserve">133.079</w:t>
            </w:r>
          </w:p>
        </w:tc>
        <w:tc>
          <w:tcPr/>
          <w:p>
            <w:pPr>
              <w:pStyle w:val="Compact"/>
              <w:jc w:val="right"/>
            </w:pPr>
            <w:r>
              <w:t xml:space="preserve">0</w:t>
            </w:r>
          </w:p>
        </w:tc>
      </w:tr>
    </w:tbl>
    <w:p>
      <w:pPr>
        <w:pStyle w:val="BodyText"/>
      </w:pPr>
      <w:r>
        <w:t xml:space="preserve"> </w:t>
      </w:r>
    </w:p>
    <w:p>
      <w:pPr>
        <w:pStyle w:val="TableCaption"/>
      </w:pPr>
      <w:r>
        <w:t xml:space="preserve">Trust in Science by NZAVS Wave</w:t>
      </w:r>
      <w:r>
        <w:t xml:space="preserve"> </w:t>
      </w:r>
    </w:p>
    <w:tbl>
      <w:tblPr>
        <w:tblStyle w:val="Table"/>
        <w:tblW w:type="auto" w:w="0"/>
        <w:tblLook w:firstRow="1" w:lastRow="0" w:firstColumn="0" w:lastColumn="0" w:noHBand="0" w:noVBand="0" w:val="0020"/>
        <w:tblCaption w:val="Trust in Science by NZAVS Wave "/>
      </w:tblPr>
      <w:tblGrid>
        <w:gridCol w:w="1320"/>
        <w:gridCol w:w="1320"/>
        <w:gridCol w:w="1320"/>
        <w:gridCol w:w="1320"/>
        <w:gridCol w:w="1320"/>
        <w:gridCol w:w="1320"/>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df</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5.614</w:t>
            </w:r>
          </w:p>
        </w:tc>
        <w:tc>
          <w:tcPr/>
          <w:p>
            <w:pPr>
              <w:pStyle w:val="Compact"/>
              <w:jc w:val="right"/>
            </w:pPr>
            <w:r>
              <w:t xml:space="preserve">0.011</w:t>
            </w:r>
          </w:p>
        </w:tc>
        <w:tc>
          <w:tcPr/>
          <w:p>
            <w:pPr>
              <w:pStyle w:val="Compact"/>
              <w:jc w:val="right"/>
            </w:pPr>
            <w:r>
              <w:t xml:space="preserve">523.237</w:t>
            </w:r>
          </w:p>
        </w:tc>
        <w:tc>
          <w:tcPr/>
          <w:p>
            <w:pPr>
              <w:pStyle w:val="Compact"/>
              <w:jc w:val="right"/>
            </w:pPr>
            <w:r>
              <w:t xml:space="preserve">103.496</w:t>
            </w:r>
          </w:p>
        </w:tc>
        <w:tc>
          <w:tcPr/>
          <w:p>
            <w:pPr>
              <w:pStyle w:val="Compact"/>
              <w:jc w:val="right"/>
            </w:pPr>
            <w:r>
              <w:t xml:space="preserve">0</w:t>
            </w:r>
          </w:p>
        </w:tc>
      </w:tr>
      <w:tr>
        <w:tc>
          <w:tcPr/>
          <w:p>
            <w:pPr>
              <w:pStyle w:val="Compact"/>
              <w:jc w:val="left"/>
            </w:pPr>
            <w:r>
              <w:t xml:space="preserve">Wave2021</w:t>
            </w:r>
          </w:p>
        </w:tc>
        <w:tc>
          <w:tcPr/>
          <w:p>
            <w:pPr>
              <w:pStyle w:val="Compact"/>
              <w:jc w:val="right"/>
            </w:pPr>
            <w:r>
              <w:t xml:space="preserve">-0.903</w:t>
            </w:r>
          </w:p>
        </w:tc>
        <w:tc>
          <w:tcPr/>
          <w:p>
            <w:pPr>
              <w:pStyle w:val="Compact"/>
              <w:jc w:val="right"/>
            </w:pPr>
            <w:r>
              <w:t xml:space="preserve">0.011</w:t>
            </w:r>
          </w:p>
        </w:tc>
        <w:tc>
          <w:tcPr/>
          <w:p>
            <w:pPr>
              <w:pStyle w:val="Compact"/>
              <w:jc w:val="right"/>
            </w:pPr>
            <w:r>
              <w:t xml:space="preserve">-81.429</w:t>
            </w:r>
          </w:p>
        </w:tc>
        <w:tc>
          <w:tcPr/>
          <w:p>
            <w:pPr>
              <w:pStyle w:val="Compact"/>
              <w:jc w:val="right"/>
            </w:pPr>
            <w:r>
              <w:t xml:space="preserve">67.518</w:t>
            </w:r>
          </w:p>
        </w:tc>
        <w:tc>
          <w:tcPr/>
          <w:p>
            <w:pPr>
              <w:pStyle w:val="Compact"/>
              <w:jc w:val="right"/>
            </w:pPr>
            <w:r>
              <w:t xml:space="preserve">0</w:t>
            </w:r>
          </w:p>
        </w:tc>
      </w:tr>
    </w:tbl>
    <w:p>
      <w:pPr>
        <w:pStyle w:val="BodyText"/>
      </w:pPr>
      <w:r>
        <w:t xml:space="preserve"> </w:t>
      </w:r>
    </w:p>
    <w:p>
      <w:pPr>
        <w:pStyle w:val="TableCaption"/>
      </w:pPr>
      <w:r>
        <w:t xml:space="preserve">Conspiracy Beliefs by NZAVS Wave</w:t>
      </w:r>
      <w:r>
        <w:t xml:space="preserve"> </w:t>
      </w:r>
    </w:p>
    <w:tbl>
      <w:tblPr>
        <w:tblStyle w:val="Table"/>
        <w:tblW w:type="auto" w:w="0"/>
        <w:tblLook w:firstRow="1" w:lastRow="0" w:firstColumn="0" w:lastColumn="0" w:noHBand="0" w:noVBand="0" w:val="0020"/>
        <w:tblCaption w:val="Conspiracy Beliefs by NZAVS Wave "/>
      </w:tblPr>
      <w:tblGrid>
        <w:gridCol w:w="1320"/>
        <w:gridCol w:w="1320"/>
        <w:gridCol w:w="1320"/>
        <w:gridCol w:w="1320"/>
        <w:gridCol w:w="1320"/>
        <w:gridCol w:w="1320"/>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df</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4.362</w:t>
            </w:r>
          </w:p>
        </w:tc>
        <w:tc>
          <w:tcPr/>
          <w:p>
            <w:pPr>
              <w:pStyle w:val="Compact"/>
              <w:jc w:val="right"/>
            </w:pPr>
            <w:r>
              <w:t xml:space="preserve">0.009</w:t>
            </w:r>
          </w:p>
        </w:tc>
        <w:tc>
          <w:tcPr/>
          <w:p>
            <w:pPr>
              <w:pStyle w:val="Compact"/>
              <w:jc w:val="right"/>
            </w:pPr>
            <w:r>
              <w:t xml:space="preserve">464.975</w:t>
            </w:r>
          </w:p>
        </w:tc>
        <w:tc>
          <w:tcPr/>
          <w:p>
            <w:pPr>
              <w:pStyle w:val="Compact"/>
              <w:jc w:val="right"/>
            </w:pPr>
            <w:r>
              <w:t xml:space="preserve">4101.840</w:t>
            </w:r>
          </w:p>
        </w:tc>
        <w:tc>
          <w:tcPr/>
          <w:p>
            <w:pPr>
              <w:pStyle w:val="Compact"/>
              <w:jc w:val="right"/>
            </w:pPr>
            <w:r>
              <w:t xml:space="preserve">0</w:t>
            </w:r>
          </w:p>
        </w:tc>
      </w:tr>
      <w:tr>
        <w:tc>
          <w:tcPr/>
          <w:p>
            <w:pPr>
              <w:pStyle w:val="Compact"/>
              <w:jc w:val="left"/>
            </w:pPr>
            <w:r>
              <w:t xml:space="preserve">Wave2020</w:t>
            </w:r>
          </w:p>
        </w:tc>
        <w:tc>
          <w:tcPr/>
          <w:p>
            <w:pPr>
              <w:pStyle w:val="Compact"/>
              <w:jc w:val="right"/>
            </w:pPr>
            <w:r>
              <w:t xml:space="preserve">-0.251</w:t>
            </w:r>
          </w:p>
        </w:tc>
        <w:tc>
          <w:tcPr/>
          <w:p>
            <w:pPr>
              <w:pStyle w:val="Compact"/>
              <w:jc w:val="right"/>
            </w:pPr>
            <w:r>
              <w:t xml:space="preserve">0.012</w:t>
            </w:r>
          </w:p>
        </w:tc>
        <w:tc>
          <w:tcPr/>
          <w:p>
            <w:pPr>
              <w:pStyle w:val="Compact"/>
              <w:jc w:val="right"/>
            </w:pPr>
            <w:r>
              <w:t xml:space="preserve">-20.768</w:t>
            </w:r>
          </w:p>
        </w:tc>
        <w:tc>
          <w:tcPr/>
          <w:p>
            <w:pPr>
              <w:pStyle w:val="Compact"/>
              <w:jc w:val="right"/>
            </w:pPr>
            <w:r>
              <w:t xml:space="preserve">49.163</w:t>
            </w:r>
          </w:p>
        </w:tc>
        <w:tc>
          <w:tcPr/>
          <w:p>
            <w:pPr>
              <w:pStyle w:val="Compact"/>
              <w:jc w:val="right"/>
            </w:pPr>
            <w:r>
              <w:t xml:space="preserve">0</w:t>
            </w:r>
          </w:p>
        </w:tc>
      </w:tr>
      <w:tr>
        <w:tc>
          <w:tcPr/>
          <w:p>
            <w:pPr>
              <w:pStyle w:val="Compact"/>
              <w:jc w:val="left"/>
            </w:pPr>
            <w:r>
              <w:t xml:space="preserve">Wave2021</w:t>
            </w:r>
          </w:p>
        </w:tc>
        <w:tc>
          <w:tcPr/>
          <w:p>
            <w:pPr>
              <w:pStyle w:val="Compact"/>
              <w:jc w:val="right"/>
            </w:pPr>
            <w:r>
              <w:t xml:space="preserve">-0.308</w:t>
            </w:r>
          </w:p>
        </w:tc>
        <w:tc>
          <w:tcPr/>
          <w:p>
            <w:pPr>
              <w:pStyle w:val="Compact"/>
              <w:jc w:val="right"/>
            </w:pPr>
            <w:r>
              <w:t xml:space="preserve">0.013</w:t>
            </w:r>
          </w:p>
        </w:tc>
        <w:tc>
          <w:tcPr/>
          <w:p>
            <w:pPr>
              <w:pStyle w:val="Compact"/>
              <w:jc w:val="right"/>
            </w:pPr>
            <w:r>
              <w:t xml:space="preserve">-23.368</w:t>
            </w:r>
          </w:p>
        </w:tc>
        <w:tc>
          <w:tcPr/>
          <w:p>
            <w:pPr>
              <w:pStyle w:val="Compact"/>
              <w:jc w:val="right"/>
            </w:pPr>
            <w:r>
              <w:t xml:space="preserve">48.228</w:t>
            </w:r>
          </w:p>
        </w:tc>
        <w:tc>
          <w:tcPr/>
          <w:p>
            <w:pPr>
              <w:pStyle w:val="Compact"/>
              <w:jc w:val="right"/>
            </w:pPr>
            <w:r>
              <w:t xml:space="preserve">0</w:t>
            </w:r>
          </w:p>
        </w:tc>
      </w:tr>
    </w:tbl>
    <w:p>
      <w:pPr>
        <w:pStyle w:val="BodyText"/>
      </w:pPr>
      <w:r>
        <w:t xml:space="preserve">The results reflect findings in the descriptiove tables.</w:t>
      </w:r>
    </w:p>
    <w:bookmarkStart w:id="37" w:name="trust-in-science-by-nzavs-wave"/>
    <w:p>
      <w:pPr>
        <w:pStyle w:val="Heading4"/>
      </w:pPr>
      <w:r>
        <w:t xml:space="preserve">Trust in Science by NZAVS Wave:</w:t>
      </w:r>
    </w:p>
    <w:p>
      <w:pPr>
        <w:numPr>
          <w:ilvl w:val="0"/>
          <w:numId w:val="1007"/>
        </w:numPr>
        <w:pStyle w:val="Compact"/>
      </w:pPr>
      <w:r>
        <w:t xml:space="preserve">From 2019 to 2020, trust in science reliably increased (estimate = 0.192, p &lt; 0.001).</w:t>
      </w:r>
    </w:p>
    <w:p>
      <w:pPr>
        <w:numPr>
          <w:ilvl w:val="0"/>
          <w:numId w:val="1007"/>
        </w:numPr>
        <w:pStyle w:val="Compact"/>
      </w:pPr>
      <w:r>
        <w:t xml:space="preserve">From 2019 to 2021, trust in science also reliably increased (estimate = 0.215, p &lt; 0.001).</w:t>
      </w:r>
    </w:p>
    <w:p>
      <w:pPr>
        <w:pStyle w:val="FirstParagraph"/>
      </w:pPr>
      <w:r>
        <w:t xml:space="preserve">There is no downward trend in average Trust in Science.</w:t>
      </w:r>
    </w:p>
    <w:bookmarkEnd w:id="37"/>
    <w:bookmarkStart w:id="38" w:name="trust-in-politicians-by-nzavs-wave"/>
    <w:p>
      <w:pPr>
        <w:pStyle w:val="Heading4"/>
      </w:pPr>
      <w:r>
        <w:t xml:space="preserve">Trust in Politicians by NZAVS Wave:</w:t>
      </w:r>
    </w:p>
    <w:p>
      <w:pPr>
        <w:numPr>
          <w:ilvl w:val="0"/>
          <w:numId w:val="1008"/>
        </w:numPr>
        <w:pStyle w:val="Compact"/>
      </w:pPr>
      <w:r>
        <w:t xml:space="preserve">From 2019 to 2020, the increase in trust in politicians was reliable (estimate = 0.251, p &lt; 0.001).</w:t>
      </w:r>
    </w:p>
    <w:p>
      <w:pPr>
        <w:numPr>
          <w:ilvl w:val="0"/>
          <w:numId w:val="1008"/>
        </w:numPr>
        <w:pStyle w:val="Compact"/>
      </w:pPr>
      <w:r>
        <w:t xml:space="preserve">From 2019 to 2021, the increase in trust in politicians was also reliable (estimate = 0.080, p &lt; 0.001).</w:t>
      </w:r>
    </w:p>
    <w:p>
      <w:pPr>
        <w:pStyle w:val="FirstParagraph"/>
      </w:pPr>
      <w:r>
        <w:t xml:space="preserve">Comparisons here are with the baseline wave, comparing 2019 and 2021 we find evidence for regression to the baseline wave. Whereas trust in politicians increased during the initial COVID-19 attack and response, gains to average trust appear to have been dropping.</w:t>
      </w:r>
    </w:p>
    <w:bookmarkEnd w:id="38"/>
    <w:bookmarkStart w:id="39" w:name="trust-in-police-by-nzavs-wave"/>
    <w:p>
      <w:pPr>
        <w:pStyle w:val="Heading4"/>
      </w:pPr>
      <w:r>
        <w:t xml:space="preserve">Trust in Police by NZAVS Wave:</w:t>
      </w:r>
    </w:p>
    <w:p>
      <w:pPr>
        <w:numPr>
          <w:ilvl w:val="0"/>
          <w:numId w:val="1009"/>
        </w:numPr>
        <w:pStyle w:val="Compact"/>
      </w:pPr>
      <w:r>
        <w:t xml:space="preserve">From 2019 to 2020, the decrease in trust in police was reliable (estimate = -0.110, p &lt; 0.001).</w:t>
      </w:r>
    </w:p>
    <w:p>
      <w:pPr>
        <w:numPr>
          <w:ilvl w:val="0"/>
          <w:numId w:val="1009"/>
        </w:numPr>
        <w:pStyle w:val="Compact"/>
      </w:pPr>
      <w:r>
        <w:t xml:space="preserve">From 2019 to 2021, the decrease in trust in police was also reliable (estimate = -0.247, p &lt; 0.001).</w:t>
      </w:r>
    </w:p>
    <w:p>
      <w:pPr>
        <w:pStyle w:val="FirstParagraph"/>
      </w:pPr>
      <w:r>
        <w:t xml:space="preserve">Here we find evidence for declining Trust in the NZ police. Notably, however, overall levels of Trust in the NZ police remain high.</w:t>
      </w:r>
    </w:p>
    <w:bookmarkEnd w:id="39"/>
    <w:bookmarkStart w:id="40" w:name="Xe1900f36a1238aac3603e832fa69f1760cb348c"/>
    <w:p>
      <w:pPr>
        <w:pStyle w:val="Heading4"/>
      </w:pPr>
      <w:r>
        <w:t xml:space="preserve">Trust in Government COVID Response by NZAVS Wave (only two waves):</w:t>
      </w:r>
    </w:p>
    <w:p>
      <w:pPr>
        <w:numPr>
          <w:ilvl w:val="0"/>
          <w:numId w:val="1010"/>
        </w:numPr>
        <w:pStyle w:val="Compact"/>
      </w:pPr>
      <w:r>
        <w:t xml:space="preserve">From 2019 to 2021, the decrease in trust in the NZ government’s COVID response was reliable (estimate = -0.903, p &lt; 0.001). This represents a major drop in confidence. Notably, this drop in confidence for the NZ government’s COVID response has not considerably affected attitudes to science.</w:t>
      </w:r>
    </w:p>
    <w:bookmarkEnd w:id="40"/>
    <w:bookmarkStart w:id="41" w:name="conspiracy-beliefs"/>
    <w:p>
      <w:pPr>
        <w:pStyle w:val="Heading4"/>
      </w:pPr>
      <w:r>
        <w:t xml:space="preserve">Conspiracy Beliefs:</w:t>
      </w:r>
    </w:p>
    <w:p>
      <w:pPr>
        <w:numPr>
          <w:ilvl w:val="0"/>
          <w:numId w:val="1011"/>
        </w:numPr>
        <w:pStyle w:val="Compact"/>
      </w:pPr>
      <w:r>
        <w:t xml:space="preserve">From 2019 to 2020, the decrease in conspiracy beliefs was reliable (estimate = -0.251, p &lt; 0.001).</w:t>
      </w:r>
    </w:p>
    <w:p>
      <w:pPr>
        <w:numPr>
          <w:ilvl w:val="0"/>
          <w:numId w:val="1011"/>
        </w:numPr>
        <w:pStyle w:val="Compact"/>
      </w:pPr>
      <w:r>
        <w:t xml:space="preserve">From 2019 to 2021, the decrease in conspiracy beliefs was also reliable (estimate = -0.308, p &lt; 0.001).</w:t>
      </w:r>
    </w:p>
    <w:p>
      <w:pPr>
        <w:pStyle w:val="FirstParagraph"/>
      </w:pPr>
      <w:r>
        <w:t xml:space="preserve">On average, we find that conspiracy beliefs are falling. However, this evidence is based on the assumptions that the model we have used impute missing conspiracy beliefs is adequate. It is possible that real change in conspiracy beliefs, and indeed for all imputed variables differs from what we have recovered in the imputation model.</w:t>
      </w:r>
    </w:p>
    <w:bookmarkEnd w:id="41"/>
    <w:bookmarkEnd w:id="42"/>
    <w:bookmarkStart w:id="43" w:name="summary"/>
    <w:p>
      <w:pPr>
        <w:pStyle w:val="Heading3"/>
      </w:pPr>
      <w:r>
        <w:t xml:space="preserve">Summary</w:t>
      </w:r>
    </w:p>
    <w:p>
      <w:pPr>
        <w:pStyle w:val="FirstParagraph"/>
      </w:pPr>
      <w:r>
        <w:t xml:space="preserve">The results indicate a reliable increase in trust in science from 2019 to 2020, and that this shift has remained constant. In contrast, changes in trust in politicians, trust in police, trust in the government’s COVID response, across the waves were generally unreliable. Evidence suggests that average conspiracy beliefs may have declined.</w:t>
      </w:r>
    </w:p>
    <w:p>
      <w:pPr>
        <w:pStyle w:val="BodyText"/>
      </w:pPr>
      <w:r>
        <w:t xml:space="preserve">The preliminary findings merit further research.</w:t>
      </w:r>
    </w:p>
    <w:p>
      <w:pPr>
        <w:pStyle w:val="BodyText"/>
      </w:pPr>
      <w:r>
        <w:t xml:space="preserve">Firstly, multiple imputation models rely on assumptions. These assumptions must be tested.</w:t>
      </w:r>
    </w:p>
    <w:p>
      <w:pPr>
        <w:pStyle w:val="BodyText"/>
      </w:pPr>
      <w:r>
        <w:t xml:space="preserve">Secondly, when a population becomes more polarized, the average response may be misleading, potentially indicating no change. We must investigate change at the margins of reponse, not merely at the average response.</w:t>
      </w:r>
    </w:p>
    <w:p>
      <w:pPr>
        <w:pStyle w:val="BodyText"/>
      </w:pPr>
      <w:r>
        <w:t xml:space="preserve">Thirdly, we need not assume that the items model a univariate latent construct. We might instead model items from the scales individually, as suggested by</w:t>
      </w:r>
      <w:r>
        <w:t xml:space="preserve"> </w:t>
      </w:r>
      <w:r>
        <w:t xml:space="preserve">VanderWeele (2022)</w:t>
      </w:r>
      <w:r>
        <w:t xml:space="preserve">.</w:t>
      </w:r>
    </w:p>
    <w:p>
      <w:pPr>
        <w:pStyle w:val="BodyText"/>
      </w:pPr>
      <w:r>
        <w:t xml:space="preserve">In the near future, that address these challenges. Stay tuned!</w:t>
      </w:r>
    </w:p>
    <w:bookmarkEnd w:id="43"/>
    <w:bookmarkStart w:id="58" w:name="Xbed34af46bc4feb96d910c8754dfd289f248d89"/>
    <w:p>
      <w:pPr>
        <w:pStyle w:val="Heading3"/>
      </w:pPr>
      <w:r>
        <w:t xml:space="preserve">Information about the New Zealand Attitudes and Values Study.</w:t>
      </w:r>
    </w:p>
    <w:p>
      <w:pPr>
        <w:pStyle w:val="FirstParagraph"/>
      </w:pPr>
      <w:r>
        <w:t xml:space="preserve">For more information about the NZAVS see:</w:t>
      </w:r>
      <w:r>
        <w:t xml:space="preserve"> </w:t>
      </w:r>
      <w:hyperlink r:id="rId44">
        <w:r>
          <w:rPr>
            <w:rStyle w:val="Hyperlink"/>
          </w:rPr>
          <w:t xml:space="preserve">here</w:t>
        </w:r>
      </w:hyperlink>
      <w:r>
        <w:t xml:space="preserve"> </w:t>
      </w:r>
      <w:r>
        <w:t xml:space="preserve">and</w:t>
      </w:r>
      <w:r>
        <w:t xml:space="preserve"> </w:t>
      </w:r>
      <w:hyperlink r:id="rId45">
        <w:r>
          <w:rPr>
            <w:rStyle w:val="Hyperlink"/>
          </w:rPr>
          <w:t xml:space="preserve">here</w:t>
        </w:r>
      </w:hyperlink>
    </w:p>
    <w:bookmarkStart w:id="57" w:name="refs"/>
    <w:bookmarkStart w:id="47" w:name="ref-hartman2017"/>
    <w:p>
      <w:pPr>
        <w:pStyle w:val="Bibliography"/>
      </w:pPr>
      <w:r>
        <w:t xml:space="preserve">Hartman, Robert O., Nathan F. Dieckmann, Amber M. Sprenger, Bradley J. Stastny, and Kenneth G. DeMarree. 2017.</w:t>
      </w:r>
      <w:r>
        <w:t xml:space="preserve"> </w:t>
      </w:r>
      <w:r>
        <w:t xml:space="preserve">“Modeling Attitudes Toward Science: Development and Validation of the Credibility of Science Scale.”</w:t>
      </w:r>
      <w:r>
        <w:t xml:space="preserve"> </w:t>
      </w:r>
      <w:r>
        <w:rPr>
          <w:iCs/>
          <w:i/>
        </w:rPr>
        <w:t xml:space="preserve">Basic and Applied Social Psychology</w:t>
      </w:r>
      <w:r>
        <w:t xml:space="preserve"> </w:t>
      </w:r>
      <w:r>
        <w:t xml:space="preserve">39: 358–71.</w:t>
      </w:r>
      <w:r>
        <w:t xml:space="preserve"> </w:t>
      </w:r>
      <w:hyperlink r:id="rId46">
        <w:r>
          <w:rPr>
            <w:rStyle w:val="Hyperlink"/>
          </w:rPr>
          <w:t xml:space="preserve">https://doi.org/10.1080/01973533.2017.1372284</w:t>
        </w:r>
      </w:hyperlink>
      <w:r>
        <w:t xml:space="preserve">.</w:t>
      </w:r>
    </w:p>
    <w:bookmarkEnd w:id="47"/>
    <w:bookmarkStart w:id="48" w:name="ref-lantian2016"/>
    <w:p>
      <w:pPr>
        <w:pStyle w:val="Bibliography"/>
      </w:pPr>
      <w:r>
        <w:t xml:space="preserve">Lantian, Anthony, Dominique Muller, Cécile Nurra, and Karen M Douglas. 2016.</w:t>
      </w:r>
      <w:r>
        <w:t xml:space="preserve"> </w:t>
      </w:r>
      <w:r>
        <w:t xml:space="preserve">“Measuring Belief in Conspiracy Theories: Validation of a French and English Single-Item Scale.”</w:t>
      </w:r>
      <w:r>
        <w:t xml:space="preserve"> </w:t>
      </w:r>
      <w:r>
        <w:rPr>
          <w:iCs/>
          <w:i/>
        </w:rPr>
        <w:t xml:space="preserve">International Review of Social Psychology</w:t>
      </w:r>
      <w:r>
        <w:t xml:space="preserve"> </w:t>
      </w:r>
      <w:r>
        <w:t xml:space="preserve">29 (1): 114.</w:t>
      </w:r>
    </w:p>
    <w:bookmarkEnd w:id="48"/>
    <w:bookmarkStart w:id="49" w:name="ref-marques2022"/>
    <w:p>
      <w:pPr>
        <w:pStyle w:val="Bibliography"/>
      </w:pPr>
      <w:r>
        <w:t xml:space="preserve">Marques, Mathew D, Chris G Sibley, Marc Wilson, Joseph A Bulbulia, Danny Osborne, Kumar Yogeeswaran, Carol Lee, Isabelle M Duck, Karen Douglas, and Aleksandra Cichocka. 2022.</w:t>
      </w:r>
      <w:r>
        <w:t xml:space="preserve"> </w:t>
      </w:r>
      <w:r>
        <w:t xml:space="preserve">“Psychological Predictors of COVID-19 Vaccination in New Zealand.”</w:t>
      </w:r>
    </w:p>
    <w:bookmarkEnd w:id="49"/>
    <w:bookmarkStart w:id="51" w:name="ref-nisbet2015"/>
    <w:p>
      <w:pPr>
        <w:pStyle w:val="Bibliography"/>
      </w:pPr>
      <w:r>
        <w:t xml:space="preserve">Nisbet, Erik C., Kathryn E. Cooper, and R. Kelly Garrett. 2015.</w:t>
      </w:r>
      <w:r>
        <w:t xml:space="preserve"> </w:t>
      </w:r>
      <w:r>
        <w:t xml:space="preserve">“The Partisan Brain: How Dissonant Science Messages Lead Conservatives and Liberals to (Dis)trust Science.”</w:t>
      </w:r>
      <w:r>
        <w:t xml:space="preserve"> </w:t>
      </w:r>
      <w:r>
        <w:rPr>
          <w:iCs/>
          <w:i/>
        </w:rPr>
        <w:t xml:space="preserve">The ANNALS of the American Academy of Political and Social Science</w:t>
      </w:r>
      <w:r>
        <w:t xml:space="preserve"> </w:t>
      </w:r>
      <w:r>
        <w:t xml:space="preserve">658 (1): 36–66.</w:t>
      </w:r>
      <w:r>
        <w:t xml:space="preserve"> </w:t>
      </w:r>
      <w:hyperlink r:id="rId50">
        <w:r>
          <w:rPr>
            <w:rStyle w:val="Hyperlink"/>
          </w:rPr>
          <w:t xml:space="preserve">https://doi.org/10.1177/0002716214555474</w:t>
        </w:r>
      </w:hyperlink>
      <w:r>
        <w:t xml:space="preserve">.</w:t>
      </w:r>
    </w:p>
    <w:bookmarkEnd w:id="51"/>
    <w:bookmarkStart w:id="53" w:name="ref-sibley2020"/>
    <w:p>
      <w:pPr>
        <w:pStyle w:val="Bibliography"/>
      </w:pPr>
      <w:r>
        <w:t xml:space="preserve">Sibley, Chris G, Lara Greaves, Nicole Satherley, Petar Milojev, Joseph Bulbulia, Fiona Barlow, Danny Osborne, et al. 2020.</w:t>
      </w:r>
      <w:r>
        <w:t xml:space="preserve"> </w:t>
      </w:r>
      <w:r>
        <w:t xml:space="preserve">“What Happened to People in New Zealand During Covid-19 Home Lockdown? Institutional Trust, Attitudes to Government, Mental Health and Subjective Wellbeing.”</w:t>
      </w:r>
      <w:r>
        <w:t xml:space="preserve"> </w:t>
      </w:r>
      <w:hyperlink r:id="rId52">
        <w:r>
          <w:rPr>
            <w:rStyle w:val="Hyperlink"/>
          </w:rPr>
          <w:t xml:space="preserve">osf.io/e765a</w:t>
        </w:r>
      </w:hyperlink>
      <w:r>
        <w:t xml:space="preserve">.</w:t>
      </w:r>
    </w:p>
    <w:bookmarkEnd w:id="53"/>
    <w:bookmarkStart w:id="54" w:name="ref-tyler2005"/>
    <w:p>
      <w:pPr>
        <w:pStyle w:val="Bibliography"/>
      </w:pPr>
      <w:r>
        <w:t xml:space="preserve">Tyler, Tom R. 2005.</w:t>
      </w:r>
      <w:r>
        <w:t xml:space="preserve"> </w:t>
      </w:r>
      <w:r>
        <w:t xml:space="preserve">“Policing in Black and White: Ethnic Group Differences in Trust and Confidence in the Police.”</w:t>
      </w:r>
      <w:r>
        <w:t xml:space="preserve"> </w:t>
      </w:r>
      <w:r>
        <w:rPr>
          <w:iCs/>
          <w:i/>
        </w:rPr>
        <w:t xml:space="preserve">Police Quarterly</w:t>
      </w:r>
      <w:r>
        <w:t xml:space="preserve"> </w:t>
      </w:r>
      <w:r>
        <w:t xml:space="preserve">8 (3): 322342.</w:t>
      </w:r>
    </w:p>
    <w:bookmarkEnd w:id="54"/>
    <w:bookmarkStart w:id="56" w:name="ref-vanderweele2022"/>
    <w:p>
      <w:pPr>
        <w:pStyle w:val="Bibliography"/>
      </w:pPr>
      <w:r>
        <w:t xml:space="preserve">VanderWeele, Tyler J. 2022.</w:t>
      </w:r>
      <w:r>
        <w:t xml:space="preserve"> </w:t>
      </w:r>
      <w:r>
        <w:t xml:space="preserve">“Constructed Measures and Causal Inference: Towards a New Model of Measurement for Psychosocial Constructs.”</w:t>
      </w:r>
      <w:r>
        <w:t xml:space="preserve"> </w:t>
      </w:r>
      <w:r>
        <w:rPr>
          <w:iCs/>
          <w:i/>
        </w:rPr>
        <w:t xml:space="preserve">Epidemiology</w:t>
      </w:r>
      <w:r>
        <w:t xml:space="preserve"> </w:t>
      </w:r>
      <w:r>
        <w:t xml:space="preserve">33 (1): 141.</w:t>
      </w:r>
      <w:r>
        <w:t xml:space="preserve"> </w:t>
      </w:r>
      <w:hyperlink r:id="rId55">
        <w:r>
          <w:rPr>
            <w:rStyle w:val="Hyperlink"/>
          </w:rPr>
          <w:t xml:space="preserve">https://doi.org/10.1097/EDE.0000000000001434</w:t>
        </w:r>
      </w:hyperlink>
      <w:r>
        <w:t xml:space="preserve">.</w:t>
      </w:r>
    </w:p>
    <w:bookmarkEnd w:id="56"/>
    <w:bookmarkEnd w:id="57"/>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We do not blindly adhere to the standard measurement approaches in psychometrics. It might be preferable to work with single items instead of the averaged score. See</w:t>
      </w:r>
      <w:r>
        <w:t xml:space="preserve"> </w:t>
      </w:r>
      <w:r>
        <w:t xml:space="preserve">(VanderWeele 2022)</w:t>
      </w:r>
      <w:r>
        <w:t xml:space="preserve"> </w:t>
      </w:r>
      <w:r>
        <w:t xml:space="preserve">for more information on this point.</w:t>
      </w:r>
    </w:p>
  </w:footnote>
  <w:footnote w:id="21">
    <w:p>
      <w:pPr>
        <w:pStyle w:val="FootnoteText"/>
      </w:pPr>
      <w:r>
        <w:rPr>
          <w:rStyle w:val="FootnoteReference"/>
        </w:rPr>
        <w:footnoteRef/>
      </w:r>
      <w:r>
        <w:t xml:space="preserve"> </w:t>
      </w:r>
      <w:r>
        <w:t xml:space="preserve">We must be cautious: causal identification requires contrasting outcomes under different exposures. Because all were exposed to the COVID-19 pandemic, these contrasts are not identified without the strong assumption that there were no pre-existing trends in the acceptance of science before the COVID-19 pandemic struck.</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hyperlink" Id="rId46" Target="https://doi.org/10.1080/01973533.2017.1372284" TargetMode="External" /><Relationship Type="http://schemas.openxmlformats.org/officeDocument/2006/relationships/hyperlink" Id="rId55" Target="https://doi.org/10.1097/EDE.0000000000001434" TargetMode="External" /><Relationship Type="http://schemas.openxmlformats.org/officeDocument/2006/relationships/hyperlink" Id="rId50" Target="https://doi.org/10.1177/0002716214555474" TargetMode="External" /><Relationship Type="http://schemas.openxmlformats.org/officeDocument/2006/relationships/hyperlink" Id="rId45" Target="https://go-bayes.github.io/reports/posts/nzavs/" TargetMode="External" /><Relationship Type="http://schemas.openxmlformats.org/officeDocument/2006/relationships/hyperlink" Id="rId52" Target="https://osf.io/e765a" TargetMode="External" /><Relationship Type="http://schemas.openxmlformats.org/officeDocument/2006/relationships/hyperlink" Id="rId44" Target="https://www.psych.auckland.ac.nz/en/about/new-zealand-attitudes-and-values-study.html" TargetMode="External" /></Relationships>
</file>

<file path=word/_rels/footnotes.xml.rels><?xml version="1.0" encoding="UTF-8"?><Relationships xmlns="http://schemas.openxmlformats.org/package/2006/relationships"><Relationship Type="http://schemas.openxmlformats.org/officeDocument/2006/relationships/hyperlink" Id="rId46" Target="https://doi.org/10.1080/01973533.2017.1372284" TargetMode="External" /><Relationship Type="http://schemas.openxmlformats.org/officeDocument/2006/relationships/hyperlink" Id="rId55" Target="https://doi.org/10.1097/EDE.0000000000001434" TargetMode="External" /><Relationship Type="http://schemas.openxmlformats.org/officeDocument/2006/relationships/hyperlink" Id="rId50" Target="https://doi.org/10.1177/0002716214555474" TargetMode="External" /><Relationship Type="http://schemas.openxmlformats.org/officeDocument/2006/relationships/hyperlink" Id="rId45" Target="https://go-bayes.github.io/reports/posts/nzavs/" TargetMode="External" /><Relationship Type="http://schemas.openxmlformats.org/officeDocument/2006/relationships/hyperlink" Id="rId52" Target="https://osf.io/e765a" TargetMode="External" /><Relationship Type="http://schemas.openxmlformats.org/officeDocument/2006/relationships/hyperlink" Id="rId44" Target="https://www.psych.auckland.ac.nz/en/about/new-zealand-attitudes-and-values-study.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Institutional Trust in New Zealand Pre/Post COVID-19 Pandemic</dc:title>
  <dc:creator>Authors TBA; Chris G Sibley; Joseph Bulbulia</dc:creator>
  <cp:keywords/>
  <dcterms:created xsi:type="dcterms:W3CDTF">2023-03-28T05:20:16Z</dcterms:created>
  <dcterms:modified xsi:type="dcterms:W3CDTF">2023-03-28T05:20:16Z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date">
    <vt:lpwstr>3/23/23</vt:lpwstr>
  </property>
  <property fmtid="{D5CDD505-2E9C-101B-9397-08002B2CF9AE}" pid="9" name="execute">
    <vt:lpwstr/>
  </property>
  <property fmtid="{D5CDD505-2E9C-101B-9397-08002B2CF9AE}" pid="10" name="fontfamily">
    <vt:lpwstr>libertinus</vt:lpwstr>
  </property>
  <property fmtid="{D5CDD505-2E9C-101B-9397-08002B2CF9AE}" pid="11" name="geometry">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New Zealand Attitudes and Values Study: Years 2019-2022 N = 42,681</vt:lpwstr>
  </property>
  <property fmtid="{D5CDD505-2E9C-101B-9397-08002B2CF9AE}" pid="17" name="toc-title">
    <vt:lpwstr>Table of contents</vt:lpwstr>
  </property>
</Properties>
</file>