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7.png" ContentType="image/png"/>
  <Override PartName="/word/media/rId44.png" ContentType="image/png"/>
  <Override PartName="/word/media/rId50.png" ContentType="image/png"/>
  <Override PartName="/word/media/rId52.png" ContentType="image/png"/>
  <Override PartName="/word/media/rId53.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National</w:t>
      </w:r>
      <w:r>
        <w:t xml:space="preserve"> </w:t>
      </w:r>
      <w:r>
        <w:t xml:space="preserve">Longitudinal</w:t>
      </w:r>
      <w:r>
        <w:t xml:space="preserve"> </w:t>
      </w:r>
      <w:r>
        <w:t xml:space="preserve">Evidence</w:t>
      </w:r>
      <w:r>
        <w:t xml:space="preserve"> </w:t>
      </w:r>
      <w:r>
        <w:t xml:space="preserve">for</w:t>
      </w:r>
      <w:r>
        <w:t xml:space="preserve"> </w:t>
      </w:r>
      <w:r>
        <w:t xml:space="preserve">Growth</w:t>
      </w:r>
      <w:r>
        <w:t xml:space="preserve"> </w:t>
      </w:r>
      <w:r>
        <w:t xml:space="preserve">in</w:t>
      </w:r>
      <w:r>
        <w:t xml:space="preserve"> </w:t>
      </w:r>
      <w:r>
        <w:t xml:space="preserve">Subjective</w:t>
      </w:r>
      <w:r>
        <w:t xml:space="preserve"> </w:t>
      </w:r>
      <w:r>
        <w:t xml:space="preserve">Wellbeing</w:t>
      </w:r>
      <w:r>
        <w:t xml:space="preserve"> </w:t>
      </w:r>
      <w:r>
        <w:t xml:space="preserve">from</w:t>
      </w:r>
      <w:r>
        <w:t xml:space="preserve"> </w:t>
      </w:r>
      <w:r>
        <w:t xml:space="preserve">Spiritual</w:t>
      </w:r>
      <w:r>
        <w:t xml:space="preserve"> </w:t>
      </w:r>
      <w:r>
        <w:t xml:space="preserve">Beliefs</w:t>
      </w:r>
    </w:p>
    <w:p>
      <w:pPr>
        <w:pStyle w:val="Author"/>
      </w:pPr>
      <w:r>
        <w:t xml:space="preserve">Ben Highland</w:t>
      </w:r>
      <w:r>
        <w:rPr>
          <w:vertAlign w:val="superscript"/>
        </w:rPr>
        <w:t xml:space="preserve">1</w:t>
      </w:r>
      <w:r>
        <w:t xml:space="preserve">, Everett L. Worthington</w:t>
      </w:r>
      <w:r>
        <w:rPr>
          <w:vertAlign w:val="superscript"/>
        </w:rPr>
        <w:t xml:space="preserve">2</w:t>
      </w:r>
      <w:r>
        <w:t xml:space="preserve">, Don E Davis</w:t>
      </w:r>
      <w:r>
        <w:rPr>
          <w:vertAlign w:val="superscript"/>
        </w:rPr>
        <w:t xml:space="preserve">3</w:t>
      </w:r>
      <w:r>
        <w:t xml:space="preserve">, Chris G. Sibley</w:t>
      </w:r>
      <w:r>
        <w:rPr>
          <w:vertAlign w:val="superscript"/>
        </w:rPr>
        <w:t xml:space="preserve">4</w:t>
      </w:r>
      <w:r>
        <w:t xml:space="preserve">, &amp; Joseph Bulbulia</w:t>
      </w:r>
      <w:r>
        <w:rPr>
          <w:vertAlign w:val="superscript"/>
        </w:rPr>
        <w:t xml:space="preserve">5</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1 Wake Forest Medical School 2 Department of Psychology Virginia Commonwealth University 3 Department of Psychology Georgia State University 4 School of Psychology University of Auckland 5 School of Psychology Victoria University</w:t>
      </w:r>
    </w:p>
    <w:p>
      <w:pPr>
        <w:pStyle w:val="Textkrper"/>
      </w:pPr>
      <w:r>
        <w:t xml:space="preserve">Correspondence concerning this article should be addressed to Ben Highland, Ben’s Postal address. E-mail:</w:t>
      </w:r>
      <w:r>
        <w:t xml:space="preserve"> </w:t>
      </w:r>
      <w:hyperlink r:id="rId20">
        <w:r>
          <w:rPr>
            <w:rStyle w:val="Hyperlink"/>
          </w:rPr>
          <w:t xml:space="preserve">benhighland6420@gmail.com</w:t>
        </w:r>
      </w:hyperlink>
    </w:p>
    <w:p>
      <w:pPr>
        <w:pStyle w:val="Compact"/>
        <w:pStyle w:val="h1-pagebreak"/>
      </w:pPr>
      <w:r>
        <w:t xml:space="preserve">Abstract</w:t>
      </w:r>
    </w:p>
    <w:p>
      <w:pPr>
        <w:pStyle w:val="Textkrper"/>
      </w:pPr>
      <w:r>
        <w:t xml:space="preserve">Previous research finds an association between spirituality and subjective well-being. However, the widespread use of tautological spirituality scales, poorly defined concepts of spirituality, and heavy reliance on cross-sectional samples cast doubts. Here, we leverage nine waves of panel data from a nationally diverse longitudinal study to systematically test whether having spiritual beliefs leads to growth in personal well-being and life satisfaction (</w:t>
      </w:r>
      <m:oMath>
        <m:r>
          <m:t>N</m:t>
        </m:r>
      </m:oMath>
      <w:r>
        <w:t xml:space="preserve"> </w:t>
      </w:r>
      <w:r>
        <w:t xml:space="preserve">= 20979, New Zealand, 2010-2018). Contrary to previous research, we find that belief in a spirit or life force predicts lower personal well-being and life-satisfaction. However, in support of previous speculation, beliefs in a spirit or life force predict increasing personal well-being and life satisfaction over time relative to disbelief. These finding are robust after to known demographic influences, and intriguingly, hold among those who believe in a God but disbelieve in a Spirit or Life Force. The recent growth in spiritual beliefs and decline in traditional religion across many industrial societies motivates further causal investigations of the mechanisms by which spiritual beliefs lead to growth in subjective well-being.</w:t>
      </w:r>
      <w:r>
        <w:t xml:space="preserve"> </w:t>
      </w:r>
    </w:p>
    <w:p>
      <w:pPr>
        <w:pStyle w:val="Textkrper"/>
      </w:pPr>
      <w:r>
        <w:rPr>
          <w:i/>
        </w:rPr>
        <w:t xml:space="preserve">Keywords:</w:t>
      </w:r>
      <w:r>
        <w:t xml:space="preserve"> </w:t>
      </w:r>
      <w:r>
        <w:t xml:space="preserve">Belief, God, Health, Longitudinal, Panel, Religion, Spirit, Spirituality, Well-being</w:t>
      </w:r>
    </w:p>
    <w:p>
      <w:pPr>
        <w:pStyle w:val="Textkrper"/>
      </w:pPr>
      <w:r>
        <w:rPr>
          <w:i/>
        </w:rPr>
        <w:t xml:space="preserve">Word count:</w:t>
      </w:r>
      <w:r>
        <w:t xml:space="preserve"> </w:t>
      </w:r>
      <w:r>
        <w:t xml:space="preserve">5269 words in text body, 1078 words in reference section</w:t>
      </w:r>
    </w:p>
    <w:p>
      <w:pPr>
        <w:pStyle w:val="Compact"/>
        <w:pStyle w:val="h1-pagebreak"/>
      </w:pPr>
      <w:r>
        <w:t xml:space="preserve">National Longitudinal Evidence for Growth in Subjective Wellbeing from Spiritual Beliefs</w:t>
      </w:r>
    </w:p>
    <w:p>
      <w:pPr>
        <w:pStyle w:val="Textkrper"/>
      </w:pPr>
      <w:r>
        <w:t xml:space="preserve">The relationship between spirituality and psychological well-being is a matter of enduring fascination</w:t>
      </w:r>
      <w:r>
        <w:t xml:space="preserve"> </w:t>
      </w:r>
      <w:r>
        <w:t xml:space="preserve">(Ellsworth &amp; Ellsworth, 2010)</w:t>
      </w:r>
      <w:r>
        <w:t xml:space="preserve">. Most previous attempts to quantify the relationship between these two domains find a positive association: spirituality predicts well-being</w:t>
      </w:r>
      <w:r>
        <w:t xml:space="preserve"> </w:t>
      </w:r>
      <w:r>
        <w:t xml:space="preserve">(Ginsburg, Quirt, Ginsburg, &amp; MacKillop, 1995; Koenig, 2010; Koenig, Associate Professor of Psychology and Religious Studies Michael E McCullough, PhD, McCullough, Larson, &amp; Adjunct Professor of Psychiatry David B Larson, 2001; Russinova, Wewiorski, &amp; Cash, 2002; Smith, McCullough, &amp; Poll, 2003; Smith et al., 2003; Zaza, Sellick, &amp; Hillier, 2005)</w:t>
      </w:r>
      <w:r>
        <w:t xml:space="preserve">. However, critics have raised three credible challenges.</w:t>
      </w:r>
    </w:p>
    <w:p>
      <w:pPr>
        <w:pStyle w:val="Textkrper"/>
      </w:pPr>
      <w:r>
        <w:t xml:space="preserve">First, previous research has frequently operationalised spirituality using measures of well-being. For example, The Daily Spiritual Experience Scale, which is widely used in spiritual mental health research, includes items such as</w:t>
      </w:r>
      <w:r>
        <w:t xml:space="preserve"> </w:t>
      </w:r>
      <w:r>
        <w:t xml:space="preserve">“</w:t>
      </w:r>
      <w:r>
        <w:t xml:space="preserve">I feel thankful for my blessings</w:t>
      </w:r>
      <w:r>
        <w:t xml:space="preserve">”</w:t>
      </w:r>
      <w:r>
        <w:t xml:space="preserve"> </w:t>
      </w:r>
      <w:r>
        <w:t xml:space="preserve">and</w:t>
      </w:r>
      <w:r>
        <w:t xml:space="preserve"> </w:t>
      </w:r>
      <w:r>
        <w:t xml:space="preserve">“</w:t>
      </w:r>
      <w:r>
        <w:t xml:space="preserve">I feel deep inner peace or harmony</w:t>
      </w:r>
      <w:r>
        <w:t xml:space="preserve">”</w:t>
      </w:r>
      <w:r>
        <w:t xml:space="preserve"> </w:t>
      </w:r>
      <w:r>
        <w:t xml:space="preserve">to measure spirituality</w:t>
      </w:r>
      <w:r>
        <w:t xml:space="preserve"> </w:t>
      </w:r>
      <w:r>
        <w:t xml:space="preserve">(Underwood &amp; Teresi, 2002)</w:t>
      </w:r>
      <w:r>
        <w:t xml:space="preserve">. As Koenig observes, it is unsurprising that spirituality predict well-being when the same items are used to measure both constructs. Koenig aptly describes this approach as</w:t>
      </w:r>
      <w:r>
        <w:t xml:space="preserve"> </w:t>
      </w:r>
      <w:r>
        <w:t xml:space="preserve">“</w:t>
      </w:r>
      <w:r>
        <w:t xml:space="preserve">tautological</w:t>
      </w:r>
      <w:r>
        <w:t xml:space="preserve">”</w:t>
      </w:r>
      <w:r>
        <w:t xml:space="preserve"> </w:t>
      </w:r>
      <w:r>
        <w:t xml:space="preserve">(Koenig, 2008)</w:t>
      </w:r>
      <w:r>
        <w:t xml:space="preserve">. Indeed, recent systematic-review of spirituality/mental health research found that nearly 45% of previous studies employe tautological scales</w:t>
      </w:r>
      <w:r>
        <w:t xml:space="preserve"> </w:t>
      </w:r>
      <w:r>
        <w:t xml:space="preserve">(Garssen et al., 2016)</w:t>
      </w:r>
      <w:r>
        <w:t xml:space="preserve">. The first challenge, then, is to define measures of spirituality that are not well-being measures dressed up in other words.</w:t>
      </w:r>
    </w:p>
    <w:p>
      <w:pPr>
        <w:pStyle w:val="Textkrper"/>
      </w:pPr>
      <w:r>
        <w:t xml:space="preserve">A second challenge is to disentangle concepts of spirituality from concepts of religion. The term</w:t>
      </w:r>
      <w:r>
        <w:t xml:space="preserve"> </w:t>
      </w:r>
      <w:r>
        <w:t xml:space="preserve">“</w:t>
      </w:r>
      <w:r>
        <w:t xml:space="preserve">spirituality</w:t>
      </w:r>
      <w:r>
        <w:t xml:space="preserve">”</w:t>
      </w:r>
      <w:r>
        <w:t xml:space="preserve"> </w:t>
      </w:r>
      <w:r>
        <w:t xml:space="preserve">was first used to describe the religious practices of ascetics and monks, however, more recently, the term has taken on a broader family of meanings</w:t>
      </w:r>
      <w:r>
        <w:t xml:space="preserve"> </w:t>
      </w:r>
      <w:r>
        <w:t xml:space="preserve">(Swinton, 2001)</w:t>
      </w:r>
      <w:r>
        <w:t xml:space="preserve">. Spirituality and health research does not converge on a unique set of meanings from the wider universe of popular meanings. Although it is commonplace across most areas of psychological science for researchers to explore different operationalisations of focal concepts, the psychology of spirituality has mostly been conducted with cross-sectional North American samples among participants who affiliate with traditional religion</w:t>
      </w:r>
      <w:r>
        <w:t xml:space="preserve"> </w:t>
      </w:r>
      <w:r>
        <w:t xml:space="preserve">(Ano &amp; Vasconcelles, 2005; Hackney &amp; Sanders, 2003; Sawatzky, Ratner, &amp; Chiu, 2005; Smith et al., 2003; Visser, Garssen, &amp; Vingerhoets, 2010; Yonker, Schnabelrauch, &amp; Dehaan, 2012)</w:t>
      </w:r>
      <w:r>
        <w:t xml:space="preserve">. As such, the extent to which the psychology of spirituality and health has repeated or extended the psychology of religion and health remains unclear. Notably, researchers who have operationalised spirituality constructs as distinct from religion constructs have observed a negative association between spirituality and subjective well-being</w:t>
      </w:r>
      <w:r>
        <w:t xml:space="preserve"> </w:t>
      </w:r>
      <w:r>
        <w:t xml:space="preserve">(King et al., 2013)</w:t>
      </w:r>
      <w:r>
        <w:t xml:space="preserve">. Thus to infer how spirituality affects subjective well-being, it is important to disentangle the concepts of spirituality from concepts of religion, and to carefully investigate features of contructs in populations where these dimensions overlap, partially overlap, and diverge.</w:t>
      </w:r>
    </w:p>
    <w:p>
      <w:pPr>
        <w:pStyle w:val="Textkrper"/>
      </w:pPr>
      <w:r>
        <w:t xml:space="preserve">A third challenge is to investigate the relationship between spirituality and subjective well-being in nationally diverse samples over individual life-spans. Reliable inference requires observing change within people who differ dimensions of spirituality over time, and assing how their lives turn out</w:t>
      </w:r>
      <w:r>
        <w:t xml:space="preserve"> </w:t>
      </w:r>
      <w:r>
        <w:t xml:space="preserve">(Garssen &amp; Visser, 2016)</w:t>
      </w:r>
      <w:r>
        <w:t xml:space="preserve">. Previous investigations of spirituality and well-being, including high-quality reviews and meta-analyses, have relied on cross-sectional samples</w:t>
      </w:r>
      <w:r>
        <w:t xml:space="preserve"> </w:t>
      </w:r>
      <w:r>
        <w:t xml:space="preserve">(Ano &amp; Vasconcelles, 2005; Hackney &amp; Sanders, 2003; Sawatzky et al., 2005; Smith et al., 2003; Visser et al., 2010; Yonker et al., 2012)</w:t>
      </w:r>
      <w:r>
        <w:t xml:space="preserve">. However, To address the key questions in spirituality psychological health research requires longitudinal investigations. Unfortunately the relevant datasets are rare.</w:t>
      </w:r>
    </w:p>
    <w:p>
      <w:pPr>
        <w:pStyle w:val="Textkrper"/>
      </w:pPr>
      <w:r>
        <w:t xml:space="preserve">Here, we addresses the three challenges of previous in the following ways: First, to avoid a tautological elision of</w:t>
      </w:r>
      <w:r>
        <w:t xml:space="preserve"> </w:t>
      </w:r>
      <w:r>
        <w:t xml:space="preserve">“</w:t>
      </w:r>
      <w:r>
        <w:t xml:space="preserve">spirituality</w:t>
      </w:r>
      <w:r>
        <w:t xml:space="preserve">”</w:t>
      </w:r>
      <w:r>
        <w:t xml:space="preserve"> </w:t>
      </w:r>
      <w:r>
        <w:t xml:space="preserve">and</w:t>
      </w:r>
      <w:r>
        <w:t xml:space="preserve"> </w:t>
      </w:r>
      <w:r>
        <w:t xml:space="preserve">“</w:t>
      </w:r>
      <w:r>
        <w:t xml:space="preserve">well-being</w:t>
      </w:r>
      <w:r>
        <w:t xml:space="preserve">”</w:t>
      </w:r>
      <w:r>
        <w:t xml:space="preserve"> </w:t>
      </w:r>
      <w:r>
        <w:t xml:space="preserve">we adopt a non-affective measure of spirituality as a</w:t>
      </w:r>
      <w:r>
        <w:t xml:space="preserve"> </w:t>
      </w:r>
      <w:r>
        <w:t xml:space="preserve">“</w:t>
      </w:r>
      <w:r>
        <w:t xml:space="preserve">believe in a Spirit or Life Force.</w:t>
      </w:r>
      <w:r>
        <w:t xml:space="preserve">”</w:t>
      </w:r>
      <w:r>
        <w:t xml:space="preserve"> </w:t>
      </w:r>
      <w:r>
        <w:t xml:space="preserve">On the other side, to measure subjective well-being, we use a well-validated scale for Personal Well-being and a well-validated scale for Life-Satisfaction (see Method). Second, to disentangle spiritual beliefs from traditional religious beliefs and skeptical beliefs we adopt a four-level categorical indicator combining the binary indicator of belief in a Spirit or Life Force with the binary indicator</w:t>
      </w:r>
      <w:r>
        <w:t xml:space="preserve"> </w:t>
      </w:r>
      <w:r>
        <w:t xml:space="preserve">“</w:t>
      </w:r>
      <w:r>
        <w:t xml:space="preserve">Do you believe in some form of a spirit or life force?</w:t>
      </w:r>
      <w:r>
        <w:t xml:space="preserve">”</w:t>
      </w:r>
      <w:r>
        <w:t xml:space="preserve"> </w:t>
      </w:r>
      <w:r>
        <w:t xml:space="preserve">The levels of this four-level categorical indicator for spiritual, religious, and skeptical beliefs are as follows: (1) Skeptics: those who neither believe in a God nor believe in a Spirit or Life force; (2) Skeptics about God who nevertheless believe in a Spirit or Life Force; (3) Those who believe in a God but do not believe in a Spirit or Life force; (4) Those who who believe in a both God and a Spirit or Life Force. Clearly such an approach cannot simultaneously address all interests in previous spirituality/well-being research. For example we do not combine our cognitive measure of belief with behavioral measures or attitudinal measures. However, this cost to scope is paid for with benefits to precision. The spiritual indicators measure cognitive states in which distinct varieties of skeptical beliefs, traditional religious beliefs, and non-traditional spirit beliefs are straightforwardly disentangled, and measured within people. Third, to assess whether spirit beliefs lead to growth, stability, or decline in psychological well-being, we leverage longitudinal responses from a nationally diverse probability sample year over an nine–year period with nine measurement points (2010 to 2018 New Zealand Attitudes and Values Study, NZAVS).</w:t>
      </w:r>
    </w:p>
    <w:p>
      <w:pPr>
        <w:pStyle w:val="berschrift1"/>
      </w:pPr>
      <w:bookmarkStart w:id="21" w:name="method"/>
      <w:r>
        <w:t xml:space="preserve">1	Method</w:t>
      </w:r>
      <w:bookmarkEnd w:id="21"/>
    </w:p>
    <w:p>
      <w:pPr>
        <w:pStyle w:val="FirstParagraph"/>
      </w:pPr>
      <w:r>
        <w:t xml:space="preserve">The New Zealand Attitudes and Values Study (NZAVS) is reviewed every three years by the University of Auckland Human Participants Ethics Committee. Our most recent ethics approval statement is as follows: The New Zealand Attitudes and Values Study was approved by The University of Auckland Human Participants Ethics Committee on 03-June-2015 until 03-June-2018, and renewed on 05-September-2017 until 03-June-2021. Reference Number: 014889. Our previous ethics approval statement for the 2009-2015 period is: The New Zealand Attitudes and Values Study was approved by The University of Auckland Human Participants Ethics Committee on 09-September-2009 until 09-September-2012, and renewed on 17-February-2012 until 09-September-2015. Reference Number: 6171. All participants granted informed written consent and The University of Auckland Human Participants Ethics Committee approved all procedures.</w:t>
      </w:r>
    </w:p>
    <w:p>
      <w:pPr>
        <w:pStyle w:val="berschrift2"/>
      </w:pPr>
      <w:bookmarkStart w:id="22" w:name="sampling-procedure"/>
      <w:r>
        <w:t xml:space="preserve">1.1	Sampling Procedure</w:t>
      </w:r>
      <w:bookmarkEnd w:id="22"/>
    </w:p>
    <w:p>
      <w:pPr>
        <w:pStyle w:val="FirstParagraph"/>
      </w:pPr>
      <w:r>
        <w:t xml:space="preserve">The NZAVS is an annual, longitudinal national probability sample of registered New Zealand voters, which was started in 2009. The Time 10 wave of the NZAVS contained responses from 47,951 participants (17,981 retained from one or more previous waves and 29,970 new additions from booster sampling and/or unmatched participants or unsolicited opt-ins). Participants who provided an email address were also emailed and invited to complete an online version if they preferred. We offered a prize draw for participation, non-respondents were emailed and phoned multiple times, and all participants were mailed a Season’s Greetings card from the NZAVS research team and informed that they had been automatically entered into a bonus seasonal grocery voucher prize draw. We also mailed our yearly pamphlet summarizing key research findings published during the current wave of the study.</w:t>
      </w:r>
    </w:p>
    <w:p>
      <w:pPr>
        <w:pStyle w:val="berschrift2"/>
      </w:pPr>
      <w:bookmarkStart w:id="23" w:name="participants"/>
      <w:r>
        <w:t xml:space="preserve">1.2	Participants</w:t>
      </w:r>
      <w:bookmarkEnd w:id="23"/>
    </w:p>
    <w:p>
      <w:pPr>
        <w:pStyle w:val="FirstParagraph"/>
      </w:pPr>
      <w:r>
        <w:t xml:space="preserve">The Time 10 (2018) wave of the NZAVS included 47,951 respondents. We analyzed data from participants who responded to our survey at least three four times between Time 2 (2010) and Time 10 (2018), resulting in a sample of</w:t>
      </w:r>
      <w:r>
        <w:t xml:space="preserve"> </w:t>
      </w:r>
      <m:oMath>
        <m:r>
          <m:t>N</m:t>
        </m:r>
      </m:oMath>
      <w:r>
        <w:t xml:space="preserve"> </w:t>
      </w:r>
      <w:r>
        <w:t xml:space="preserve">= 21,705 (</w:t>
      </w:r>
      <m:oMath>
        <m:r>
          <m:t>N</m:t>
        </m:r>
      </m:oMath>
      <w:r>
        <w:t xml:space="preserve"> </w:t>
      </w:r>
      <w:r>
        <w:t xml:space="preserve">= 20,979 with complete responses).</w:t>
      </w:r>
    </w:p>
    <w:p>
      <w:pPr>
        <w:pStyle w:val="berschrift2"/>
      </w:pPr>
      <w:bookmarkStart w:id="24" w:name="measures"/>
      <w:r>
        <w:t xml:space="preserve">1.3	Measures</w:t>
      </w:r>
      <w:bookmarkEnd w:id="24"/>
    </w:p>
    <w:p>
      <w:pPr>
        <w:pStyle w:val="berschrift3"/>
      </w:pPr>
      <w:bookmarkStart w:id="25" w:name="life-satisfaction"/>
      <w:r>
        <w:t xml:space="preserve">1.3.1	Life Satisfaction.</w:t>
      </w:r>
      <w:bookmarkEnd w:id="25"/>
    </w:p>
    <w:p>
      <w:pPr>
        <w:pStyle w:val="FirstParagraph"/>
      </w:pPr>
      <w:r>
        <w:t xml:space="preserve">Life satisfaction is a measure of emotional well-being that was assessed using a 2-item version of the Satisfaction With Life Scale, which has previously been shown to correlate with aspects of religiosity</w:t>
      </w:r>
      <w:r>
        <w:t xml:space="preserve"> </w:t>
      </w:r>
      <w:r>
        <w:t xml:space="preserve">(Diener, Emmons, Larsen, &amp; Griffin, 1985)</w:t>
      </w:r>
      <w:r>
        <w:t xml:space="preserve">. Participants rated their agreement with the statements (a)</w:t>
      </w:r>
      <w:r>
        <w:t xml:space="preserve"> </w:t>
      </w:r>
      <w:r>
        <w:t xml:space="preserve">“</w:t>
      </w:r>
      <w:r>
        <w:t xml:space="preserve">I am satisfied with my life</w:t>
      </w:r>
      <w:r>
        <w:t xml:space="preserve">”</w:t>
      </w:r>
      <w:r>
        <w:t xml:space="preserve">; and (b)</w:t>
      </w:r>
      <w:r>
        <w:t xml:space="preserve"> </w:t>
      </w:r>
      <w:r>
        <w:t xml:space="preserve">“</w:t>
      </w:r>
      <w:r>
        <w:t xml:space="preserve">In most ways my life is close to ideal.</w:t>
      </w:r>
      <w:r>
        <w:t xml:space="preserve">”</w:t>
      </w:r>
      <w:r>
        <w:t xml:space="preserve"> </w:t>
      </w:r>
      <w:r>
        <w:t xml:space="preserve">The items were rated on 7-point response options ranging from 1 = strongly disagree to 7 = strongly agree. The mean Cronbach’s alpha for this 2-item scale was</w:t>
      </w:r>
      <w:r>
        <w:t xml:space="preserve"> </w:t>
      </w:r>
      <m:oMath>
        <m:r>
          <m:t>α</m:t>
        </m:r>
      </m:oMath>
      <w:r>
        <w:t xml:space="preserve"> </w:t>
      </w:r>
      <w:r>
        <w:t xml:space="preserve">= 0.90. Higher scores on this scale indicate higher life satisfaction. Overall scores were means of the 2-items. For detailed information pertaining to means, standard deviations, and missingness, see Table 1.</w:t>
      </w:r>
    </w:p>
    <w:p>
      <w:pPr>
        <w:pStyle w:val="berschrift3"/>
      </w:pPr>
      <w:bookmarkStart w:id="26" w:name="personal-well-being"/>
      <w:r>
        <w:t xml:space="preserve">1.3.2	Personal well-being.</w:t>
      </w:r>
      <w:bookmarkEnd w:id="26"/>
    </w:p>
    <w:p>
      <w:pPr>
        <w:pStyle w:val="FirstParagraph"/>
      </w:pPr>
      <w:r>
        <w:t xml:space="preserve">Personal well-being is a measure of function all well-being that was assessed using a 4-item version of the Australian Unity well-being Index</w:t>
      </w:r>
      <w:r>
        <w:t xml:space="preserve"> </w:t>
      </w:r>
      <w:r>
        <w:t xml:space="preserve">(Cummins, Eckerseley, Pallant, Van Vugt, &amp; Misajon, 2017)</w:t>
      </w:r>
      <w:r>
        <w:t xml:space="preserve">. Participants rated their satisfaction with (a)</w:t>
      </w:r>
      <w:r>
        <w:t xml:space="preserve"> </w:t>
      </w:r>
      <w:r>
        <w:t xml:space="preserve">“</w:t>
      </w:r>
      <w:r>
        <w:t xml:space="preserve">Your standard of living</w:t>
      </w:r>
      <w:r>
        <w:t xml:space="preserve">”</w:t>
      </w:r>
      <w:r>
        <w:t xml:space="preserve">; (b)</w:t>
      </w:r>
      <w:r>
        <w:t xml:space="preserve"> </w:t>
      </w:r>
      <w:r>
        <w:t xml:space="preserve">“</w:t>
      </w:r>
      <w:r>
        <w:t xml:space="preserve">Your health</w:t>
      </w:r>
      <w:r>
        <w:t xml:space="preserve">”</w:t>
      </w:r>
      <w:r>
        <w:t xml:space="preserve">; (c)</w:t>
      </w:r>
      <w:r>
        <w:t xml:space="preserve"> </w:t>
      </w:r>
      <w:r>
        <w:t xml:space="preserve">“</w:t>
      </w:r>
      <w:r>
        <w:t xml:space="preserve">Your future security</w:t>
      </w:r>
      <w:r>
        <w:t xml:space="preserve">”</w:t>
      </w:r>
      <w:r>
        <w:t xml:space="preserve">; (d)</w:t>
      </w:r>
      <w:r>
        <w:t xml:space="preserve"> </w:t>
      </w:r>
      <w:r>
        <w:t xml:space="preserve">“</w:t>
      </w:r>
      <w:r>
        <w:t xml:space="preserve">Your personal relationships.</w:t>
      </w:r>
      <w:r>
        <w:t xml:space="preserve">”</w:t>
      </w:r>
      <w:r>
        <w:t xml:space="preserve"> </w:t>
      </w:r>
      <w:r>
        <w:t xml:space="preserve">Items were rated using a 10-point response option ranging from 1 = completely dissatisfied to 10 = completely satisfied. The mean Cronbach’s alpha for this scale was</w:t>
      </w:r>
      <w:r>
        <w:t xml:space="preserve"> </w:t>
      </w:r>
      <m:oMath>
        <m:r>
          <m:t>α</m:t>
        </m:r>
      </m:oMath>
      <w:r>
        <w:t xml:space="preserve"> </w:t>
      </w:r>
      <w:r>
        <w:t xml:space="preserve">= 0.90. Higher scores on this scale indicate higher personal well-being. Overall scores were means of the 4-items. For detailed information pertaining to means, standard deviations, and missingness, see Table 1.</w:t>
      </w:r>
    </w:p>
    <w:p>
      <w:pPr>
        <w:pStyle w:val="berschrift3"/>
      </w:pPr>
      <w:bookmarkStart w:id="27" w:name="belief-in-a-spirit-or-a-god"/>
      <w:r>
        <w:t xml:space="preserve">1.3.3	Belief in a Spirit or a God.</w:t>
      </w:r>
      <w:bookmarkEnd w:id="27"/>
    </w:p>
    <w:p>
      <w:pPr>
        <w:pStyle w:val="FirstParagraph"/>
      </w:pPr>
      <w:r>
        <w:t xml:space="preserve">We assess belief in a spirit or a God by asking two non-affective questions:</w:t>
      </w:r>
      <w:r>
        <w:t xml:space="preserve"> </w:t>
      </w:r>
      <w:r>
        <w:t xml:space="preserve">“</w:t>
      </w:r>
      <w:r>
        <w:t xml:space="preserve">Do you believe in a spirit or life force</w:t>
      </w:r>
      <w:r>
        <w:t xml:space="preserve">”</w:t>
      </w:r>
      <w:r>
        <w:t xml:space="preserve"> </w:t>
      </w:r>
      <w:r>
        <w:t xml:space="preserve">and</w:t>
      </w:r>
      <w:r>
        <w:t xml:space="preserve"> </w:t>
      </w:r>
      <w:r>
        <w:t xml:space="preserve">“</w:t>
      </w:r>
      <w:r>
        <w:t xml:space="preserve">Do you believe in a god?</w:t>
      </w:r>
      <w:r>
        <w:t xml:space="preserve">”</w:t>
      </w:r>
      <w:r>
        <w:t xml:space="preserve"> </w:t>
      </w:r>
      <w:r>
        <w:t xml:space="preserve">Responses were coded as (1) Skeptics: those who neither believe in a God nor believe in a Spirit or Life force; (2) Skeptics about God who believe in a Spirit or Life Force; (3) Believers in a God who disbelieve in a Spirit or Life force; (4) Believers in a God and Spirit or Life Force. These believe were developed for the NZAVS from the 2005 Eurobarometer. For detailed information pertaining to beliefs, see Table 1.</w:t>
      </w:r>
    </w:p>
    <w:p>
      <w:pPr>
        <w:pStyle w:val="Textkrper"/>
      </w:pPr>
      <w:r>
        <w:t xml:space="preserve">Table 1 about here:</w:t>
      </w:r>
    </w:p>
    <w:p>
      <w:pPr>
        <w:pStyle w:val="Textkrper"/>
      </w:pPr>
      <w:r>
        <w:t xml:space="preserve">$$
\begin{table}[ ht ] 
\centering 
\caption{}\label{}
\scalebox{.6}{
\begin{tabular}{ l c c c c c c c c c }
\toprule
 &amp;   \multicolumn{ 9 }{c}{ Wave }\\ 
  &amp; 2010 &amp; 2011 &amp; 2012 &amp; 2013 &amp; 2014 &amp; 2015 &amp; 2016 &amp; 2017 &amp; 2018 \\ 
 &amp; n = \emph{missing} &amp; n = \emph{missing} &amp; n = 8547 &amp; n = 13472 &amp; n = \emph{missing} &amp; n = 11687 &amp; n = 16048 &amp; n = 14174 &amp; n = 14883 \\ 
 \midrule
Age &amp;   &amp;   &amp;   &amp;   &amp;   &amp;   &amp;   &amp;   &amp;  \\ 
NZdep &amp;   &amp;   &amp;   &amp;   &amp;   &amp;   &amp;   &amp;   &amp;  \\ 
Education &amp;   &amp;   &amp;   &amp;   &amp;   &amp;   &amp;   &amp;   &amp;  \\ 
Employed &amp;   &amp;   &amp;   &amp;   &amp;   &amp;   &amp;   &amp;   &amp;  \\ 
\hspace{6pt}    0 &amp;  (\%) &amp;  (\%) &amp; 2094 (24.5\%) &amp; 2955 (21.9\%) &amp;  (\%) &amp; 2525 (21.6\%) &amp; 3486 (21.7\%) &amp; 3223 (22.7\%) &amp; 3404 (22.9\%)\\ 
\hspace{6pt}    1 &amp;  (\%) &amp;  (\%) &amp; 6453 (75.5\%) &amp; 10517 (78.1\%) &amp;  (\%) &amp; 9162 (78.4\%) &amp; 12562 (78.3\%) &amp; 10951 (77.3\%) &amp; 11479 (77.1\%)\\ 
EthnicCategories &amp;   &amp;   &amp;   &amp;   &amp;   &amp;   &amp;   &amp;   &amp;  \\ 
\hspace{6pt}    Euro &amp;  (\%) &amp;  (\%) &amp; 6731 (78.8\%) &amp; 11024 (81.8\%) &amp;  (\%) &amp; 9671 (82.8\%) &amp; 13389 (83.4\%) &amp; 11814 (83.3\%) &amp; 12427 (83.5\%)\\ 
\hspace{6pt}    Maori &amp;  (\%) &amp;  (\%) &amp; 1188 (13.9\%) &amp; 1608 (11.9\%) &amp;  (\%) &amp; 1341 (11.5\%) &amp; 1749 (10.9\%) &amp; 1620 (11.4\%) &amp; 1677 (11.3\%)\\ 
\hspace{6pt}    Pacific &amp;  (\%) &amp;  (\%) &amp; 284 (3.3\%) &amp; 339 (2.5\%) &amp;  (\%) &amp; 277 (2.4\%) &amp; 331 (2.1\%) &amp; 243 (1.7\%) &amp; 261 (1.8\%)\\ 
\hspace{6pt}    Asian &amp;  (\%) &amp;  (\%) &amp; 344 (4\%) &amp; 501 (3.7\%) &amp;  (\%) &amp; 398 (3.4\%) &amp; 579 (3.6\%) &amp; 497 (3.5\%) &amp; 518 (3.5\%)\\ 
Male &amp;   &amp;   &amp;   &amp;   &amp;   &amp;   &amp;   &amp;   &amp;  \\ 
\hspace{6pt}    0 &amp;  (\%) &amp;  (\%) &amp; 5302 (62\%) &amp; 8457 (62.8\%) &amp;  (\%) &amp; 7325 (62.7\%) &amp; 10148 (63.2\%) &amp; 9011 (63.6\%) &amp; 9433 (63.4\%)\\ 
\hspace{6pt}    1 &amp;  (\%) &amp;  (\%) &amp; 3245 (38\%) &amp; 5015 (37.2\%) &amp;  (\%) &amp; 4362 (37.3\%) &amp; 5900 (36.8\%) &amp; 5163 (36.4\%) &amp; 5450 (36.6\%)\\ 
Partner &amp;   &amp;   &amp;   &amp;   &amp;   &amp;   &amp;   &amp;   &amp;  \\ 
\hspace{6pt}    0 &amp;  (\%) &amp;  (\%) &amp; 2408 (28.2\%) &amp; 3546 (26.3\%) &amp;  (\%) &amp; 2815 (24.1\%) &amp; 3773 (23.5\%) &amp; 3330 (23.5\%) &amp; 3556 (23.9\%)\\ 
\hspace{6pt}    1 &amp;  (\%) &amp;  (\%) &amp; 6139 (71.8\%) &amp; 9926 (73.7\%) &amp;  (\%) &amp; 8872 (75.9\%) &amp; 12275 (76.5\%) &amp; 10844 (76.5\%) &amp; 11327 (76.1\%)\\ 
Pol Orient &amp;   &amp;   &amp;   &amp;   &amp;   &amp;   &amp;   &amp;   &amp;  \\ 
Urban &amp;   &amp;   &amp;   &amp;   &amp;   &amp;   &amp;   &amp;   &amp;  \\ 
\hspace{6pt}    Not\_Urban &amp;  (\%) &amp;  (\%) &amp; 2865 (33.5\%) &amp; 4278 (31.8\%) &amp;  (\%) &amp; 3951 (33.8\%) &amp; 5538 (34.5\%) &amp; 2610 (18.4\%) &amp; 2661 (17.9\%)\\ 
\hspace{6pt}    Urban &amp;  (\%) &amp;  (\%) &amp; 5682 (66.5\%) &amp; 9194 (68.2\%) &amp;  (\%) &amp; 7736 (66.2\%) &amp; 10510 (65.5\%) &amp; 11564 (81.6\%) &amp; 12222 (82.1\%)\\ 
Beliefs &amp;   &amp;   &amp;   &amp;   &amp;   &amp;   &amp;   &amp;   &amp;  \\ 
\hspace{6pt}    \_Skeptic\_ &amp;  (\%) &amp;  (\%) &amp; 2048 (24\%) &amp; 3286 (24.4\%) &amp;  (\%) &amp; 2951 (25.3\%) &amp; 4116 (25.6\%) &amp; 3916 (27.6\%) &amp; 4120 (27.7\%)\\ 
\hspace{6pt}    \_SpiritExcludesGod\_ &amp;  (\%) &amp;  (\%) &amp; 2295 (26.9\%) &amp; 3735 (27.7\%) &amp;  (\%) &amp; 3169 (27.1\%) &amp; 4501 (28\%) &amp; 3918 (27.6\%) &amp; 3970 (26.7\%)\\ 
\hspace{6pt}    GodAndSpirit &amp;  (\%) &amp;  (\%) &amp; 3707 (43.4\%) &amp; 5499 (40.8\%) &amp;  (\%) &amp; 5119 (43.8\%) &amp; 6453 (40.2\%) &amp; 5464 (38.5\%) &amp; 6210 (41.7\%)\\ 
\hspace{6pt}    GodExcludesSpirit &amp;  (\%) &amp;  (\%) &amp; 497 (5.8\%) &amp; 952 (7.1\%) &amp;  (\%) &amp; 448 (3.8\%) &amp; 978 (6.1\%) &amp; 876 (6.2\%) &amp; 583 (3.9\%)\\ 
LIFESAT &amp;   &amp;   &amp;   &amp;   &amp;   &amp;   &amp;   &amp;   &amp;  \\ 
PWI &amp;   &amp;   &amp;   &amp;   &amp;   &amp;   &amp;   &amp;   &amp;  \\ 
\bottomrule
\end{tabular}
}
\end{table}
$$</w:t>
      </w:r>
    </w:p>
    <w:p>
      <w:pPr>
        <w:pStyle w:val="berschrift2"/>
      </w:pPr>
      <w:bookmarkStart w:id="28" w:name="demographic-indicators"/>
      <w:r>
        <w:t xml:space="preserve">1.4	Demographic Indicators</w:t>
      </w:r>
      <w:bookmarkEnd w:id="28"/>
    </w:p>
    <w:p>
      <w:pPr>
        <w:pStyle w:val="berschrift3"/>
      </w:pPr>
      <w:bookmarkStart w:id="29" w:name="age"/>
      <w:r>
        <w:t xml:space="preserve">1.4.1	Age.</w:t>
      </w:r>
      <w:bookmarkEnd w:id="29"/>
    </w:p>
    <w:p>
      <w:pPr>
        <w:pStyle w:val="FirstParagraph"/>
      </w:pPr>
      <w:r>
        <w:t xml:space="preserve">Age was put into units of 10 years and centered at its mean. For detailed information pertaining to yearly means, standard deviations, and missingness, see Table 2.</w:t>
      </w:r>
      <w:r>
        <w:t xml:space="preserve"> </w:t>
      </w:r>
      <w:r>
        <w:t xml:space="preserve">Gender. Gender was assessed by asking participants if they were</w:t>
      </w:r>
      <w:r>
        <w:t xml:space="preserve"> </w:t>
      </w:r>
      <w:r>
        <w:t xml:space="preserve">“</w:t>
      </w:r>
      <w:r>
        <w:t xml:space="preserve">Male</w:t>
      </w:r>
      <w:r>
        <w:t xml:space="preserve">”</w:t>
      </w:r>
      <w:r>
        <w:t xml:space="preserve"> </w:t>
      </w:r>
      <w:r>
        <w:t xml:space="preserve">was coded as</w:t>
      </w:r>
      <w:r>
        <w:t xml:space="preserve"> </w:t>
      </w:r>
      <w:r>
        <w:t xml:space="preserve">“</w:t>
      </w:r>
      <w:r>
        <w:t xml:space="preserve">1</w:t>
      </w:r>
      <w:r>
        <w:t xml:space="preserve">”</w:t>
      </w:r>
      <w:r>
        <w:t xml:space="preserve"> </w:t>
      </w:r>
      <w:r>
        <w:t xml:space="preserve">and</w:t>
      </w:r>
      <w:r>
        <w:t xml:space="preserve"> </w:t>
      </w:r>
      <w:r>
        <w:t xml:space="preserve">“</w:t>
      </w:r>
      <w:r>
        <w:t xml:space="preserve">Female</w:t>
      </w:r>
      <w:r>
        <w:t xml:space="preserve">”</w:t>
      </w:r>
      <w:r>
        <w:t xml:space="preserve"> </w:t>
      </w:r>
      <w:r>
        <w:t xml:space="preserve">was coded as</w:t>
      </w:r>
      <w:r>
        <w:t xml:space="preserve"> </w:t>
      </w:r>
      <w:r>
        <w:t xml:space="preserve">“</w:t>
      </w:r>
      <w:r>
        <w:t xml:space="preserve">0.</w:t>
      </w:r>
      <w:r>
        <w:t xml:space="preserve">”</w:t>
      </w:r>
      <w:r>
        <w:t xml:space="preserve"> </w:t>
      </w:r>
      <w:r>
        <w:t xml:space="preserve">For detailed information pertaining to yearly responses and missingness, see Table 1.</w:t>
      </w:r>
    </w:p>
    <w:p>
      <w:pPr>
        <w:pStyle w:val="berschrift3"/>
      </w:pPr>
      <w:bookmarkStart w:id="30" w:name="education"/>
      <w:r>
        <w:t xml:space="preserve">1.4.2	Education.</w:t>
      </w:r>
      <w:bookmarkEnd w:id="30"/>
    </w:p>
    <w:p>
      <w:pPr>
        <w:pStyle w:val="FirstParagraph"/>
      </w:pPr>
      <w:r>
        <w:t xml:space="preserve">Education level was measured using an 11-point rating developed by the New Zealand Qualification Authority known as the New Zealand Qualification Framework (NZQF; 0 = no qualification, 10 = doctoral degree). Education was centered at its mean and standardized. For detailed information pertaining to yearly means, standard deviations, and missingness, see Table 1.</w:t>
      </w:r>
    </w:p>
    <w:p>
      <w:pPr>
        <w:pStyle w:val="berschrift3"/>
      </w:pPr>
      <w:bookmarkStart w:id="31" w:name="deprivation"/>
      <w:r>
        <w:t xml:space="preserve">1.4.3	Deprivation.</w:t>
      </w:r>
      <w:bookmarkEnd w:id="31"/>
    </w:p>
    <w:p>
      <w:pPr>
        <w:pStyle w:val="FirstParagraph"/>
      </w:pPr>
      <w:r>
        <w:t xml:space="preserve">We measured the socio-economic status of participants’ immediate (small area) neighborhood using the 2013 New Zealand Deprivation Index, which uses aggregate census information about the residents of small neighborhood-type units to assign a decile-rank index from 1 (most affluent) to 10 (most impoverished)</w:t>
      </w:r>
      <w:r>
        <w:t xml:space="preserve"> </w:t>
      </w:r>
      <w:r>
        <w:t xml:space="preserve">(Atkinson, Salmond, &amp; Crampton, 2014)</w:t>
      </w:r>
      <w:r>
        <w:t xml:space="preserve">. The index is based on a Principal Components Analysis of the following nine variables (in weighted order): the proportion of adults who received a means-tested benefit, household income, proportion not owning own home, proportion single-parent families, proportion unemployed, proportion lacking qualifications, proportion household crowding, proportion no telephone access, and proportion no car access. Thus, the index reflects the average level of deprivation for small neighborhood-type units (or small community areas of about 80–90 people each) across the entire country. Our sample had a mean deprivation index of 4.80 (SD = 2.79). Deprivation was centered at its mean and standardized. For detailed information pertaining to yearly means, standard deviations, and missingness, see Table 1.</w:t>
      </w:r>
    </w:p>
    <w:p>
      <w:pPr>
        <w:pStyle w:val="berschrift3"/>
      </w:pPr>
      <w:bookmarkStart w:id="32" w:name="employed"/>
      <w:r>
        <w:t xml:space="preserve">1.4.4	Employed.</w:t>
      </w:r>
      <w:bookmarkEnd w:id="32"/>
    </w:p>
    <w:p>
      <w:pPr>
        <w:pStyle w:val="FirstParagraph"/>
      </w:pPr>
      <w:r>
        <w:t xml:space="preserve">Employment status was assessed by asking participants if they were currently working,</w:t>
      </w:r>
      <w:r>
        <w:t xml:space="preserve"> </w:t>
      </w:r>
      <w:r>
        <w:t xml:space="preserve">“</w:t>
      </w:r>
      <w:r>
        <w:t xml:space="preserve">yes</w:t>
      </w:r>
      <w:r>
        <w:t xml:space="preserve">”</w:t>
      </w:r>
      <w:r>
        <w:t xml:space="preserve"> </w:t>
      </w:r>
      <w:r>
        <w:t xml:space="preserve">was coded as</w:t>
      </w:r>
      <w:r>
        <w:t xml:space="preserve"> </w:t>
      </w:r>
      <w:r>
        <w:t xml:space="preserve">“</w:t>
      </w:r>
      <w:r>
        <w:t xml:space="preserve">1</w:t>
      </w:r>
      <w:r>
        <w:t xml:space="preserve">”</w:t>
      </w:r>
      <w:r>
        <w:t xml:space="preserve"> </w:t>
      </w:r>
      <w:r>
        <w:t xml:space="preserve">and</w:t>
      </w:r>
      <w:r>
        <w:t xml:space="preserve"> </w:t>
      </w:r>
      <w:r>
        <w:t xml:space="preserve">“</w:t>
      </w:r>
      <w:r>
        <w:t xml:space="preserve">no</w:t>
      </w:r>
      <w:r>
        <w:t xml:space="preserve">”</w:t>
      </w:r>
      <w:r>
        <w:t xml:space="preserve"> </w:t>
      </w:r>
      <w:r>
        <w:t xml:space="preserve">was coded as</w:t>
      </w:r>
      <w:r>
        <w:t xml:space="preserve"> </w:t>
      </w:r>
      <w:r>
        <w:t xml:space="preserve">“</w:t>
      </w:r>
      <w:r>
        <w:t xml:space="preserve">0.</w:t>
      </w:r>
      <w:r>
        <w:t xml:space="preserve">”</w:t>
      </w:r>
      <w:r>
        <w:t xml:space="preserve"> </w:t>
      </w:r>
      <w:r>
        <w:t xml:space="preserve">For detailed information pertaining to yearly responses and missingness, see Table 1.</w:t>
      </w:r>
    </w:p>
    <w:p>
      <w:pPr>
        <w:pStyle w:val="berschrift3"/>
      </w:pPr>
      <w:bookmarkStart w:id="33" w:name="partner"/>
      <w:r>
        <w:t xml:space="preserve">1.4.5	Partner.</w:t>
      </w:r>
      <w:bookmarkEnd w:id="33"/>
    </w:p>
    <w:p>
      <w:pPr>
        <w:pStyle w:val="FirstParagraph"/>
      </w:pPr>
      <w:r>
        <w:t xml:space="preserve">Participants were asked if they were in a relationship,</w:t>
      </w:r>
      <w:r>
        <w:t xml:space="preserve"> </w:t>
      </w:r>
      <w:r>
        <w:t xml:space="preserve">“</w:t>
      </w:r>
      <w:r>
        <w:t xml:space="preserve">yes</w:t>
      </w:r>
      <w:r>
        <w:t xml:space="preserve">”</w:t>
      </w:r>
      <w:r>
        <w:t xml:space="preserve"> </w:t>
      </w:r>
      <w:r>
        <w:t xml:space="preserve">was coded as</w:t>
      </w:r>
      <w:r>
        <w:t xml:space="preserve"> </w:t>
      </w:r>
      <w:r>
        <w:t xml:space="preserve">“</w:t>
      </w:r>
      <w:r>
        <w:t xml:space="preserve">1</w:t>
      </w:r>
      <w:r>
        <w:t xml:space="preserve">”</w:t>
      </w:r>
      <w:r>
        <w:t xml:space="preserve"> </w:t>
      </w:r>
      <w:r>
        <w:t xml:space="preserve">and no was coded as</w:t>
      </w:r>
      <w:r>
        <w:t xml:space="preserve"> </w:t>
      </w:r>
      <w:r>
        <w:t xml:space="preserve">“</w:t>
      </w:r>
      <w:r>
        <w:t xml:space="preserve">0.</w:t>
      </w:r>
      <w:r>
        <w:t xml:space="preserve">”</w:t>
      </w:r>
      <w:r>
        <w:t xml:space="preserve"> </w:t>
      </w:r>
      <w:r>
        <w:t xml:space="preserve">For detailed information pertaining to yearly responses and missingness, see Table 1.</w:t>
      </w:r>
    </w:p>
    <w:p>
      <w:pPr>
        <w:pStyle w:val="berschrift3"/>
      </w:pPr>
      <w:bookmarkStart w:id="34" w:name="ethnicity"/>
      <w:r>
        <w:t xml:space="preserve">1.4.6	Ethnicity.</w:t>
      </w:r>
      <w:bookmarkEnd w:id="34"/>
    </w:p>
    <w:p>
      <w:pPr>
        <w:pStyle w:val="FirstParagraph"/>
      </w:pPr>
      <w:r>
        <w:t xml:space="preserve">Ethnicity was assessed using four basic categories: (1) New Zealand European/Pakeha, (2) Maori, (3) Pacific Islander, and (4) Asian. For detailed information pertaining to yearly responses and missingness, see Table 1.</w:t>
      </w:r>
    </w:p>
    <w:p>
      <w:pPr>
        <w:pStyle w:val="berschrift3"/>
      </w:pPr>
      <w:bookmarkStart w:id="35" w:name="urban"/>
      <w:r>
        <w:t xml:space="preserve">1.4.7	Urban.</w:t>
      </w:r>
      <w:bookmarkEnd w:id="35"/>
    </w:p>
    <w:p>
      <w:pPr>
        <w:pStyle w:val="FirstParagraph"/>
      </w:pPr>
      <w:r>
        <w:t xml:space="preserve">People were coded as either residing in an urban</w:t>
      </w:r>
      <w:r>
        <w:t xml:space="preserve"> </w:t>
      </w:r>
      <w:r>
        <w:t xml:space="preserve">“</w:t>
      </w:r>
      <w:r>
        <w:t xml:space="preserve">1</w:t>
      </w:r>
      <w:r>
        <w:t xml:space="preserve">”</w:t>
      </w:r>
      <w:r>
        <w:t xml:space="preserve"> </w:t>
      </w:r>
      <w:r>
        <w:t xml:space="preserve">or rural</w:t>
      </w:r>
      <w:r>
        <w:t xml:space="preserve"> </w:t>
      </w:r>
      <w:r>
        <w:t xml:space="preserve">“</w:t>
      </w:r>
      <w:r>
        <w:t xml:space="preserve">0</w:t>
      </w:r>
      <w:r>
        <w:t xml:space="preserve">”</w:t>
      </w:r>
      <w:r>
        <w:t xml:space="preserve"> </w:t>
      </w:r>
      <w:r>
        <w:t xml:space="preserve">area based on New Zealand census data. For detailed information pertaining to yearly responses and missingness, see Table 1.</w:t>
      </w:r>
    </w:p>
    <w:p>
      <w:pPr>
        <w:pStyle w:val="berschrift3"/>
      </w:pPr>
      <w:bookmarkStart w:id="36" w:name="political-orientation"/>
      <w:r>
        <w:t xml:space="preserve">1.4.8	Political Orientation.</w:t>
      </w:r>
      <w:bookmarkEnd w:id="36"/>
    </w:p>
    <w:p>
      <w:pPr>
        <w:pStyle w:val="FirstParagraph"/>
      </w:pPr>
      <w:r>
        <w:t xml:space="preserve">To assess political orientation, we asked people to rate their political orientation using seven-point response options (1 = Liberal; 7 = Conservative). Higher values indicate more conservative political beliefs. Political Orientation was standardized and centered at its mean. For detailed information pertaining to means, standard deviations, and missingness, see Table 1.</w:t>
      </w:r>
    </w:p>
    <w:p>
      <w:pPr>
        <w:pStyle w:val="berschrift2"/>
      </w:pPr>
      <w:bookmarkStart w:id="37" w:name="statistical-analyses"/>
      <w:r>
        <w:t xml:space="preserve">1.5	Statistical Analyses</w:t>
      </w:r>
      <w:bookmarkEnd w:id="37"/>
    </w:p>
    <w:p>
      <w:pPr>
        <w:pStyle w:val="FirstParagraph"/>
      </w:pPr>
      <w:r>
        <w:t xml:space="preserve">Statistical analysis was performed using R version 4.0.2 R version 3.6.1 (2020-06-22) 2019-07-05). We analyze data from participants who responded to the NZAVS survey at least three four times between 2010 (Time 2) and 2018 (Time 10), resulting in a sample of 21,705 (N = 20,979 with complete responses). To model growth in subjective well-being we use generalized linear mixed models. In our models, we account for the non-linear effects of time within participants by including the interaction of years (a continuous variable) with Beliefs (a four-level categorical indicator). The baseline for this indicator is Skepticism about a Spirit/Life Forces and Skepticism about a God. To handle the dependencies and heterogeneity introduced from the repeated measures, we include individual ID as an effect modelled as random. We centered and scaled the education, deprivation, and political conservativism. We centred age was centred at and put into decade-long intervals.</w:t>
      </w:r>
      <w:r>
        <w:t xml:space="preserve"> </w:t>
      </w:r>
      <w:r>
        <w:t xml:space="preserve">The model equation(s) are described in Equation 1.</w:t>
      </w:r>
    </w:p>
    <w:p>
      <w:pPr>
        <w:pStyle w:val="berschrift2"/>
      </w:pPr>
      <w:bookmarkStart w:id="38" w:name="equation-1"/>
      <w:r>
        <w:t xml:space="preserve">1.6	Equation 1</w:t>
      </w:r>
      <w:bookmarkEnd w:id="38"/>
    </w:p>
    <w:p>
      <w:pPr>
        <w:pStyle w:val="FirstParagraph"/>
      </w:pPr>
      <w:r>
        <w:t xml:space="preserve">$$
\begin{aligned}
\operatorname{{\small LIFESAT/PWI}}  &amp;\sim N \left(\mu,\sigma^2 \right) \\ \mu &amp;=\alpha_{j[i]} + \beta_{1}(\operatorname{Years}) + \beta_{2}(\operatorname{Beliefs}_{\operatorname{SpiritExcludesGod}})\ + \\
&amp;\quad \beta_{3}(\operatorname{Beliefs}_{\operatorname{GodAndSpirit}}) + \beta_{4}(\operatorname{Beliefs}_{\operatorname{GodExcludesSpirit}}) + \beta_{5}(\operatorname{Age.10yrs.C})\ + \\
&amp;\quad \beta_{6}(\operatorname{Deprivation.S}) + \beta_{7}(\operatorname{Edu.S}) + \beta_{8}(\operatorname{Employed})\ + \\
&amp;\quad \beta_{9}(\operatorname{EthnicCats}_{\operatorname{Maori}}) + \beta_{10}(\operatorname{EthnicCats}_{\operatorname{Pacific}}) + \beta_{11}(\operatorname{EthnicCats}_{\operatorname{Asian}})\ + \\
&amp;\quad \beta_{12}(\operatorname{Male}_{\operatorname{1}}) + \beta_{13}(\operatorname{Partner}_{\operatorname{Has\ }}) + \beta_{14}(\operatorname{Pol.Orient.S})\ + \\
&amp;\quad \beta_{15}(\operatorname{Urban}) + \beta_{16}(\operatorname{Years} \times \operatorname{Beliefs}_{\operatorname{SpiritExcludesGod}}) + \beta_{17}(\operatorname{Years} \times \operatorname{Beliefs}_{\operatorname{GodAndSpirit}})\ + \\
&amp;\quad \beta_{18}(\operatorname{Years} \times \operatorname{Beliefs}_{\operatorname{GodExcludesSpirit}}) \\ \alpha_{j} &amp;\sim N \left(\mu_{\alpha_{j}},\sigma^2_{\alpha_{j}} \right) , \operatorname{ for  Id }~j~= 1, \dots~J = 20,979~\operatorname{Individuals}
\end{aligned}
$$</w:t>
      </w:r>
    </w:p>
    <w:p>
      <w:pPr>
        <w:pStyle w:val="berschrift3"/>
      </w:pPr>
      <w:bookmarkStart w:id="39" w:name="system-and-packages"/>
      <w:r>
        <w:t xml:space="preserve">1.6.1	System and packages.</w:t>
      </w:r>
      <w:bookmarkEnd w:id="39"/>
    </w:p>
    <w:p>
      <w:pPr>
        <w:pStyle w:val="FirstParagraph"/>
      </w:pPr>
      <w:r>
        <w:t xml:space="preserve">The analysis was performed using R version 4.0.2 (2020-06-22). The Platform was x86_64-apple-darwin17.0 (64-bit) Running under: macOS Catalina 10.15.6</w:t>
      </w:r>
      <w:r>
        <w:t xml:space="preserve"> </w:t>
      </w:r>
      <w:r>
        <w:t xml:space="preserve">We are greatful to the contributors and mantainers of the following packages:</w:t>
      </w:r>
      <w:r>
        <w:t xml:space="preserve"> </w:t>
      </w:r>
      <w:r>
        <w:t xml:space="preserve">R</w:t>
      </w:r>
      <w:r>
        <w:t xml:space="preserve"> </w:t>
      </w:r>
      <w:r>
        <w:t xml:space="preserve">(Version 4.0.2; R Core Team, 2020)</w:t>
      </w:r>
      <w:r>
        <w:t xml:space="preserve"> </w:t>
      </w:r>
      <w:r>
        <w:t xml:space="preserve">and the R-packages</w:t>
      </w:r>
      <w:r>
        <w:t xml:space="preserve"> </w:t>
      </w:r>
      <w:r>
        <w:rPr>
          <w:i/>
        </w:rPr>
        <w:t xml:space="preserve">Amelia</w:t>
      </w:r>
      <w:r>
        <w:t xml:space="preserve"> </w:t>
      </w:r>
      <w:r>
        <w:t xml:space="preserve">(Version 1.7.6; Honaker et al., 2011a)</w:t>
      </w:r>
      <w:r>
        <w:t xml:space="preserve">,</w:t>
      </w:r>
      <w:r>
        <w:t xml:space="preserve"> </w:t>
      </w:r>
      <w:r>
        <w:rPr>
          <w:i/>
        </w:rPr>
        <w:t xml:space="preserve">citr</w:t>
      </w:r>
      <w:r>
        <w:t xml:space="preserve"> </w:t>
      </w:r>
      <w:r>
        <w:t xml:space="preserve">(Version 0.3.2; Aust, 2019)</w:t>
      </w:r>
      <w:r>
        <w:t xml:space="preserve">,</w:t>
      </w:r>
      <w:r>
        <w:t xml:space="preserve"> </w:t>
      </w:r>
      <w:r>
        <w:rPr>
          <w:i/>
        </w:rPr>
        <w:t xml:space="preserve">dplyr</w:t>
      </w:r>
      <w:r>
        <w:t xml:space="preserve"> </w:t>
      </w:r>
      <w:r>
        <w:t xml:space="preserve">(Version 1.0.2; Wickham et al., 2020)</w:t>
      </w:r>
      <w:r>
        <w:t xml:space="preserve">,</w:t>
      </w:r>
      <w:r>
        <w:t xml:space="preserve"> </w:t>
      </w:r>
      <w:r>
        <w:rPr>
          <w:i/>
        </w:rPr>
        <w:t xml:space="preserve">equatiomatic</w:t>
      </w:r>
      <w:r>
        <w:t xml:space="preserve"> </w:t>
      </w:r>
      <w:r>
        <w:t xml:space="preserve">(Version 0.1.0.9000; Anderson &amp; Heiss, 2020)</w:t>
      </w:r>
      <w:r>
        <w:t xml:space="preserve">,</w:t>
      </w:r>
      <w:r>
        <w:t xml:space="preserve"> </w:t>
      </w:r>
      <w:r>
        <w:rPr>
          <w:i/>
        </w:rPr>
        <w:t xml:space="preserve">forcats</w:t>
      </w:r>
      <w:r>
        <w:t xml:space="preserve"> </w:t>
      </w:r>
      <w:r>
        <w:t xml:space="preserve">(Version 0.5.0; Wickham, 2020a)</w:t>
      </w:r>
      <w:r>
        <w:t xml:space="preserve">,</w:t>
      </w:r>
      <w:r>
        <w:t xml:space="preserve"> </w:t>
      </w:r>
      <w:r>
        <w:rPr>
          <w:i/>
        </w:rPr>
        <w:t xml:space="preserve">ggeffects</w:t>
      </w:r>
      <w:r>
        <w:t xml:space="preserve"> </w:t>
      </w:r>
      <w:r>
        <w:t xml:space="preserve">(Version 0.15.0; Lüdecke, 2018)</w:t>
      </w:r>
      <w:r>
        <w:t xml:space="preserve">,</w:t>
      </w:r>
      <w:r>
        <w:t xml:space="preserve"> </w:t>
      </w:r>
      <w:r>
        <w:rPr>
          <w:i/>
        </w:rPr>
        <w:t xml:space="preserve">gghighlight</w:t>
      </w:r>
      <w:r>
        <w:t xml:space="preserve"> </w:t>
      </w:r>
      <w:r>
        <w:t xml:space="preserve">(Version 0.3.0; Yutani, 2020)</w:t>
      </w:r>
      <w:r>
        <w:t xml:space="preserve">,</w:t>
      </w:r>
      <w:r>
        <w:t xml:space="preserve"> </w:t>
      </w:r>
      <w:r>
        <w:rPr>
          <w:i/>
        </w:rPr>
        <w:t xml:space="preserve">ggplot2</w:t>
      </w:r>
      <w:r>
        <w:t xml:space="preserve"> </w:t>
      </w:r>
      <w:r>
        <w:t xml:space="preserve">(Version 3.3.2; Wickham, 2016)</w:t>
      </w:r>
      <w:r>
        <w:t xml:space="preserve">,</w:t>
      </w:r>
      <w:r>
        <w:t xml:space="preserve"> </w:t>
      </w:r>
      <w:r>
        <w:rPr>
          <w:i/>
        </w:rPr>
        <w:t xml:space="preserve">ggsci</w:t>
      </w:r>
      <w:r>
        <w:t xml:space="preserve"> </w:t>
      </w:r>
      <w:r>
        <w:t xml:space="preserve">(Version 2.9; Xiao, 2018)</w:t>
      </w:r>
      <w:r>
        <w:t xml:space="preserve">,</w:t>
      </w:r>
      <w:r>
        <w:t xml:space="preserve"> </w:t>
      </w:r>
      <w:r>
        <w:rPr>
          <w:i/>
        </w:rPr>
        <w:t xml:space="preserve">lme4</w:t>
      </w:r>
      <w:r>
        <w:t xml:space="preserve"> </w:t>
      </w:r>
      <w:r>
        <w:t xml:space="preserve">(Version 1.1.23; Bates, Mächler, Bolker, &amp; Walker, 2015)</w:t>
      </w:r>
      <w:r>
        <w:t xml:space="preserve">,</w:t>
      </w:r>
      <w:r>
        <w:t xml:space="preserve"> </w:t>
      </w:r>
      <w:r>
        <w:rPr>
          <w:i/>
        </w:rPr>
        <w:t xml:space="preserve">Matrix</w:t>
      </w:r>
      <w:r>
        <w:t xml:space="preserve"> </w:t>
      </w:r>
      <w:r>
        <w:t xml:space="preserve">(Version 1.2.18; Bates &amp; Maechler, 2019)</w:t>
      </w:r>
      <w:r>
        <w:t xml:space="preserve">,</w:t>
      </w:r>
      <w:r>
        <w:t xml:space="preserve"> </w:t>
      </w:r>
      <w:r>
        <w:rPr>
          <w:i/>
        </w:rPr>
        <w:t xml:space="preserve">papaja</w:t>
      </w:r>
      <w:r>
        <w:t xml:space="preserve"> </w:t>
      </w:r>
      <w:r>
        <w:t xml:space="preserve">(Version 0.1.0.9997; Aust &amp; Barth, 2020)</w:t>
      </w:r>
      <w:r>
        <w:t xml:space="preserve">,</w:t>
      </w:r>
      <w:r>
        <w:t xml:space="preserve"> </w:t>
      </w:r>
      <w:r>
        <w:rPr>
          <w:i/>
        </w:rPr>
        <w:t xml:space="preserve">parameters</w:t>
      </w:r>
      <w:r>
        <w:t xml:space="preserve"> </w:t>
      </w:r>
      <w:r>
        <w:t xml:space="preserve">(Version 0.8.6.1; D. Lüdecke et al., 2020a)</w:t>
      </w:r>
      <w:r>
        <w:t xml:space="preserve">,</w:t>
      </w:r>
      <w:r>
        <w:t xml:space="preserve"> </w:t>
      </w:r>
      <w:r>
        <w:rPr>
          <w:i/>
        </w:rPr>
        <w:t xml:space="preserve">patchwork</w:t>
      </w:r>
      <w:r>
        <w:t xml:space="preserve"> </w:t>
      </w:r>
      <w:r>
        <w:t xml:space="preserve">(Version 1.0.1; Pedersen, 2020)</w:t>
      </w:r>
      <w:r>
        <w:t xml:space="preserve">,</w:t>
      </w:r>
      <w:r>
        <w:t xml:space="preserve"> </w:t>
      </w:r>
      <w:r>
        <w:rPr>
          <w:i/>
        </w:rPr>
        <w:t xml:space="preserve">prettycode</w:t>
      </w:r>
      <w:r>
        <w:t xml:space="preserve"> </w:t>
      </w:r>
      <w:r>
        <w:t xml:space="preserve">(Version 1.1.0; Csárdi, 2019)</w:t>
      </w:r>
      <w:r>
        <w:t xml:space="preserve">,</w:t>
      </w:r>
      <w:r>
        <w:t xml:space="preserve"> </w:t>
      </w:r>
      <w:r>
        <w:rPr>
          <w:i/>
        </w:rPr>
        <w:t xml:space="preserve">purrr</w:t>
      </w:r>
      <w:r>
        <w:t xml:space="preserve"> </w:t>
      </w:r>
      <w:r>
        <w:t xml:space="preserve">(Version 0.3.4; Henry &amp; Wickham, 2020)</w:t>
      </w:r>
      <w:r>
        <w:t xml:space="preserve">,</w:t>
      </w:r>
      <w:r>
        <w:t xml:space="preserve"> </w:t>
      </w:r>
      <w:r>
        <w:rPr>
          <w:i/>
        </w:rPr>
        <w:t xml:space="preserve">Rcpp</w:t>
      </w:r>
      <w:r>
        <w:t xml:space="preserve"> </w:t>
      </w:r>
      <w:r>
        <w:t xml:space="preserve">(Version 1.0.5.1; Eddelbuettel &amp; François, 2011; Eddelbuettel &amp; Balamuta, 2017)</w:t>
      </w:r>
      <w:r>
        <w:t xml:space="preserve">,</w:t>
      </w:r>
      <w:r>
        <w:t xml:space="preserve"> </w:t>
      </w:r>
      <w:r>
        <w:rPr>
          <w:i/>
        </w:rPr>
        <w:t xml:space="preserve">readr</w:t>
      </w:r>
      <w:r>
        <w:t xml:space="preserve"> </w:t>
      </w:r>
      <w:r>
        <w:t xml:space="preserve">(Version 1.3.1; Wickham, Hester, &amp; Francois, 2018)</w:t>
      </w:r>
      <w:r>
        <w:t xml:space="preserve">,</w:t>
      </w:r>
      <w:r>
        <w:t xml:space="preserve"> </w:t>
      </w:r>
      <w:r>
        <w:rPr>
          <w:i/>
        </w:rPr>
        <w:t xml:space="preserve">report</w:t>
      </w:r>
      <w:r>
        <w:t xml:space="preserve"> </w:t>
      </w:r>
      <w:r>
        <w:t xml:space="preserve">(Version 0.1.0; Makowski, Dominique, Lüdecke, &amp; Daniel, 2019)</w:t>
      </w:r>
      <w:r>
        <w:t xml:space="preserve">,</w:t>
      </w:r>
      <w:r>
        <w:t xml:space="preserve"> </w:t>
      </w:r>
      <w:r>
        <w:rPr>
          <w:i/>
        </w:rPr>
        <w:t xml:space="preserve">see</w:t>
      </w:r>
      <w:r>
        <w:t xml:space="preserve"> </w:t>
      </w:r>
      <w:r>
        <w:t xml:space="preserve">(Version 0.5.2.1; D. Lüdecke et al., 2020b)</w:t>
      </w:r>
      <w:r>
        <w:t xml:space="preserve">,</w:t>
      </w:r>
      <w:r>
        <w:t xml:space="preserve"> </w:t>
      </w:r>
      <w:r>
        <w:rPr>
          <w:i/>
        </w:rPr>
        <w:t xml:space="preserve">sjPlot</w:t>
      </w:r>
      <w:r>
        <w:t xml:space="preserve"> </w:t>
      </w:r>
      <w:r>
        <w:t xml:space="preserve">(Version 2.8.4; D. Lüdecke, 2020)</w:t>
      </w:r>
      <w:r>
        <w:t xml:space="preserve">,</w:t>
      </w:r>
      <w:r>
        <w:t xml:space="preserve"> </w:t>
      </w:r>
      <w:r>
        <w:rPr>
          <w:i/>
        </w:rPr>
        <w:t xml:space="preserve">stringr</w:t>
      </w:r>
      <w:r>
        <w:t xml:space="preserve"> </w:t>
      </w:r>
      <w:r>
        <w:t xml:space="preserve">(Version 1.4.0; Wickham, 2019)</w:t>
      </w:r>
      <w:r>
        <w:t xml:space="preserve">,</w:t>
      </w:r>
      <w:r>
        <w:t xml:space="preserve"> </w:t>
      </w:r>
      <w:r>
        <w:rPr>
          <w:i/>
        </w:rPr>
        <w:t xml:space="preserve">styler</w:t>
      </w:r>
      <w:r>
        <w:t xml:space="preserve"> </w:t>
      </w:r>
      <w:r>
        <w:t xml:space="preserve">(Version 1.3.2; Müller &amp; Walthert, 2020)</w:t>
      </w:r>
      <w:r>
        <w:t xml:space="preserve">,</w:t>
      </w:r>
      <w:r>
        <w:t xml:space="preserve"> </w:t>
      </w:r>
      <w:r>
        <w:rPr>
          <w:i/>
        </w:rPr>
        <w:t xml:space="preserve">table1</w:t>
      </w:r>
      <w:r>
        <w:t xml:space="preserve"> </w:t>
      </w:r>
      <w:r>
        <w:t xml:space="preserve">(Version 1.2; Rich, 2020)</w:t>
      </w:r>
      <w:r>
        <w:t xml:space="preserve">,</w:t>
      </w:r>
      <w:r>
        <w:t xml:space="preserve"> </w:t>
      </w:r>
      <w:r>
        <w:rPr>
          <w:i/>
        </w:rPr>
        <w:t xml:space="preserve">texreg</w:t>
      </w:r>
      <w:r>
        <w:t xml:space="preserve"> </w:t>
      </w:r>
      <w:r>
        <w:t xml:space="preserve">(Version 1.37.5; Leifeld, 2013)</w:t>
      </w:r>
      <w:r>
        <w:t xml:space="preserve">,</w:t>
      </w:r>
      <w:r>
        <w:t xml:space="preserve"> </w:t>
      </w:r>
      <w:r>
        <w:rPr>
          <w:i/>
        </w:rPr>
        <w:t xml:space="preserve">tibble</w:t>
      </w:r>
      <w:r>
        <w:t xml:space="preserve"> </w:t>
      </w:r>
      <w:r>
        <w:t xml:space="preserve">(Version 3.0.4; Müller &amp; Wickham, 2020)</w:t>
      </w:r>
      <w:r>
        <w:t xml:space="preserve">,</w:t>
      </w:r>
      <w:r>
        <w:t xml:space="preserve"> </w:t>
      </w:r>
      <w:r>
        <w:rPr>
          <w:i/>
        </w:rPr>
        <w:t xml:space="preserve">tidyr</w:t>
      </w:r>
      <w:r>
        <w:t xml:space="preserve"> </w:t>
      </w:r>
      <w:r>
        <w:t xml:space="preserve">(Version 1.1.2; Wickham, 2020b)</w:t>
      </w:r>
      <w:r>
        <w:t xml:space="preserve">, and</w:t>
      </w:r>
      <w:r>
        <w:t xml:space="preserve"> </w:t>
      </w:r>
      <w:r>
        <w:rPr>
          <w:i/>
        </w:rPr>
        <w:t xml:space="preserve">tidyverse</w:t>
      </w:r>
      <w:r>
        <w:t xml:space="preserve"> </w:t>
      </w:r>
      <w:r>
        <w:t xml:space="preserve">(Version 1.3.0; Wickham, Averick, et al., 2019)</w:t>
      </w:r>
      <w:r>
        <w:t xml:space="preserve">"</w:t>
      </w:r>
    </w:p>
    <w:p>
      <w:pPr>
        <w:pStyle w:val="berschrift3"/>
      </w:pPr>
      <w:bookmarkStart w:id="40" w:name="missing-data"/>
      <w:r>
        <w:t xml:space="preserve">1.6.2	Missing data.</w:t>
      </w:r>
      <w:bookmarkEnd w:id="40"/>
    </w:p>
    <w:p>
      <w:pPr>
        <w:pStyle w:val="FirstParagraph"/>
      </w:pPr>
      <w:r>
        <w:t xml:space="preserve">Because missing values can result in biased estimates</w:t>
      </w:r>
      <w:r>
        <w:t xml:space="preserve"> </w:t>
      </w:r>
      <w:r>
        <w:t xml:space="preserve">(Blackwell, Honaker, &amp; King, 2017)</w:t>
      </w:r>
      <w:r>
        <w:t xml:space="preserve">, we multiply imputed 10 datasets using the AmeliaII package in R</w:t>
      </w:r>
      <w:r>
        <w:t xml:space="preserve">(Honaker et al., 2011b)</w:t>
      </w:r>
      <w:r>
        <w:t xml:space="preserve">.We conducted a parallel analysis averaging over the multiply imputed datasets, without any substantive difference to inferences. Details of this analysis can be found at:</w:t>
      </w:r>
      <w:r>
        <w:t xml:space="preserve"> </w:t>
      </w:r>
      <w:hyperlink r:id="rId41">
        <w:r>
          <w:rPr>
            <w:rStyle w:val="Hyperlink"/>
          </w:rPr>
          <w:t xml:space="preserve">https://github.com/jacopastorius/nzavs_spiritbeliefWellbeing</w:t>
        </w:r>
      </w:hyperlink>
      <w:r>
        <w:t xml:space="preserve">.</w:t>
      </w:r>
    </w:p>
    <w:p>
      <w:pPr>
        <w:pStyle w:val="berschrift2"/>
      </w:pPr>
      <w:bookmarkStart w:id="42" w:name="code"/>
      <w:r>
        <w:t xml:space="preserve">1.7	Code</w:t>
      </w:r>
      <w:bookmarkEnd w:id="42"/>
    </w:p>
    <w:p>
      <w:pPr>
        <w:pStyle w:val="FirstParagraph"/>
      </w:pPr>
      <w:r>
        <w:t xml:space="preserve">All code for this analysis and a full report of the missing data imputation can be found at</w:t>
      </w:r>
      <w:r>
        <w:t xml:space="preserve"> </w:t>
      </w:r>
      <w:hyperlink r:id="rId41">
        <w:r>
          <w:rPr>
            <w:rStyle w:val="Hyperlink"/>
          </w:rPr>
          <w:t xml:space="preserve">https://github.com/jacopastorius/nzavs_spiritbeliefWellbeing</w:t>
        </w:r>
      </w:hyperlink>
      <w:r>
        <w:t xml:space="preserve">.</w:t>
      </w:r>
    </w:p>
    <w:p>
      <w:pPr>
        <w:pStyle w:val="berschrift1"/>
      </w:pPr>
      <w:bookmarkStart w:id="43" w:name="results"/>
      <w:r>
        <w:t xml:space="preserve">2	Results</w:t>
      </w:r>
      <w:bookmarkEnd w:id="43"/>
    </w:p>
    <w:p>
      <w:pPr>
        <w:pStyle w:val="CaptionedFigure"/>
      </w:pPr>
      <w:r>
        <w:drawing>
          <wp:inline>
            <wp:extent cx="5969000" cy="4775200"/>
            <wp:effectExtent b="0" l="0" r="0" t="0"/>
            <wp:docPr descr="Figure 1.   Combination Coefficient Plots for Personal Well-being and Life Satisfaction Spirit Belief Longitudinal Models" title="" id="1" name="Picture"/>
            <a:graphic>
              <a:graphicData uri="http://schemas.openxmlformats.org/drawingml/2006/picture">
                <pic:pic>
                  <pic:nvPicPr>
                    <pic:cNvPr descr="Figs/USE_2_coefficientplots-1.png" id="0" name="Picture"/>
                    <pic:cNvPicPr>
                      <a:picLocks noChangeArrowheads="1" noChangeAspect="1"/>
                    </pic:cNvPicPr>
                  </pic:nvPicPr>
                  <pic:blipFill>
                    <a:blip r:embed="rId4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Combination Coefficient Plots for Personal Well-being and Life Satisfaction Spirit Belief Longitudinal Models</w:t>
      </w:r>
    </w:p>
    <w:p>
      <w:pPr>
        <w:pStyle w:val="Textkrper"/>
      </w:pPr>
      <w:r>
        <w:t xml:space="preserve">Table 2 about here:</w:t>
      </w:r>
    </w:p>
    <w:p>
      <w:pPr>
        <w:pStyle w:val="Textkrper"/>
      </w:pPr>
      <w:r>
        <w:t xml:space="preserve">$$
\begin{table}
\centering 
\caption{"Longitudinal Models"}\label{}
\scalebox{0.6}{
\begin{tabular}{l c c}
\toprule
 &amp; Personal Well-Being &amp; Life Satisfaction \\
\midrule
(Intercept)                        &amp; $\mathbf{6.63}^{***}$  &amp; $\mathbf{4.94}^{***}$  \\
                                   &amp; $(0.03)$               &amp; $(0.02)$               \\
Years                              &amp; $0.00$                 &amp; $-0.00$                \\
                                   &amp; $(0.00)$               &amp; $(0.00)$               \\
Beliefs\_SpiritExcludesGod\_       &amp; $\mathbf{-0.14}^{***}$ &amp; $\mathbf{-0.08}^{***}$ \\
                                   &amp; $(0.03)$               &amp; $(0.02)$               \\
BeliefsGodAndSpirit                &amp; $\mathbf{-0.16}^{***}$ &amp; $-0.04$                \\
                                   &amp; $(0.03)$               &amp; $(0.02)$               \\
BeliefsGodExcludesSpirit           &amp; $0.02$                 &amp; $0.07$                 \\
                                   &amp; $(0.05)$               &amp; $(0.04)$               \\
Age.10yrs.C                        &amp; $\mathbf{0.08}^{***}$  &amp; $\mathbf{0.09}^{***}$  \\
                                   &amp; $(0.01)$               &amp; $(0.01)$               \\
Deprivation.S                      &amp; $\mathbf{-0.14}^{***}$ &amp; $\mathbf{-0.07}^{***}$ \\
                                   &amp; $(0.01)$               &amp; $(0.01)$               \\
Edu.S                              &amp; $\mathbf{0.12}^{***}$  &amp; $\mathbf{0.06}^{***}$  \\
                                   &amp; $(0.01)$               &amp; $(0.01)$               \\
Employed1                          &amp; $\mathbf{0.09}^{***}$  &amp; $\mathbf{0.08}^{***}$  \\
                                   &amp; $(0.01)$               &amp; $(0.01)$               \\
EthnicCatsMaori                    &amp; $\mathbf{-0.30}^{***}$ &amp; $\mathbf{-0.06}^{**}$  \\
                                   &amp; $(0.03)$               &amp; $(0.02)$               \\
EthnicCatsPacific                  &amp; $\mathbf{-0.29}^{***}$ &amp; $\mathbf{-0.08}^{*}$   \\
                                   &amp; $(0.05)$               &amp; $(0.04)$               \\
EthnicCatsAsian                    &amp; $-0.08$                &amp; $-0.04$                \\
                                   &amp; $(0.05)$               &amp; $(0.03)$               \\
Male1                              &amp; $\mathbf{-0.11}^{***}$ &amp; $\mathbf{-0.19}^{***}$ \\
                                   &amp; $(0.02)$               &amp; $(0.01)$               \\
Partner1                           &amp; $\mathbf{0.61}^{***}$  &amp; $\mathbf{0.42}^{***}$  \\
                                   &amp; $(0.02)$               &amp; $(0.01)$               \\
Pol.Orient.S                       &amp; $\mathbf{0.02}^{***}$  &amp; $\mathbf{0.01}^{**}$   \\
                                   &amp; $(0.01)$               &amp; $(0.00)$               \\
UrbanUrban                         &amp; $\mathbf{-0.02}^{*}$   &amp; $\mathbf{-0.02}^{*}$   \\
                                   &amp; $(0.01)$               &amp; $(0.01)$               \\
Years:Beliefs\_SpiritExcludesGod\_ &amp; $\mathbf{0.02}^{**}$   &amp; $\mathbf{0.02}^{***}$  \\
                                   &amp; $(0.00)$               &amp; $(0.00)$               \\
Years:BeliefsGodAndSpirit          &amp; $\mathbf{0.02}^{***}$  &amp; $\mathbf{0.01}^{***}$  \\
                                   &amp; $(0.00)$               &amp; $(0.00)$               \\
Years:BeliefsGodExcludesSpirit     &amp; $0.00$                 &amp; $-0.00$                \\
                                   &amp; $(0.01)$               &amp; $(0.01)$               \\
\midrule
AIC                                &amp; $248580.18$            &amp; $200599.16$            \\
BIC                                &amp; $248775.08$            &amp; $200793.96$            \\
Log Likelihood                     &amp; $-124269.09$           &amp; $-100278.58$           \\
Num. obs.                          &amp; $79270$                &amp; $78888$                \\
Num. groups: Id                    &amp; $20979$                &amp; $20972$                \\
Var: Id (Intercept)                &amp; $1.78$                 &amp; $0.88$                 \\
Var: Residual                      &amp; $0.74$                 &amp; $0.42$                 \\
\bottomrule
\multicolumn{3}{l}{\scriptsize{$^{***}p&lt;0.001$; $^{**}p&lt;0.01$; $^{*}p&lt;0.05$}}
\end{tabular}
}
\end{table}
$$</w:t>
      </w:r>
    </w:p>
    <w:p>
      <w:pPr>
        <w:pStyle w:val="berschrift2"/>
      </w:pPr>
      <w:bookmarkStart w:id="45" w:name="personal-well-being-1"/>
      <w:r>
        <w:t xml:space="preserve">2.1	Personal Well-Being</w:t>
      </w:r>
      <w:bookmarkEnd w:id="45"/>
    </w:p>
    <w:p>
      <w:pPr>
        <w:pStyle w:val="FirstParagraph"/>
      </w:pPr>
      <w:r>
        <w:t xml:space="preserve">We fitted a linear mixed model (estimated using REML and nloptwrap optimizer) to predict personal well-being (PWI) with Years (0-9), Beliefs (four categories), Age.10yrs.C, Deprivation.S, Edu.S, Employed, EthnicCats, Male, Partner, Pol.Orient.S and Urban, withId as random effects. The model included Id as random effects. The model’s intercept, corresponding to Years = 0, Beliefs = Skeptic, Age = (sample mean), Deprivation.S = (sample mean), Edu.S =(sample mean), Employed = Not Employed, EthnicCats = Euro, Male = Not Mail, Partner = No Partner, Pol.Orient.S = (sample mean),, Urban = Not Urban and Id = 2, is at 4.94 (SE = 0.02, 95% CI [4.89, 4.99], p &lt; .001) is at 6.63 (SE = 0.03, 95% CI [6.57, 6.70], p &lt; .001). Within this model:</w:t>
      </w:r>
    </w:p>
    <w:p>
      <w:pPr>
        <w:pStyle w:val="Compact"/>
        <w:numPr>
          <w:numId w:val="1001"/>
          <w:ilvl w:val="0"/>
        </w:numPr>
      </w:pPr>
      <w:r>
        <w:t xml:space="preserve">The effect of Years is positive is not reliable (beta = 2.66e-03, SE = 3.58e-03, std. beta = 3.19e-03, p = 0.458). We infer that Skeptics personal well-being is not increasing in the Skeptic population</w:t>
      </w:r>
    </w:p>
    <w:p>
      <w:pPr>
        <w:pStyle w:val="Compact"/>
        <w:numPr>
          <w:numId w:val="1001"/>
          <w:ilvl w:val="0"/>
        </w:numPr>
      </w:pPr>
      <w:r>
        <w:t xml:space="preserve">The effect of Beliefs in SpiritExcludesGod is reliably negative (beta = -0.14, SE = 0.03, std. beta = -0.03, p &lt; .001). We infer that overall the population that believes in a Spirit but does not believe in a God is expected to have a lower personal well-being than skeptics.</w:t>
      </w:r>
    </w:p>
    <w:p>
      <w:pPr>
        <w:pStyle w:val="Compact"/>
        <w:numPr>
          <w:numId w:val="1001"/>
          <w:ilvl w:val="0"/>
        </w:numPr>
      </w:pPr>
      <w:r>
        <w:t xml:space="preserve">The effect of Beliefs in GodAndSpirit is reliably negative (beta = -0.16, SE = 0.03, std. beta = -0.02, p &lt; .001). We infer that overall the population that believes in God and a spirit or life force is expected to have a lower Personal Well-being than skeptics.</w:t>
      </w:r>
    </w:p>
    <w:p>
      <w:pPr>
        <w:pStyle w:val="Compact"/>
        <w:numPr>
          <w:numId w:val="1001"/>
          <w:ilvl w:val="0"/>
        </w:numPr>
      </w:pPr>
      <w:r>
        <w:t xml:space="preserve">The effect of Beliefs in GodExcludesSpirit is not reliably different from the skeptic population (beta = 0.02, SE = 0.05, std. beta = 0.02, p = 0.669).</w:t>
      </w:r>
    </w:p>
    <w:p>
      <w:pPr>
        <w:pStyle w:val="Compact"/>
        <w:numPr>
          <w:numId w:val="1001"/>
          <w:ilvl w:val="0"/>
        </w:numPr>
      </w:pPr>
      <w:r>
        <w:t xml:space="preserve">The effect of Age.10yrs.C is reliably positive (beta = 0.08, SE = 7.38e-03, std. beta = 0.07, p &lt; .001). Older people have greater personal well-beingwellbeing.</w:t>
      </w:r>
    </w:p>
    <w:p>
      <w:pPr>
        <w:pStyle w:val="Compact"/>
        <w:numPr>
          <w:numId w:val="1001"/>
          <w:ilvl w:val="0"/>
        </w:numPr>
      </w:pPr>
      <w:r>
        <w:t xml:space="preserve">The effect of Deprivation (S) is reliably negative (beta = -0.14, SE = 7.50e-03, std. beta = -0.08, p &lt; .001). Deprived people have lower personal well-beingwellbeing.</w:t>
      </w:r>
    </w:p>
    <w:p>
      <w:pPr>
        <w:pStyle w:val="Compact"/>
        <w:numPr>
          <w:numId w:val="1001"/>
          <w:ilvl w:val="0"/>
        </w:numPr>
      </w:pPr>
      <w:r>
        <w:t xml:space="preserve">The effect of Education (S) is reliably positive (beta = 0.12, SE = 8.74e-03, std. beta = 0.07, p &lt; .001). Educated people greater personal well-beingwellbeing</w:t>
      </w:r>
    </w:p>
    <w:p>
      <w:pPr>
        <w:pStyle w:val="Compact"/>
        <w:numPr>
          <w:numId w:val="1001"/>
          <w:ilvl w:val="0"/>
        </w:numPr>
      </w:pPr>
      <w:r>
        <w:t xml:space="preserve">The effect of Employed is reliably positive (beta = 0.09, SE = 0.01, std. beta = 0.05, p &lt; .001). Employed people have greater personal well-beingwellbeing.</w:t>
      </w:r>
    </w:p>
    <w:p>
      <w:pPr>
        <w:pStyle w:val="Compact"/>
        <w:numPr>
          <w:numId w:val="1001"/>
          <w:ilvl w:val="0"/>
        </w:numPr>
      </w:pPr>
      <w:r>
        <w:t xml:space="preserve">The effect of identifying as Maori is reliably negative (beta = -0.30, SE = 0.03, std. beta = -0.18, p &lt; .001).</w:t>
      </w:r>
    </w:p>
    <w:p>
      <w:pPr>
        <w:pStyle w:val="Compact"/>
        <w:numPr>
          <w:numId w:val="1001"/>
          <w:ilvl w:val="0"/>
        </w:numPr>
      </w:pPr>
      <w:r>
        <w:t xml:space="preserve">The effect of identifying as Pacific is reliably negative (beta = -0.29, SE = 0.05, std. beta = -0.17, p &lt; .001).</w:t>
      </w:r>
    </w:p>
    <w:p>
      <w:pPr>
        <w:pStyle w:val="Compact"/>
        <w:numPr>
          <w:numId w:val="1001"/>
          <w:ilvl w:val="0"/>
        </w:numPr>
      </w:pPr>
      <w:r>
        <w:t xml:space="preserve">The effect of identifying as Asian is not reliable (beta = -0.08, SE = 0.05, std. beta = -0.05, p = 0.089).</w:t>
      </w:r>
    </w:p>
    <w:p>
      <w:pPr>
        <w:pStyle w:val="Compact"/>
        <w:numPr>
          <w:numId w:val="1001"/>
          <w:ilvl w:val="0"/>
        </w:numPr>
      </w:pPr>
      <w:r>
        <w:t xml:space="preserve">The effect of identifying as Male is reliably negative (beta = -0.11, SE = 0.02, std. beta = -0.06, p &lt; .001).</w:t>
      </w:r>
    </w:p>
    <w:p>
      <w:pPr>
        <w:pStyle w:val="Compact"/>
        <w:numPr>
          <w:numId w:val="1001"/>
          <w:ilvl w:val="0"/>
        </w:numPr>
      </w:pPr>
      <w:r>
        <w:t xml:space="preserve">The effect of having a Partner is reliably positive (beta = 0.61, SE = 0.02, std. beta = 0.37, p &lt; .001).</w:t>
      </w:r>
    </w:p>
    <w:p>
      <w:pPr>
        <w:pStyle w:val="Compact"/>
        <w:numPr>
          <w:numId w:val="1001"/>
          <w:ilvl w:val="0"/>
        </w:numPr>
      </w:pPr>
      <w:r>
        <w:t xml:space="preserve">The effect of Political Conservativism (S) is reliably positive (beta = 0.02, SE = 5.67e-03, std. beta = 0.01, p &lt; .001).</w:t>
      </w:r>
    </w:p>
    <w:p>
      <w:pPr>
        <w:pStyle w:val="Compact"/>
        <w:numPr>
          <w:numId w:val="1001"/>
          <w:ilvl w:val="0"/>
        </w:numPr>
      </w:pPr>
      <w:r>
        <w:t xml:space="preserve">The effect of living in an Urban area is reliably negative (beta = -0.02, SE = 0.01, std. beta = -0.01, p &lt; .05).</w:t>
      </w:r>
    </w:p>
    <w:p>
      <w:pPr>
        <w:pStyle w:val="berschrift2"/>
      </w:pPr>
      <w:bookmarkStart w:id="46" w:name="personal-well-being-years-x-beliefs"/>
      <w:r>
        <w:t xml:space="preserve">2.2	Personal well-being: years X beliefs</w:t>
      </w:r>
      <w:bookmarkEnd w:id="46"/>
    </w:p>
    <w:p>
      <w:pPr>
        <w:pStyle w:val="FirstParagraph"/>
      </w:pPr>
      <w:r>
        <w:drawing>
          <wp:inline>
            <wp:extent cx="5969000" cy="4775200"/>
            <wp:effectExtent b="0" l="0" r="0" t="0"/>
            <wp:docPr descr="Figure 2.   Combination Coefficient Plots for Personal Well-being and Life Satisfaction Spirit Belief Longitudinal Models" title="" id="1" name="Picture"/>
            <a:graphic>
              <a:graphicData uri="http://schemas.openxmlformats.org/drawingml/2006/picture">
                <pic:pic>
                  <pic:nvPicPr>
                    <pic:cNvPr descr="Figs/USEPWI_expected-1.png" id="0" name="Picture"/>
                    <pic:cNvPicPr>
                      <a:picLocks noChangeArrowheads="1" noChangeAspect="1"/>
                    </pic:cNvPicPr>
                  </pic:nvPicPr>
                  <pic:blipFill>
                    <a:blip r:embed="rId47"/>
                    <a:stretch>
                      <a:fillRect/>
                    </a:stretch>
                  </pic:blipFill>
                  <pic:spPr bwMode="auto">
                    <a:xfrm>
                      <a:off x="0" y="0"/>
                      <a:ext cx="5969000" cy="4775200"/>
                    </a:xfrm>
                    <a:prstGeom prst="rect">
                      <a:avLst/>
                    </a:prstGeom>
                    <a:noFill/>
                    <a:ln w="9525">
                      <a:noFill/>
                      <a:headEnd/>
                      <a:tailEnd/>
                    </a:ln>
                  </pic:spPr>
                </pic:pic>
              </a:graphicData>
            </a:graphic>
          </wp:inline>
        </w:drawing>
      </w:r>
      <w:r>
        <w:t xml:space="preserve"> </w:t>
      </w:r>
      <w:r>
        <w:t xml:space="preserve">Focusing on the interaction of time with belief-type on personal well-being we observe:</w:t>
      </w:r>
    </w:p>
    <w:p>
      <w:pPr>
        <w:pStyle w:val="Compact"/>
        <w:numPr>
          <w:numId w:val="1002"/>
          <w:ilvl w:val="0"/>
        </w:numPr>
      </w:pPr>
      <w:r>
        <w:t xml:space="preserve">The effect of years</w:t>
      </w:r>
      <w:r>
        <w:t xml:space="preserve"> </w:t>
      </w:r>
      <m:oMath>
        <m:r>
          <m:t>×</m:t>
        </m:r>
      </m:oMath>
      <w:r>
        <w:t xml:space="preserve"> </w:t>
      </w:r>
      <w:r>
        <w:t xml:space="preserve">belief in a SpiritExcludesGod_ is reliably positive (beta = 0.02, SE = 4.86e-03, std. beta = 0.02, p &lt; .01). We infer that, unlike the skeptic population, people with beliefs in a spirit or life force who do not believe in a God tend to grow in their personal well-being over time.</w:t>
      </w:r>
    </w:p>
    <w:p>
      <w:pPr>
        <w:pStyle w:val="Compact"/>
        <w:numPr>
          <w:numId w:val="1002"/>
          <w:ilvl w:val="0"/>
        </w:numPr>
      </w:pPr>
      <w:r>
        <w:t xml:space="preserve">The effect of years</w:t>
      </w:r>
      <w:r>
        <w:t xml:space="preserve"> </w:t>
      </w:r>
      <m:oMath>
        <m:r>
          <m:t>×</m:t>
        </m:r>
      </m:oMath>
      <w:r>
        <w:t xml:space="preserve"> </w:t>
      </w:r>
      <w:r>
        <w:t xml:space="preserve">in GodAndSpirit is reliably positive (beta = 0.02, SE = 4.41e-03, std. beta = 0.03, p &lt; .001). We infer that people who believe in a spirit or life force who also believe in a God tend to grow in their personal well-being over time</w:t>
      </w:r>
    </w:p>
    <w:p>
      <w:pPr>
        <w:pStyle w:val="Compact"/>
        <w:numPr>
          <w:numId w:val="1002"/>
          <w:ilvl w:val="0"/>
        </w:numPr>
      </w:pPr>
      <w:r>
        <w:t xml:space="preserve">The effect of Years</w:t>
      </w:r>
      <w:r>
        <w:t xml:space="preserve"> </w:t>
      </w:r>
      <m:oMath>
        <m:r>
          <m:t>×</m:t>
        </m:r>
      </m:oMath>
      <w:r>
        <w:t xml:space="preserve"> </w:t>
      </w:r>
      <w:r>
        <w:t xml:space="preserve">belief in GodExcludesSpirit is not reliable(beta = 1.96e-03, SE = 8.29e-03, std. beta = 2.36e-03, p = 0.813). Thus, God believers who doubt in a Spirit or Life Force start maintain higher personal well-being than do other groups, but they are not expected to grow in personal well-being over time.</w:t>
      </w:r>
    </w:p>
    <w:p>
      <w:pPr>
        <w:pStyle w:val="berschrift2"/>
      </w:pPr>
      <w:bookmarkStart w:id="48" w:name="life-satisfaction-1"/>
      <w:r>
        <w:t xml:space="preserve">2.3	Life Satisfaction</w:t>
      </w:r>
      <w:bookmarkEnd w:id="48"/>
    </w:p>
    <w:p>
      <w:pPr>
        <w:pStyle w:val="FirstParagraph"/>
      </w:pPr>
      <w:r>
        <w:t xml:space="preserve">We fitted a linear mixed model (estimated using REML and nloptwrap optimizer) to predict Life Satisfaction (LIFESAT) with Years (0-9), Beliefs (four categories), Age.10yrs.C, Deprivation (S), Education (S), Employed, EthnicCats, Male, Partner, Pol.Orient.S and Urban, with Id as random effects. Standardized parameters were obtained by fitting the model on a standardized version of the dataset. The model’s total explanatory power is substantial (conditional R2 = 0.69). The model’s intercept, corresponding to Years = 0, Beliefs = Skeptic, Age = (sample mean),, Deprivation.S = (sample mean), Education =(sample mean), Employed = Not Employed, EthnicCats = Euro, Male = Not Mail, Partner = No Partner, Pol.Orient.S = (sample mean), Urban = Not Urban and Id = 2, is at 4.94 (SE = 0.02, 95% CI [4.89, 4.99], p &lt; .001). Within this model:</w:t>
      </w:r>
    </w:p>
    <w:p>
      <w:pPr>
        <w:pStyle w:val="Compact"/>
        <w:numPr>
          <w:numId w:val="1003"/>
          <w:ilvl w:val="0"/>
        </w:numPr>
      </w:pPr>
      <w:r>
        <w:t xml:space="preserve">The effect of years is not reliable (beta = -5.50e-04, SE = 2.69e-03, std. beta = -9.32e-04, p = 0.838). We do not infer growth over time in Life Satisfaction among the Skeptic population</w:t>
      </w:r>
    </w:p>
    <w:p>
      <w:pPr>
        <w:pStyle w:val="Compact"/>
        <w:numPr>
          <w:numId w:val="1003"/>
          <w:ilvl w:val="0"/>
        </w:numPr>
      </w:pPr>
      <w:r>
        <w:t xml:space="preserve">The effect of beliefs in SpiritExcludesGod is reliably negative (beta = -0.08, SE = 0.02, std. beta = 0.01, p &lt; .001). We infer that overall the population that believes in a Spirit but does not believe in a God is expected to have a lower Life Satisfaction than skeptics.</w:t>
      </w:r>
    </w:p>
    <w:p>
      <w:pPr>
        <w:pStyle w:val="Compact"/>
        <w:numPr>
          <w:numId w:val="1003"/>
          <w:ilvl w:val="0"/>
        </w:numPr>
      </w:pPr>
      <w:r>
        <w:t xml:space="preserve">The effect of beliefs in GodAndSpirit is not reliable (beta = -0.04, SE = 0.02, std. beta = 0.04, p = 0.105). We do not infer growth over time in Life Satisfaction among this (Skeptic) population</w:t>
      </w:r>
    </w:p>
    <w:p>
      <w:pPr>
        <w:pStyle w:val="Compact"/>
        <w:numPr>
          <w:numId w:val="1003"/>
          <w:ilvl w:val="0"/>
        </w:numPr>
      </w:pPr>
      <w:r>
        <w:t xml:space="preserve">The effect of beliefs in GodExcludesSpirit is reliably positive (beta = 0.07, SE = 0.04, std. beta = 0.05, p = 0.062).We infer that overall the population that believes in a God but does not believe in a spirit is not reliably different from the Skeptics population in Life Satisfaction.</w:t>
      </w:r>
    </w:p>
    <w:p>
      <w:pPr>
        <w:pStyle w:val="Compact"/>
        <w:numPr>
          <w:numId w:val="1003"/>
          <w:ilvl w:val="0"/>
        </w:numPr>
      </w:pPr>
      <w:r>
        <w:t xml:space="preserve">The effect of Age.10yrs.C is reliably positive (beta = 0.09, SE = 5.26e-03, std. beta = 0.10, p &lt; .001). Older people have greater Life Satisfaction</w:t>
      </w:r>
    </w:p>
    <w:p>
      <w:pPr>
        <w:pStyle w:val="Compact"/>
        <w:numPr>
          <w:numId w:val="1003"/>
          <w:ilvl w:val="0"/>
        </w:numPr>
      </w:pPr>
      <w:r>
        <w:t xml:space="preserve">The effect of Deprivation (S) is is reliably negative (beta = -0.07, SE = 5.50e-03, std. beta = -0.06, p &lt; .001). People who are more deprived have lower Life Satisfaction.</w:t>
      </w:r>
    </w:p>
    <w:p>
      <w:pPr>
        <w:pStyle w:val="Compact"/>
        <w:numPr>
          <w:numId w:val="1003"/>
          <w:ilvl w:val="0"/>
        </w:numPr>
      </w:pPr>
      <w:r>
        <w:t xml:space="preserve">The effect of Education (S) is reliably positive (beta = 0.06, SE = 6.33e-03, std. beta = 0.05, p &lt; .001). Educated people have greater Life Satisfaction</w:t>
      </w:r>
    </w:p>
    <w:p>
      <w:pPr>
        <w:pStyle w:val="Compact"/>
        <w:numPr>
          <w:numId w:val="1003"/>
          <w:ilvl w:val="0"/>
        </w:numPr>
      </w:pPr>
      <w:r>
        <w:t xml:space="preserve">The effect of being Employed is reliably positive (beta = 0.08, SE = 9.69e-03, std. beta = 0.07, p &lt; .001). People who are employed tend to have greater Life Satisfaction</w:t>
      </w:r>
    </w:p>
    <w:p>
      <w:pPr>
        <w:pStyle w:val="Compact"/>
        <w:numPr>
          <w:numId w:val="1003"/>
          <w:ilvl w:val="0"/>
        </w:numPr>
      </w:pPr>
      <w:r>
        <w:t xml:space="preserve">The effect of identifying as Maori is reliably negative (beta = -0.06, SE = 0.02, std. beta = -0.05, p &lt; .01). People who belong to the minority Maori group tend to have lower Life Satisfaction.</w:t>
      </w:r>
    </w:p>
    <w:p>
      <w:pPr>
        <w:pStyle w:val="Compact"/>
        <w:numPr>
          <w:numId w:val="1003"/>
          <w:ilvl w:val="0"/>
        </w:numPr>
      </w:pPr>
      <w:r>
        <w:t xml:space="preserve">The effect of identifying as Pacific is reliably negative (beta = -0.08, SE = 0.04, std. beta = -0.07, p &lt; .05). People who belong to the minority Pacific peoples group tend to have lower life satisfaction.</w:t>
      </w:r>
    </w:p>
    <w:p>
      <w:pPr>
        <w:pStyle w:val="Compact"/>
        <w:numPr>
          <w:numId w:val="1003"/>
          <w:ilvl w:val="0"/>
        </w:numPr>
      </w:pPr>
      <w:r>
        <w:t xml:space="preserve">The effect of identifying as Asian is not reliably different from people of European ethnicity in life satisfaction(beta = -0.04, SE = 0.03, std. beta = -0.03, p = 0.223).</w:t>
      </w:r>
    </w:p>
    <w:p>
      <w:pPr>
        <w:pStyle w:val="Compact"/>
        <w:numPr>
          <w:numId w:val="1003"/>
          <w:ilvl w:val="0"/>
        </w:numPr>
      </w:pPr>
      <w:r>
        <w:t xml:space="preserve">The effect of identifying as Male is reliably negative (beta = -0.19, SE = 0.01, std. beta = -0.16, p &lt; .001).</w:t>
      </w:r>
    </w:p>
    <w:p>
      <w:pPr>
        <w:pStyle w:val="Compact"/>
        <w:numPr>
          <w:numId w:val="1003"/>
          <w:ilvl w:val="0"/>
        </w:numPr>
      </w:pPr>
      <w:r>
        <w:t xml:space="preserve">The effect of having a Parnter is reliably positive (beta = 0.42, SE = 0.01, std. beta = 0.35, p &lt; .001).</w:t>
      </w:r>
    </w:p>
    <w:p>
      <w:pPr>
        <w:pStyle w:val="Compact"/>
        <w:numPr>
          <w:numId w:val="1003"/>
          <w:ilvl w:val="0"/>
        </w:numPr>
      </w:pPr>
      <w:r>
        <w:t xml:space="preserve">The effect of Political Conservativism (S) is reliably positive (beta = 0.01, SE = 4.23e-03, std. beta = 0.01, p &lt; .01).</w:t>
      </w:r>
    </w:p>
    <w:p>
      <w:pPr>
        <w:pStyle w:val="Compact"/>
        <w:numPr>
          <w:numId w:val="1003"/>
          <w:ilvl w:val="0"/>
        </w:numPr>
      </w:pPr>
      <w:r>
        <w:t xml:space="preserve">The effect of living in an Urban area is reliably negative (beta = -0.02, SE = 8.85e-03, std. beta = -0.02, p &lt; .05).</w:t>
      </w:r>
    </w:p>
    <w:p>
      <w:pPr>
        <w:pStyle w:val="berschrift2"/>
      </w:pPr>
      <w:bookmarkStart w:id="49" w:name="life-satisfaction-years-x-beliefs"/>
      <w:r>
        <w:t xml:space="preserve">2.4	Life Satisfaction: years X beliefs</w:t>
      </w:r>
      <w:bookmarkEnd w:id="49"/>
    </w:p>
    <w:p>
      <w:pPr>
        <w:pStyle w:val="FirstParagraph"/>
      </w:pPr>
      <w:r>
        <w:drawing>
          <wp:inline>
            <wp:extent cx="5969000" cy="4775200"/>
            <wp:effectExtent b="0" l="0" r="0" t="0"/>
            <wp:docPr descr="Figure 3.   Prediction Plot Life Satisfaction Spirit Belief Longitudinal Models" title="" id="1" name="Picture"/>
            <a:graphic>
              <a:graphicData uri="http://schemas.openxmlformats.org/drawingml/2006/picture">
                <pic:pic>
                  <pic:nvPicPr>
                    <pic:cNvPr descr="Figs/USElifsat_expected-1.png" id="0" name="Picture"/>
                    <pic:cNvPicPr>
                      <a:picLocks noChangeArrowheads="1" noChangeAspect="1"/>
                    </pic:cNvPicPr>
                  </pic:nvPicPr>
                  <pic:blipFill>
                    <a:blip r:embed="rId50"/>
                    <a:stretch>
                      <a:fillRect/>
                    </a:stretch>
                  </pic:blipFill>
                  <pic:spPr bwMode="auto">
                    <a:xfrm>
                      <a:off x="0" y="0"/>
                      <a:ext cx="5969000" cy="4775200"/>
                    </a:xfrm>
                    <a:prstGeom prst="rect">
                      <a:avLst/>
                    </a:prstGeom>
                    <a:noFill/>
                    <a:ln w="9525">
                      <a:noFill/>
                      <a:headEnd/>
                      <a:tailEnd/>
                    </a:ln>
                  </pic:spPr>
                </pic:pic>
              </a:graphicData>
            </a:graphic>
          </wp:inline>
        </w:drawing>
      </w:r>
      <w:r>
        <w:t xml:space="preserve"> </w:t>
      </w:r>
      <w:r>
        <w:t xml:space="preserve">- The interaction of years</w:t>
      </w:r>
      <w:r>
        <w:t xml:space="preserve"> </w:t>
      </w:r>
      <m:oMath>
        <m:r>
          <m:t>×</m:t>
        </m:r>
      </m:oMath>
      <w:r>
        <w:t xml:space="preserve"> </w:t>
      </w:r>
      <w:r>
        <w:t xml:space="preserve">beliefs in SpiritExcludesGod is reliably positive (beta = 0.02, SE = 3.66e-03, std. beta = 0.03, p &lt; .001). We infer that, unlike the Skeptic population, people with beliefs in a Spirit or Life Force who do not believe in a God tend to grow in their Life Satisfaction over time.</w:t>
      </w:r>
      <w:r>
        <w:t xml:space="preserve"> </w:t>
      </w:r>
      <w:r>
        <w:t xml:space="preserve">- The interaction of years</w:t>
      </w:r>
      <w:r>
        <w:t xml:space="preserve"> </w:t>
      </w:r>
      <m:oMath>
        <m:r>
          <m:t>×</m:t>
        </m:r>
      </m:oMath>
      <w:r>
        <w:t xml:space="preserve"> </w:t>
      </w:r>
      <w:r>
        <w:t xml:space="preserve">beliefsGodAndSpirit is reliably positive (beta = 0.01, SE = 3.32e-03, std. beta = 0.02, p &lt; .001). We infer that people who believe in a spirit or life force who also believe in a God tend to grow in their Life Satisfaction over time</w:t>
      </w:r>
      <w:r>
        <w:t xml:space="preserve"> </w:t>
      </w:r>
      <w:r>
        <w:t xml:space="preserve">- The effect of years</w:t>
      </w:r>
      <w:r>
        <w:t xml:space="preserve"> </w:t>
      </w:r>
      <m:oMath>
        <m:r>
          <m:t>×</m:t>
        </m:r>
      </m:oMath>
      <w:r>
        <w:t xml:space="preserve"> </w:t>
      </w:r>
      <w:r>
        <w:t xml:space="preserve">beliefs in GodExcludesSpirit is not reliable (beta = -1.59e-03, SE = 6.25e-03, std. beta = -2.70e-03, p = 0.799). Thus, God believers who doubt in a Spirit or Life Force start maintain higher Life-Satisfaction than do other groups, but they are not expected to grow in Life-Satisfaction over time.</w:t>
      </w:r>
    </w:p>
    <w:p>
      <w:pPr>
        <w:pStyle w:val="berschrift2"/>
      </w:pPr>
      <w:bookmarkStart w:id="51" w:name="imputed-data-analysis"/>
      <w:r>
        <w:t xml:space="preserve">2.5	Imputed data analysis</w:t>
      </w:r>
      <w:bookmarkEnd w:id="51"/>
    </w:p>
    <w:p>
      <w:pPr>
        <w:pStyle w:val="FirstParagraph"/>
      </w:pPr>
      <w:r>
        <w:t xml:space="preserve">To adjust for potential bias from missing responses, we conducted a supplementary analysis in which we imputed missing values over the the longitudinal sample. This analysis is describe in Supplement 1. Averaging over the missing responses does not change inference, however we observe growth across all four groups in both personal well-being and life satisfaction. Additionally we observe substantially stronger effects for the slope of Spirit Beliefs on both personal well-being and life-satisfaction. Figures 3 and Figures 4 describe the predicted slopes of change. The inference from this analysis remains the same as from the analysis in which we delete missing values row-wise, by panel wave. In all analyses, those who believe in a spirit or life-force experience greater growth in both Personal Well-being and Life Satisfaction over time.</w:t>
      </w:r>
    </w:p>
    <w:p>
      <w:pPr>
        <w:pStyle w:val="Textkrper"/>
      </w:pPr>
      <w:r>
        <w:t xml:space="preserve">Figure 3 about here:</w:t>
      </w:r>
    </w:p>
    <w:p>
      <w:pPr>
        <w:pStyle w:val="CaptionedFigure"/>
      </w:pPr>
      <w:r>
        <w:drawing>
          <wp:inline>
            <wp:extent cx="5969000" cy="4775200"/>
            <wp:effectExtent b="0" l="0" r="0" t="0"/>
            <wp:docPr descr="Figure 4.   Imputed data analysis: coefficient plot" title="" id="1" name="Picture"/>
            <a:graphic>
              <a:graphicData uri="http://schemas.openxmlformats.org/drawingml/2006/picture">
                <pic:pic>
                  <pic:nvPicPr>
                    <pic:cNvPr descr="Figs/coefficient_plot_both_imputed-1.png" id="0" name="Picture"/>
                    <pic:cNvPicPr>
                      <a:picLocks noChangeArrowheads="1" noChangeAspect="1"/>
                    </pic:cNvPicPr>
                  </pic:nvPicPr>
                  <pic:blipFill>
                    <a:blip r:embed="rId5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Imputed data analysis: coefficient plot</w:t>
      </w:r>
    </w:p>
    <w:p>
      <w:pPr>
        <w:pStyle w:val="Textkrper"/>
      </w:pPr>
      <w:r>
        <w:t xml:space="preserve">Figure 4 about here:</w:t>
      </w:r>
    </w:p>
    <w:p>
      <w:pPr>
        <w:pStyle w:val="CaptionedFigure"/>
      </w:pPr>
      <w:r>
        <w:drawing>
          <wp:inline>
            <wp:extent cx="5969000" cy="4775200"/>
            <wp:effectExtent b="0" l="0" r="0" t="0"/>
            <wp:docPr descr="Figure 5.   Imputed data analysis: predicted personal wellbeing by years X beliefs" title="" id="1" name="Picture"/>
            <a:graphic>
              <a:graphicData uri="http://schemas.openxmlformats.org/drawingml/2006/picture">
                <pic:pic>
                  <pic:nvPicPr>
                    <pic:cNvPr descr="Figs/predicted_PWI_impute-1.png" id="0" name="Picture"/>
                    <pic:cNvPicPr>
                      <a:picLocks noChangeArrowheads="1" noChangeAspect="1"/>
                    </pic:cNvPicPr>
                  </pic:nvPicPr>
                  <pic:blipFill>
                    <a:blip r:embed="rId5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Imputed data analysis: predicted personal wellbeing by years X beliefs</w:t>
      </w:r>
    </w:p>
    <w:p>
      <w:pPr>
        <w:pStyle w:val="Textkrper"/>
      </w:pPr>
      <w:r>
        <w:t xml:space="preserve">Figure 5 about here:</w:t>
      </w:r>
    </w:p>
    <w:p>
      <w:pPr>
        <w:pStyle w:val="CaptionedFigure"/>
      </w:pPr>
      <w:r>
        <w:drawing>
          <wp:inline>
            <wp:extent cx="5969000" cy="4775200"/>
            <wp:effectExtent b="0" l="0" r="0" t="0"/>
            <wp:docPr descr="Figure 6.   Imputed data analysis: predicted personal wellbeing by years X beliefs" title="" id="1" name="Picture"/>
            <a:graphic>
              <a:graphicData uri="http://schemas.openxmlformats.org/drawingml/2006/picture">
                <pic:pic>
                  <pic:nvPicPr>
                    <pic:cNvPr descr="Figs/predicted_lifesat_imputed-1.png" id="0" name="Picture"/>
                    <pic:cNvPicPr>
                      <a:picLocks noChangeArrowheads="1" noChangeAspect="1"/>
                    </pic:cNvPicPr>
                  </pic:nvPicPr>
                  <pic:blipFill>
                    <a:blip r:embed="rId5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  </w:t>
      </w:r>
      <w:r>
        <w:t xml:space="preserve"> </w:t>
      </w:r>
      <w:r>
        <w:t xml:space="preserve">Imputed data analysis: predicted personal wellbeing by years X beliefs</w:t>
      </w:r>
    </w:p>
    <w:p>
      <w:pPr>
        <w:pStyle w:val="berschrift1"/>
      </w:pPr>
      <w:bookmarkStart w:id="55" w:name="discussion"/>
      <w:r>
        <w:t xml:space="preserve">3	Discussion</w:t>
      </w:r>
      <w:bookmarkEnd w:id="55"/>
    </w:p>
    <w:p>
      <w:pPr>
        <w:pStyle w:val="FirstParagraph"/>
      </w:pPr>
      <w:r>
        <w:t xml:space="preserve">The purpose of this study has been to clarify the relationship between belief in a spirit/life force and subjective well-being, addressing three challenges from previous research: (1) tautological measures of spirituality and subjective well-being; (2) insufficiently distinct measures of spirituality and religion; (3) cross-sectional samples. Here, we ask whether beliefs in a Spirit or Life Force predict growth in personal well-being and life-satisfaction over 9 waves (8 years) in nationally diverse western populations who differ in the dimensions of spiritual and religious beliefs. We observe that:</w:t>
      </w:r>
    </w:p>
    <w:p>
      <w:pPr>
        <w:numPr>
          <w:numId w:val="1004"/>
          <w:ilvl w:val="0"/>
        </w:numPr>
      </w:pPr>
      <w:r>
        <w:t xml:space="preserve">At the outset of the study, in 2010, the expected subjective well-being as measured using the Personal Well-being Inventory was expected to be lower among those who believed in Spirit or Life Force but not a God (</w:t>
      </w:r>
      <m:oMath>
        <m:acc>
          <m:accPr>
            <m:chr m:val="̂"/>
          </m:accPr>
          <m:e>
            <m:r>
              <m:t>y</m:t>
            </m:r>
          </m:e>
        </m:acc>
      </m:oMath>
      <w:r>
        <w:t xml:space="preserve"> </w:t>
      </w:r>
      <w:r>
        <w:t xml:space="preserve">= 6.50, se =.03) and lower among those who believed in both a Spirit/Life-Force and a God (</w:t>
      </w:r>
      <m:oMath>
        <m:acc>
          <m:accPr>
            <m:chr m:val="̂"/>
          </m:accPr>
          <m:e>
            <m:r>
              <m:t>y</m:t>
            </m:r>
          </m:e>
        </m:acc>
      </m:oMath>
      <w:r>
        <w:t xml:space="preserve"> </w:t>
      </w:r>
      <w:r>
        <w:t xml:space="preserve">= 6.48, se =.03) in comparison both to the skeptical population who neither believed in a God nor a life force (</w:t>
      </w:r>
      <m:oMath>
        <m:acc>
          <m:accPr>
            <m:chr m:val="̂"/>
          </m:accPr>
          <m:e>
            <m:r>
              <m:t>y</m:t>
            </m:r>
          </m:e>
        </m:acc>
      </m:oMath>
      <w:r>
        <w:t xml:space="preserve"> </w:t>
      </w:r>
      <w:r>
        <w:t xml:space="preserve">= 6.64,se =.03) and to the population that believed in a God but was skeptical about belief in a Spirit or Life Force (</w:t>
      </w:r>
      <m:oMath>
        <m:acc>
          <m:accPr>
            <m:chr m:val="̂"/>
          </m:accPr>
          <m:e>
            <m:r>
              <m:t>y</m:t>
            </m:r>
          </m:e>
        </m:acc>
      </m:oMath>
      <w:r>
        <w:t xml:space="preserve"> </w:t>
      </w:r>
      <w:r>
        <w:t xml:space="preserve">6.66, se =.05). (See Figure 2) Similarly,the expected subjective well-being as measured using the Life Satisfaction Inventory is lower among those who believed in Spirit or Life Force but not a God (</w:t>
      </w:r>
      <m:oMath>
        <m:acc>
          <m:accPr>
            <m:chr m:val="̂"/>
          </m:accPr>
          <m:e>
            <m:r>
              <m:t>y</m:t>
            </m:r>
          </m:e>
        </m:acc>
      </m:oMath>
      <w:r>
        <w:t xml:space="preserve"> </w:t>
      </w:r>
      <w:r>
        <w:t xml:space="preserve">= 4.86, se =.02) and lower among those who believed in both a Spirit/Life-Force and a God (</w:t>
      </w:r>
      <m:oMath>
        <m:acc>
          <m:accPr>
            <m:chr m:val="̂"/>
          </m:accPr>
          <m:e>
            <m:r>
              <m:t>y</m:t>
            </m:r>
          </m:e>
        </m:acc>
      </m:oMath>
      <w:r>
        <w:t xml:space="preserve"> </w:t>
      </w:r>
      <w:r>
        <w:t xml:space="preserve">= 4.91, se =.02) in comparison both with the skeptical population who neither believed in a God nor a life force (</w:t>
      </w:r>
      <m:oMath>
        <m:acc>
          <m:accPr>
            <m:chr m:val="̂"/>
          </m:accPr>
          <m:e>
            <m:r>
              <m:t>y</m:t>
            </m:r>
          </m:e>
        </m:acc>
      </m:oMath>
      <w:r>
        <w:t xml:space="preserve"> </w:t>
      </w:r>
      <w:r>
        <w:t xml:space="preserve">= 4.94,se =.02) and the population that believed in a God but was skeptical about belief in a Spirit or Life Force (</w:t>
      </w:r>
      <m:oMath>
        <m:acc>
          <m:accPr>
            <m:chr m:val="̂"/>
          </m:accPr>
          <m:e>
            <m:r>
              <m:t>y</m:t>
            </m:r>
          </m:e>
        </m:acc>
      </m:oMath>
      <w:r>
        <w:t xml:space="preserve"> </w:t>
      </w:r>
      <w:r>
        <w:t xml:space="preserve">5.02, se =.02) (see Figure 3)</w:t>
      </w:r>
    </w:p>
    <w:p>
      <w:pPr>
        <w:numPr>
          <w:numId w:val="1004"/>
          <w:ilvl w:val="0"/>
        </w:numPr>
      </w:pPr>
      <w:r>
        <w:t xml:space="preserve">However, over time, belief in a Spirit or Life Force predicts a trajectory of growth in personal well-being. In 2018, personal well-being among who believe in Spirit or Life Force but not a God had grown to (</w:t>
      </w:r>
      <m:oMath>
        <m:acc>
          <m:accPr>
            <m:chr m:val="̂"/>
          </m:accPr>
          <m:e>
            <m:r>
              <m:t>y</m:t>
            </m:r>
          </m:e>
        </m:acc>
      </m:oMath>
      <w:r>
        <w:t xml:space="preserve"> </w:t>
      </w:r>
      <w:r>
        <w:t xml:space="preserve">= 6.67, se =.03,</w:t>
      </w:r>
      <w:r>
        <w:t xml:space="preserve"> </w:t>
      </w:r>
      <m:oMath>
        <m:r>
          <m:t>Δ</m:t>
        </m:r>
        <m:acc>
          <m:accPr>
            <m:chr m:val="̂"/>
          </m:accPr>
          <m:e>
            <m:r>
              <m:t>y</m:t>
            </m:r>
          </m:e>
        </m:acc>
        <m:r>
          <m:t>=</m:t>
        </m:r>
        <m:r>
          <m:t>0.17</m:t>
        </m:r>
      </m:oMath>
      <w:r>
        <w:t xml:space="preserve">). Among those who believed in both a Spirit/Life-Force and a God Personal Well-Being had grown to (</w:t>
      </w:r>
      <m:oMath>
        <m:acc>
          <m:accPr>
            <m:chr m:val="̂"/>
          </m:accPr>
          <m:e>
            <m:r>
              <m:t>y</m:t>
            </m:r>
          </m:e>
        </m:acc>
      </m:oMath>
      <w:r>
        <w:t xml:space="preserve"> </w:t>
      </w:r>
      <w:r>
        <w:t xml:space="preserve">= 6.69, se = 0.02,</w:t>
      </w:r>
      <m:oMath>
        <m:r>
          <m:t>Δ</m:t>
        </m:r>
        <m:acc>
          <m:accPr>
            <m:chr m:val="̂"/>
          </m:accPr>
          <m:e>
            <m:r>
              <m:t>y</m:t>
            </m:r>
          </m:e>
        </m:acc>
        <m:r>
          <m:t>=</m:t>
        </m:r>
        <m:r>
          <m:t>.21</m:t>
        </m:r>
      </m:oMath>
      <w:r>
        <w:t xml:space="preserve">). To place this effect in practical perspective, such growth in personal well-being is about twice as large as the expected benefit of being employed and about a third as large as the expected benefit from having a romantic partner. By contrast, personal well-being among the skeptical population who neither believed in a God nor a Life Force remained stable across the eight year interval</w:t>
      </w:r>
      <w:r>
        <w:t xml:space="preserve"> </w:t>
      </w:r>
      <m:oMath>
        <m:acc>
          <m:accPr>
            <m:chr m:val="̂"/>
          </m:accPr>
          <m:e>
            <m:r>
              <m:t>y</m:t>
            </m:r>
          </m:e>
        </m:acc>
        <m:r>
          <m:t>=</m:t>
        </m:r>
        <m:r>
          <m:t>6.66</m:t>
        </m:r>
        <m:r>
          <m:t>,</m:t>
        </m:r>
        <m:r>
          <m:t>s</m:t>
        </m:r>
        <m:r>
          <m:t>e</m:t>
        </m:r>
        <m:r>
          <m:t>=</m:t>
        </m:r>
        <m:r>
          <m:t>0.03</m:t>
        </m:r>
        <m:r>
          <m:t>,</m:t>
        </m:r>
        <m:r>
          <m:t>Δ</m:t>
        </m:r>
        <m:acc>
          <m:accPr>
            <m:chr m:val="̂"/>
          </m:accPr>
          <m:e>
            <m:r>
              <m:t>y</m:t>
            </m:r>
          </m:e>
        </m:acc>
        <m:r>
          <m:t>=</m:t>
        </m:r>
        <m:r>
          <m:t>.02</m:t>
        </m:r>
      </m:oMath>
      <w:r>
        <w:t xml:space="preserve">). By the same token, personal well-being among those who believe in a God but are skeptical about a Spirit/Life Force was constant</w:t>
      </w:r>
      <w:r>
        <w:t xml:space="preserve"> </w:t>
      </w:r>
      <m:oMath>
        <m:acc>
          <m:accPr>
            <m:chr m:val="̂"/>
          </m:accPr>
          <m:e>
            <m:r>
              <m:t>y</m:t>
            </m:r>
          </m:e>
        </m:acc>
        <m:r>
          <m:t>=</m:t>
        </m:r>
        <m:r>
          <m:t>6.70</m:t>
        </m:r>
        <m:r>
          <m:t>,</m:t>
        </m:r>
        <m:r>
          <m:t>s</m:t>
        </m:r>
        <m:r>
          <m:t>e</m:t>
        </m:r>
        <m:r>
          <m:t>=</m:t>
        </m:r>
        <m:r>
          <m:t>0.04</m:t>
        </m:r>
        <m:r>
          <m:t>,</m:t>
        </m:r>
        <m:r>
          <m:t>Δ</m:t>
        </m:r>
        <m:acc>
          <m:accPr>
            <m:chr m:val="̂"/>
          </m:accPr>
          <m:e>
            <m:r>
              <m:t>y</m:t>
            </m:r>
          </m:e>
        </m:acc>
        <m:r>
          <m:t>=</m:t>
        </m:r>
        <m:r>
          <m:t>.04</m:t>
        </m:r>
      </m:oMath>
      <w:r>
        <w:t xml:space="preserve">). Similarly, over time, belief in a Spirit or Life Force predicts a trajectory of growth in Life Satisfaction. In 2018, life satisfaction among those who believe in Spirit or Life Force but not a God had grown to (</w:t>
      </w:r>
      <m:oMath>
        <m:acc>
          <m:accPr>
            <m:chr m:val="̂"/>
          </m:accPr>
          <m:e>
            <m:r>
              <m:t>y</m:t>
            </m:r>
          </m:e>
        </m:acc>
        <m:r>
          <m:t>=</m:t>
        </m:r>
        <m:r>
          <m:t>5.01</m:t>
        </m:r>
        <m:r>
          <m:t>,</m:t>
        </m:r>
        <m:r>
          <m:t>s</m:t>
        </m:r>
        <m:r>
          <m:t>e</m:t>
        </m:r>
        <m:r>
          <m:t>=</m:t>
        </m:r>
        <m:r>
          <m:t>0.02</m:t>
        </m:r>
        <m:r>
          <m:t>,</m:t>
        </m:r>
        <m:r>
          <m:t>Δ</m:t>
        </m:r>
        <m:acc>
          <m:accPr>
            <m:chr m:val="̂"/>
          </m:accPr>
          <m:e>
            <m:r>
              <m:t>y</m:t>
            </m:r>
          </m:e>
        </m:acc>
        <m:r>
          <m:t>=</m:t>
        </m:r>
        <m:r>
          <m:t>0.07</m:t>
        </m:r>
      </m:oMath>
      <w:r>
        <w:t xml:space="preserve">). In practical terms, such growth is equivalent to the expected gain in Life Satisfaction from being employed and a sixth as large as the expected benefit to Life Satisfaction from having a romantic partner. Among those who believed in both a Spirit/Life-Force and a God, life satisfaction had grown to (</w:t>
      </w:r>
      <m:oMath>
        <m:acc>
          <m:accPr>
            <m:chr m:val="̂"/>
          </m:accPr>
          <m:e>
            <m:r>
              <m:t>y</m:t>
            </m:r>
          </m:e>
        </m:acc>
        <m:r>
          <m:t>=</m:t>
        </m:r>
        <m:r>
          <m:t>5.03</m:t>
        </m:r>
        <m:r>
          <m:t>,</m:t>
        </m:r>
        <m:r>
          <m:t>s</m:t>
        </m:r>
        <m:r>
          <m:t>e</m:t>
        </m:r>
        <m:r>
          <m:t>=</m:t>
        </m:r>
        <m:r>
          <m:t>0.02</m:t>
        </m:r>
        <m:r>
          <m:t>,</m:t>
        </m:r>
        <m:r>
          <m:t>Δ</m:t>
        </m:r>
        <m:acc>
          <m:accPr>
            <m:chr m:val="̂"/>
          </m:accPr>
          <m:e>
            <m:r>
              <m:t>y</m:t>
            </m:r>
          </m:e>
        </m:acc>
        <m:r>
          <m:t>=</m:t>
        </m:r>
        <m:r>
          <m:t>0.12</m:t>
        </m:r>
      </m:oMath>
      <w:r>
        <w:t xml:space="preserve">). In practical terms, such growth is equivalent to 1.5 times the expected gain to life satisfaction from being employed and almost a third benefit to life satisfaction from having a romantic partner. By contrast, life satisfaction among the skeptical population who neither believed in a God nor a Life Force remained stable over the eight year interval</w:t>
      </w:r>
      <w:r>
        <w:t xml:space="preserve"> </w:t>
      </w:r>
      <m:oMath>
        <m:acc>
          <m:accPr>
            <m:chr m:val="̂"/>
          </m:accPr>
          <m:e>
            <m:r>
              <m:t>y</m:t>
            </m:r>
          </m:e>
        </m:acc>
        <m:r>
          <m:t>=</m:t>
        </m:r>
        <m:r>
          <m:t>4.94</m:t>
        </m:r>
        <m:r>
          <m:t>,</m:t>
        </m:r>
        <m:r>
          <m:t>s</m:t>
        </m:r>
        <m:r>
          <m:t>e</m:t>
        </m:r>
        <m:r>
          <m:t>=</m:t>
        </m:r>
        <m:r>
          <m:t>0.02</m:t>
        </m:r>
        <m:r>
          <m:t>,</m:t>
        </m:r>
        <m:r>
          <m:t>Δ</m:t>
        </m:r>
        <m:acc>
          <m:accPr>
            <m:chr m:val="̂"/>
          </m:accPr>
          <m:e>
            <m:r>
              <m:t>y</m:t>
            </m:r>
          </m:e>
        </m:acc>
        <m:r>
          <m:t>=</m:t>
        </m:r>
        <m:r>
          <m:t>0</m:t>
        </m:r>
      </m:oMath>
      <w:r>
        <w:t xml:space="preserve">). Relatedly, life satisfaction in the population that believe in God but are skeptical about a Spirit/Life Force was constant</w:t>
      </w:r>
      <w:r>
        <w:t xml:space="preserve"> </w:t>
      </w:r>
      <m:oMath>
        <m:acc>
          <m:accPr>
            <m:chr m:val="̂"/>
          </m:accPr>
          <m:e>
            <m:r>
              <m:t>y</m:t>
            </m:r>
          </m:e>
        </m:acc>
        <m:r>
          <m:t>=</m:t>
        </m:r>
        <m:r>
          <m:t>5.00</m:t>
        </m:r>
        <m:r>
          <m:t>,</m:t>
        </m:r>
        <m:r>
          <m:t>s</m:t>
        </m:r>
        <m:r>
          <m:t>e</m:t>
        </m:r>
        <m:r>
          <m:t>=</m:t>
        </m:r>
        <m:r>
          <m:t>0.03</m:t>
        </m:r>
        <m:r>
          <m:t>,</m:t>
        </m:r>
        <m:r>
          <m:t>Δ</m:t>
        </m:r>
        <m:acc>
          <m:accPr>
            <m:chr m:val="̂"/>
          </m:accPr>
          <m:e>
            <m:r>
              <m:t>y</m:t>
            </m:r>
          </m:e>
        </m:acc>
        <m:r>
          <m:t>=</m:t>
        </m:r>
        <m:r>
          <m:t>−</m:t>
        </m:r>
        <m:r>
          <m:t>.02</m:t>
        </m:r>
      </m:oMath>
      <w:r>
        <w:t xml:space="preserve">) (See Figure 3).</w:t>
      </w:r>
    </w:p>
    <w:p>
      <w:pPr>
        <w:numPr>
          <w:numId w:val="1004"/>
          <w:ilvl w:val="0"/>
        </w:numPr>
      </w:pPr>
      <w:r>
        <w:t xml:space="preserve">Inferred growth from spiritual beliefs is evident from 9 annual waves of data collection (8 years), and across a nationally diverse sample. On this basis of this longitudinal information accumulated across nationally, we are confident that growth in personal well-being and in life-satisfaction among those who believe in a Spirit and Life force are evident. Such effects co-occur in people who lack a belief in a God as well as among people who believe in a God as well as a Spirit or Life force.</w:t>
      </w:r>
    </w:p>
    <w:p>
      <w:pPr>
        <w:pStyle w:val="berschrift2"/>
      </w:pPr>
      <w:bookmarkStart w:id="56" w:name="key-questions"/>
      <w:r>
        <w:t xml:space="preserve">3.1	Key Questions</w:t>
      </w:r>
      <w:bookmarkEnd w:id="56"/>
    </w:p>
    <w:p>
      <w:pPr>
        <w:pStyle w:val="FirstParagraph"/>
      </w:pPr>
      <w:r>
        <w:t xml:space="preserve">Two fundamental question arise from the patterns we observe in this study. The first question is why those who believed in Spirit or Life Force were initially lower in their personal well-being and life-satisfaction in the initial years of this study in comparison to religious and non-religious skeptics? During the early years of New Zealand Attitudes and Values data collection New Zealand was emerging from the twin impacts of a global financial recession and a series of devastating earthquakes that destroyed 30% of Christchurch, New Zealand’s second largest city [CITE]. Orthogonal research observes that economic and ecological distress are associated with increases in traditional religious beliefs [CITE, CITE]. Previous research finds an increase in traditional religious affiliation in the wake of the Christchurch earthquakes, with no immediate effect in subjective well-being. Experimental research has found among religious people death anxiety provokes acceptance of non-traditional religious beliefs [cite]. Because spiritual belief items were only introduced during the year of the earthquakes, we cannot here resolve whether the shifting relationship between spirit beliefs and well-being were the result of demand for spiritual beliefs among those secular and religious people who were adversely affected by the financial crisis or natural disaster. On the other hand, such exogenous influences might have adversely affected those with Spirit/Life force beliefs in the early phases of this study, and the patterns observed here are better understood as a regression to a population mean. Though beyond the scope of this study, how subjective well-being changes in response to changes in spiritual beliefs, as well as special sensitivities to distress among people with spiritual beliefs are important questions for future investigations. Despite the longitudinal quality of this study, a causal explanation remains elusive.</w:t>
      </w:r>
    </w:p>
    <w:p>
      <w:pPr>
        <w:pStyle w:val="Textkrper"/>
      </w:pPr>
      <w:r>
        <w:t xml:space="preserve">Second, our task here has been to clarify whether beliefs predict growth in well-being. However, as we have indicated at the outset, the term</w:t>
      </w:r>
      <w:r>
        <w:t xml:space="preserve"> </w:t>
      </w:r>
      <w:r>
        <w:t xml:space="preserve">“</w:t>
      </w:r>
      <w:r>
        <w:t xml:space="preserve">spirituality</w:t>
      </w:r>
      <w:r>
        <w:t xml:space="preserve">”</w:t>
      </w:r>
      <w:r>
        <w:t xml:space="preserve"> </w:t>
      </w:r>
      <w:r>
        <w:t xml:space="preserve">applies to a family of concepts. We have not attempted to model the diverse philosophical, social, and behavioral attributes within people who adhere to spirit beliefs. Moreover, people might identify as spiritual without having any accompanying belief in a Spirit or Life force. The task of clarifying how distinct features across a diverse family of</w:t>
      </w:r>
      <w:r>
        <w:t xml:space="preserve"> </w:t>
      </w:r>
      <w:r>
        <w:t xml:space="preserve">“</w:t>
      </w:r>
      <w:r>
        <w:t xml:space="preserve">spirituality</w:t>
      </w:r>
      <w:r>
        <w:t xml:space="preserve">”</w:t>
      </w:r>
      <w:r>
        <w:t xml:space="preserve"> </w:t>
      </w:r>
      <w:r>
        <w:t xml:space="preserve">concepts affect perceptions of individual well-being remain intriguing horizons.</w:t>
      </w:r>
    </w:p>
    <w:p>
      <w:pPr>
        <w:pStyle w:val="berschrift2"/>
      </w:pPr>
      <w:bookmarkStart w:id="57" w:name="importance"/>
      <w:r>
        <w:t xml:space="preserve">3.2	Importance</w:t>
      </w:r>
      <w:bookmarkEnd w:id="57"/>
    </w:p>
    <w:p>
      <w:pPr>
        <w:pStyle w:val="FirstParagraph"/>
      </w:pPr>
      <w:r>
        <w:t xml:space="preserve">Despite its limitations, our study is important both for its methods and its findings. We demonstrate that spirituality can be operationalised to avoid the pitfalls of tautology evident in previous research by focusing on states of beliefs, that concepts of such belief states can be refined to enable distinctions necessary to investigate spirituality in mixed secular and religious populations, and that the question of whether beliefs states predict growth in subjective well-being can be investigated in a longitudional setting. Our finding that, indeed, spiritual beliefs predict growth in perceived well-being and life satisfaction may hold practical importance. Previous research indicates that religious beliefs are associated with having a rewarding life. Western populations are increasingly identifying as</w:t>
      </w:r>
      <w:r>
        <w:t xml:space="preserve"> </w:t>
      </w:r>
      <w:r>
        <w:t xml:space="preserve">“</w:t>
      </w:r>
      <w:r>
        <w:t xml:space="preserve">spiritual but not religious</w:t>
      </w:r>
      <w:r>
        <w:t xml:space="preserve">”</w:t>
      </w:r>
      <w:r>
        <w:t xml:space="preserve"> </w:t>
      </w:r>
      <w:r>
        <w:t xml:space="preserve">(Swinton, 2001; Zinnbauer &amp; Pargament, 2005)</w:t>
      </w:r>
      <w:r>
        <w:t xml:space="preserve">, raising the specter that the psychological from traditional might be receding. Here, we observe that even among people who lack a traditional religious belief in God, believing in a Spirit or Life force predicts incremental improvements in well-being that sum to practically large effects. Though the contextual and psychological mechanisms that underpin such growth will require many decades of research, this preliminary finding is good news for those increasing numbers of individuals continue to report spiritual beliefs but who do not affirm traditional religious beliefs.</w:t>
      </w:r>
    </w:p>
    <w:p>
      <w:pPr>
        <w:pStyle w:val="berschrift3"/>
      </w:pPr>
      <w:bookmarkStart w:id="58" w:name="authors-contributions"/>
      <w:r>
        <w:t xml:space="preserve">3.2.1	Authors contributions.</w:t>
      </w:r>
      <w:bookmarkEnd w:id="58"/>
    </w:p>
    <w:p>
      <w:pPr>
        <w:pStyle w:val="FirstParagraph"/>
      </w:pPr>
      <w:r>
        <w:t xml:space="preserve">BH conceived of the study, wrote the first draft of the manuscript, and performed the initial data analysis with input from JB. EW developed the study with BH and JB and revised the manuscript. DD revised the manuscript. CS was responsible for NZAVS data collection and revised the manuscript. JB developed the study with BH and EW, performed the data re-analysis, and revised the manuscript.</w:t>
      </w:r>
    </w:p>
    <w:p>
      <w:pPr>
        <w:pStyle w:val="berschrift3"/>
      </w:pPr>
      <w:bookmarkStart w:id="59" w:name="funding-statement"/>
      <w:r>
        <w:t xml:space="preserve">3.2.2	Funding statement.</w:t>
      </w:r>
      <w:bookmarkEnd w:id="59"/>
    </w:p>
    <w:p>
      <w:pPr>
        <w:pStyle w:val="FirstParagraph"/>
      </w:pPr>
      <w:r>
        <w:t xml:space="preserve">The New Zealand Attitudes and Values Study is supported by a grant from the Templeton Religion Trust (TRT0196). The funders had no role in the preparation of the article or the decision to publish.</w:t>
      </w:r>
    </w:p>
    <w:p>
      <w:r>
        <w:br w:type="page"/>
      </w:r>
    </w:p>
    <w:p>
      <w:pPr>
        <w:pStyle w:val="berschrift1"/>
      </w:pPr>
      <w:bookmarkStart w:id="60" w:name="references"/>
      <w:r>
        <w:t xml:space="preserve">4	References</w:t>
      </w:r>
      <w:bookmarkEnd w:id="60"/>
    </w:p>
    <w:bookmarkStart w:id="145" w:name="refs"/>
    <w:bookmarkStart w:id="62" w:name="ref-R-equatiomatic"/>
    <w:p>
      <w:pPr>
        <w:pStyle w:val="Literaturverzeichnis"/>
        <w:pStyle w:val="Literaturverzeichnis"/>
      </w:pPr>
      <w:r>
        <w:t xml:space="preserve">Anderson, D., &amp; Heiss, A. (2020).</w:t>
      </w:r>
      <w:r>
        <w:t xml:space="preserve"> </w:t>
      </w:r>
      <w:r>
        <w:rPr>
          <w:i/>
        </w:rPr>
        <w:t xml:space="preserve">Equatiomatic: Transform models into ’latex’ equations</w:t>
      </w:r>
      <w:r>
        <w:t xml:space="preserve">. Retrieved from</w:t>
      </w:r>
      <w:r>
        <w:t xml:space="preserve"> </w:t>
      </w:r>
      <w:hyperlink r:id="rId61">
        <w:r>
          <w:rPr>
            <w:rStyle w:val="Hyperlink"/>
          </w:rPr>
          <w:t xml:space="preserve">https://github.com/datalorax/equatiomatic</w:t>
        </w:r>
      </w:hyperlink>
    </w:p>
    <w:bookmarkEnd w:id="62"/>
    <w:bookmarkStart w:id="63" w:name="ref-Ano2005-hx"/>
    <w:p>
      <w:pPr>
        <w:pStyle w:val="Literaturverzeichnis"/>
        <w:pStyle w:val="Literaturverzeichnis"/>
      </w:pPr>
      <w:r>
        <w:t xml:space="preserve">Ano, G. G., &amp; Vasconcelles, E. B. (2005). Religious coping and psychological adjustment to stress: A meta‐analysis.</w:t>
      </w:r>
      <w:r>
        <w:t xml:space="preserve"> </w:t>
      </w:r>
      <w:r>
        <w:rPr>
          <w:i/>
        </w:rPr>
        <w:t xml:space="preserve">J. Clin. Psychol.</w:t>
      </w:r>
    </w:p>
    <w:bookmarkEnd w:id="63"/>
    <w:bookmarkStart w:id="64" w:name="ref-Atkinson2014-ex"/>
    <w:p>
      <w:pPr>
        <w:pStyle w:val="Literaturverzeichnis"/>
        <w:pStyle w:val="Literaturverzeichnis"/>
      </w:pPr>
      <w:r>
        <w:t xml:space="preserve">Atkinson, J., Salmond, C., &amp; Crampton, P. (2014). NZDep2013 index of deprivation.</w:t>
      </w:r>
      <w:r>
        <w:t xml:space="preserve"> </w:t>
      </w:r>
      <w:r>
        <w:rPr>
          <w:i/>
        </w:rPr>
        <w:t xml:space="preserve">Wellington: Department of Public Health, University of Otago</w:t>
      </w:r>
      <w:r>
        <w:t xml:space="preserve">.</w:t>
      </w:r>
    </w:p>
    <w:bookmarkEnd w:id="64"/>
    <w:bookmarkStart w:id="66" w:name="ref-R-citr"/>
    <w:p>
      <w:pPr>
        <w:pStyle w:val="Literaturverzeichnis"/>
        <w:pStyle w:val="Literaturverzeichnis"/>
      </w:pPr>
      <w:r>
        <w:t xml:space="preserve">Aust, F. (2019).</w:t>
      </w:r>
      <w:r>
        <w:t xml:space="preserve"> </w:t>
      </w:r>
      <w:r>
        <w:rPr>
          <w:i/>
        </w:rPr>
        <w:t xml:space="preserve">Citr: ’RStudio’ add-in to insert markdown citations</w:t>
      </w:r>
      <w:r>
        <w:t xml:space="preserve">. Retrieved from</w:t>
      </w:r>
      <w:r>
        <w:t xml:space="preserve"> </w:t>
      </w:r>
      <w:hyperlink r:id="rId65">
        <w:r>
          <w:rPr>
            <w:rStyle w:val="Hyperlink"/>
          </w:rPr>
          <w:t xml:space="preserve">https://github.com/crsh/citr</w:t>
        </w:r>
      </w:hyperlink>
    </w:p>
    <w:bookmarkEnd w:id="66"/>
    <w:bookmarkStart w:id="68" w:name="ref-R-papaja"/>
    <w:p>
      <w:pPr>
        <w:pStyle w:val="Literaturverzeichnis"/>
        <w:pStyle w:val="Literaturverzeichnis"/>
      </w:pPr>
      <w:r>
        <w:t xml:space="preserve">Aust, F., &amp; Barth, M. (2020).</w:t>
      </w:r>
      <w:r>
        <w:t xml:space="preserve"> </w:t>
      </w:r>
      <w:r>
        <w:rPr>
          <w:i/>
        </w:rPr>
        <w:t xml:space="preserve">papaja: Create APA manuscripts with R Markdown</w:t>
      </w:r>
      <w:r>
        <w:t xml:space="preserve">. Retrieved from</w:t>
      </w:r>
      <w:r>
        <w:t xml:space="preserve"> </w:t>
      </w:r>
      <w:hyperlink r:id="rId67">
        <w:r>
          <w:rPr>
            <w:rStyle w:val="Hyperlink"/>
          </w:rPr>
          <w:t xml:space="preserve">https://github.com/crsh/papaja</w:t>
        </w:r>
      </w:hyperlink>
    </w:p>
    <w:bookmarkEnd w:id="68"/>
    <w:bookmarkStart w:id="70" w:name="ref-R-Matrix"/>
    <w:p>
      <w:pPr>
        <w:pStyle w:val="Literaturverzeichnis"/>
        <w:pStyle w:val="Literaturverzeichnis"/>
      </w:pPr>
      <w:r>
        <w:t xml:space="preserve">Bates, D., &amp; Maechler, M. (2019).</w:t>
      </w:r>
      <w:r>
        <w:t xml:space="preserve"> </w:t>
      </w:r>
      <w:r>
        <w:rPr>
          <w:i/>
        </w:rPr>
        <w:t xml:space="preserve">Matrix: Sparse and dense matrix classes and methods</w:t>
      </w:r>
      <w:r>
        <w:t xml:space="preserve">. Retrieved from</w:t>
      </w:r>
      <w:r>
        <w:t xml:space="preserve"> </w:t>
      </w:r>
      <w:hyperlink r:id="rId69">
        <w:r>
          <w:rPr>
            <w:rStyle w:val="Hyperlink"/>
          </w:rPr>
          <w:t xml:space="preserve">https://CRAN.R-project.org/package=Matrix</w:t>
        </w:r>
      </w:hyperlink>
    </w:p>
    <w:bookmarkEnd w:id="70"/>
    <w:bookmarkStart w:id="72" w:name="ref-R-lme4"/>
    <w:p>
      <w:pPr>
        <w:pStyle w:val="Literaturverzeichnis"/>
        <w:pStyle w:val="Literaturverzeichnis"/>
      </w:pPr>
      <w:r>
        <w:t xml:space="preserve">Bates, D., Mächler, M., Bolker, B., &amp; Walker, S. (2015). Fitting linear mixed-effects models using lme4.</w:t>
      </w:r>
      <w:r>
        <w:t xml:space="preserve"> </w:t>
      </w:r>
      <w:r>
        <w:rPr>
          <w:i/>
        </w:rPr>
        <w:t xml:space="preserve">Journal of Statistical Software</w:t>
      </w:r>
      <w:r>
        <w:t xml:space="preserve">,</w:t>
      </w:r>
      <w:r>
        <w:t xml:space="preserve"> </w:t>
      </w:r>
      <w:r>
        <w:rPr>
          <w:i/>
        </w:rPr>
        <w:t xml:space="preserve">67</w:t>
      </w:r>
      <w:r>
        <w:t xml:space="preserve">(1), 1–48.</w:t>
      </w:r>
      <w:r>
        <w:t xml:space="preserve"> </w:t>
      </w:r>
      <w:hyperlink r:id="rId71">
        <w:r>
          <w:rPr>
            <w:rStyle w:val="Hyperlink"/>
          </w:rPr>
          <w:t xml:space="preserve">https://doi.org/10.18637/jss.v067.i01</w:t>
        </w:r>
      </w:hyperlink>
    </w:p>
    <w:bookmarkEnd w:id="72"/>
    <w:bookmarkStart w:id="73" w:name="ref-Blackwell2017-oq"/>
    <w:p>
      <w:pPr>
        <w:pStyle w:val="Literaturverzeichnis"/>
        <w:pStyle w:val="Literaturverzeichnis"/>
      </w:pPr>
      <w:r>
        <w:t xml:space="preserve">Blackwell, M., Honaker, J., &amp; King, G. (2017). A unified approach to measurement error and missing data: Details and extensions.</w:t>
      </w:r>
      <w:r>
        <w:t xml:space="preserve"> </w:t>
      </w:r>
      <w:r>
        <w:rPr>
          <w:i/>
        </w:rPr>
        <w:t xml:space="preserve">Sociological Methods &amp; Research</w:t>
      </w:r>
      <w:r>
        <w:t xml:space="preserve">.</w:t>
      </w:r>
    </w:p>
    <w:bookmarkEnd w:id="73"/>
    <w:bookmarkStart w:id="75" w:name="ref-R-prettycode"/>
    <w:p>
      <w:pPr>
        <w:pStyle w:val="Literaturverzeichnis"/>
        <w:pStyle w:val="Literaturverzeichnis"/>
      </w:pPr>
      <w:r>
        <w:t xml:space="preserve">Csárdi, G. (2019).</w:t>
      </w:r>
      <w:r>
        <w:t xml:space="preserve"> </w:t>
      </w:r>
      <w:r>
        <w:rPr>
          <w:i/>
        </w:rPr>
        <w:t xml:space="preserve">Prettycode: Pretty print r code in the terminal</w:t>
      </w:r>
      <w:r>
        <w:t xml:space="preserve">. Retrieved from</w:t>
      </w:r>
      <w:r>
        <w:t xml:space="preserve"> </w:t>
      </w:r>
      <w:hyperlink r:id="rId74">
        <w:r>
          <w:rPr>
            <w:rStyle w:val="Hyperlink"/>
          </w:rPr>
          <w:t xml:space="preserve">https://CRAN.R-project.org/package=prettycode</w:t>
        </w:r>
      </w:hyperlink>
    </w:p>
    <w:bookmarkEnd w:id="75"/>
    <w:bookmarkStart w:id="76" w:name="ref-Cummins2017-ur"/>
    <w:p>
      <w:pPr>
        <w:pStyle w:val="Literaturverzeichnis"/>
        <w:pStyle w:val="Literaturverzeichnis"/>
      </w:pPr>
      <w:r>
        <w:t xml:space="preserve">Cummins, R. A., Eckerseley, R., Pallant, J., Van Vugt, J., &amp; Misajon, R. (2017). Australian unity wellbeing index.</w:t>
      </w:r>
      <w:r>
        <w:t xml:space="preserve"> </w:t>
      </w:r>
      <w:r>
        <w:rPr>
          <w:i/>
        </w:rPr>
        <w:t xml:space="preserve">PsycTESTS Dataset</w:t>
      </w:r>
      <w:r>
        <w:t xml:space="preserve">.</w:t>
      </w:r>
    </w:p>
    <w:bookmarkEnd w:id="76"/>
    <w:bookmarkStart w:id="77" w:name="ref-Diener1985-xy"/>
    <w:p>
      <w:pPr>
        <w:pStyle w:val="Literaturverzeichnis"/>
        <w:pStyle w:val="Literaturverzeichnis"/>
      </w:pPr>
      <w:r>
        <w:t xml:space="preserve">Diener, E., Emmons, R. A., Larsen, R. J., &amp; Griffin, S. (1985). The satisfaction with life scale.</w:t>
      </w:r>
      <w:r>
        <w:t xml:space="preserve"> </w:t>
      </w:r>
      <w:r>
        <w:rPr>
          <w:i/>
        </w:rPr>
        <w:t xml:space="preserve">Journal of Personality Assessment</w:t>
      </w:r>
      <w:r>
        <w:t xml:space="preserve">.</w:t>
      </w:r>
    </w:p>
    <w:bookmarkEnd w:id="77"/>
    <w:bookmarkStart w:id="79" w:name="ref-R-Rcpp_b"/>
    <w:p>
      <w:pPr>
        <w:pStyle w:val="Literaturverzeichnis"/>
        <w:pStyle w:val="Literaturverzeichnis"/>
      </w:pPr>
      <w:r>
        <w:t xml:space="preserve">Eddelbuettel, D., &amp; Balamuta, J. J. (2017). Extending extitR with extitC++: A Brief Introduction to extitRcpp.</w:t>
      </w:r>
      <w:r>
        <w:t xml:space="preserve"> </w:t>
      </w:r>
      <w:r>
        <w:rPr>
          <w:i/>
        </w:rPr>
        <w:t xml:space="preserve">PeerJ Preprints</w:t>
      </w:r>
      <w:r>
        <w:t xml:space="preserve">,</w:t>
      </w:r>
      <w:r>
        <w:t xml:space="preserve"> </w:t>
      </w:r>
      <w:r>
        <w:rPr>
          <w:i/>
        </w:rPr>
        <w:t xml:space="preserve">5</w:t>
      </w:r>
      <w:r>
        <w:t xml:space="preserve">, e3188v1.</w:t>
      </w:r>
      <w:r>
        <w:t xml:space="preserve"> </w:t>
      </w:r>
      <w:hyperlink r:id="rId78">
        <w:r>
          <w:rPr>
            <w:rStyle w:val="Hyperlink"/>
          </w:rPr>
          <w:t xml:space="preserve">https://doi.org/10.7287/peerj.preprints.3188v1</w:t>
        </w:r>
      </w:hyperlink>
    </w:p>
    <w:bookmarkEnd w:id="79"/>
    <w:bookmarkStart w:id="81" w:name="ref-R-Rcpp_a"/>
    <w:p>
      <w:pPr>
        <w:pStyle w:val="Literaturverzeichnis"/>
        <w:pStyle w:val="Literaturverzeichnis"/>
      </w:pPr>
      <w:r>
        <w:t xml:space="preserve">Eddelbuettel, D., &amp; François, R. (2011). Rcpp: Seamless R and C++ integration.</w:t>
      </w:r>
      <w:r>
        <w:t xml:space="preserve"> </w:t>
      </w:r>
      <w:r>
        <w:rPr>
          <w:i/>
        </w:rPr>
        <w:t xml:space="preserve">Journal of Statistical Software</w:t>
      </w:r>
      <w:r>
        <w:t xml:space="preserve">,</w:t>
      </w:r>
      <w:r>
        <w:t xml:space="preserve"> </w:t>
      </w:r>
      <w:r>
        <w:rPr>
          <w:i/>
        </w:rPr>
        <w:t xml:space="preserve">40</w:t>
      </w:r>
      <w:r>
        <w:t xml:space="preserve">(8), 1–18.</w:t>
      </w:r>
      <w:r>
        <w:t xml:space="preserve"> </w:t>
      </w:r>
      <w:hyperlink r:id="rId80">
        <w:r>
          <w:rPr>
            <w:rStyle w:val="Hyperlink"/>
          </w:rPr>
          <w:t xml:space="preserve">https://doi.org/10.18637/jss.v040.i08</w:t>
        </w:r>
      </w:hyperlink>
    </w:p>
    <w:bookmarkEnd w:id="81"/>
    <w:bookmarkStart w:id="82" w:name="ref-Ellsworth2010-yu"/>
    <w:p>
      <w:pPr>
        <w:pStyle w:val="Literaturverzeichnis"/>
        <w:pStyle w:val="Literaturverzeichnis"/>
      </w:pPr>
      <w:r>
        <w:t xml:space="preserve">Ellsworth, R. B., &amp; Ellsworth, J. B. (2010). Churches that enhance spirituality and wellbeing.</w:t>
      </w:r>
      <w:r>
        <w:t xml:space="preserve"> </w:t>
      </w:r>
      <w:r>
        <w:rPr>
          <w:i/>
        </w:rPr>
        <w:t xml:space="preserve">Int. J. Appl. Psychoanal. Studies</w:t>
      </w:r>
      <w:r>
        <w:t xml:space="preserve">,</w:t>
      </w:r>
      <w:r>
        <w:t xml:space="preserve"> </w:t>
      </w:r>
      <w:r>
        <w:rPr>
          <w:i/>
        </w:rPr>
        <w:t xml:space="preserve">6</w:t>
      </w:r>
      <w:r>
        <w:t xml:space="preserve">.</w:t>
      </w:r>
    </w:p>
    <w:bookmarkEnd w:id="82"/>
    <w:bookmarkStart w:id="83" w:name="ref-Garssen2016-km"/>
    <w:p>
      <w:pPr>
        <w:pStyle w:val="Literaturverzeichnis"/>
        <w:pStyle w:val="Literaturverzeichnis"/>
      </w:pPr>
      <w:r>
        <w:t xml:space="preserve">Garssen, B., &amp; Visser, A. (2016). The association between religion/spirituality and mental health in cancer.</w:t>
      </w:r>
      <w:r>
        <w:t xml:space="preserve"> </w:t>
      </w:r>
      <w:r>
        <w:rPr>
          <w:i/>
        </w:rPr>
        <w:t xml:space="preserve">Cancer</w:t>
      </w:r>
      <w:r>
        <w:t xml:space="preserve">,</w:t>
      </w:r>
      <w:r>
        <w:t xml:space="preserve"> </w:t>
      </w:r>
      <w:r>
        <w:rPr>
          <w:i/>
        </w:rPr>
        <w:t xml:space="preserve">122</w:t>
      </w:r>
      <w:r>
        <w:t xml:space="preserve">(15), 2440.</w:t>
      </w:r>
    </w:p>
    <w:bookmarkEnd w:id="83"/>
    <w:bookmarkStart w:id="84" w:name="ref-Garssen2016-kb"/>
    <w:p>
      <w:pPr>
        <w:pStyle w:val="Literaturverzeichnis"/>
        <w:pStyle w:val="Literaturverzeichnis"/>
      </w:pPr>
      <w:r>
        <w:t xml:space="preserve">Garssen, B., Visser, A., &amp; Jager Meezenbroek, E. de. (2016). Examining whether spirituality predicts subjective well-being: How to avoid tautology.</w:t>
      </w:r>
      <w:r>
        <w:t xml:space="preserve"> </w:t>
      </w:r>
      <w:r>
        <w:rPr>
          <w:i/>
        </w:rPr>
        <w:t xml:space="preserve">Psycholog. Relig. Spiritual.</w:t>
      </w:r>
      <w:r>
        <w:t xml:space="preserve">,</w:t>
      </w:r>
      <w:r>
        <w:t xml:space="preserve"> </w:t>
      </w:r>
      <w:r>
        <w:rPr>
          <w:i/>
        </w:rPr>
        <w:t xml:space="preserve">8</w:t>
      </w:r>
      <w:r>
        <w:t xml:space="preserve">(2), 141.</w:t>
      </w:r>
    </w:p>
    <w:bookmarkEnd w:id="84"/>
    <w:bookmarkStart w:id="85" w:name="ref-Ginsburg1995-jr"/>
    <w:p>
      <w:pPr>
        <w:pStyle w:val="Literaturverzeichnis"/>
        <w:pStyle w:val="Literaturverzeichnis"/>
      </w:pPr>
      <w:r>
        <w:t xml:space="preserve">Ginsburg, M. L., Quirt, C., Ginsburg, A. D., &amp; MacKillop, W. J. (1995). Psychiatric illness and psychosocial concerns of patients with newly diagnosed lung cancer.</w:t>
      </w:r>
      <w:r>
        <w:t xml:space="preserve"> </w:t>
      </w:r>
      <w:r>
        <w:rPr>
          <w:i/>
        </w:rPr>
        <w:t xml:space="preserve">CMAJ</w:t>
      </w:r>
      <w:r>
        <w:t xml:space="preserve">,</w:t>
      </w:r>
      <w:r>
        <w:t xml:space="preserve"> </w:t>
      </w:r>
      <w:r>
        <w:rPr>
          <w:i/>
        </w:rPr>
        <w:t xml:space="preserve">152</w:t>
      </w:r>
      <w:r>
        <w:t xml:space="preserve">(5), 701–708.</w:t>
      </w:r>
    </w:p>
    <w:bookmarkEnd w:id="85"/>
    <w:bookmarkStart w:id="86" w:name="ref-Hackney2003-rs"/>
    <w:p>
      <w:pPr>
        <w:pStyle w:val="Literaturverzeichnis"/>
        <w:pStyle w:val="Literaturverzeichnis"/>
      </w:pPr>
      <w:r>
        <w:t xml:space="preserve">Hackney, C. H., &amp; Sanders, G. S. (2003). Religiosity and mental health: A meta–analysis of recent studies.</w:t>
      </w:r>
      <w:r>
        <w:t xml:space="preserve"> </w:t>
      </w:r>
      <w:r>
        <w:rPr>
          <w:i/>
        </w:rPr>
        <w:t xml:space="preserve">J. Sci. Study Relig.</w:t>
      </w:r>
    </w:p>
    <w:bookmarkEnd w:id="86"/>
    <w:bookmarkStart w:id="88" w:name="ref-R-purrr"/>
    <w:p>
      <w:pPr>
        <w:pStyle w:val="Literaturverzeichnis"/>
        <w:pStyle w:val="Literaturverzeichnis"/>
      </w:pPr>
      <w:r>
        <w:t xml:space="preserve">Henry, L., &amp; Wickham, H. (2020).</w:t>
      </w:r>
      <w:r>
        <w:t xml:space="preserve"> </w:t>
      </w:r>
      <w:r>
        <w:rPr>
          <w:i/>
        </w:rPr>
        <w:t xml:space="preserve">Purrr: Functional programming tools</w:t>
      </w:r>
      <w:r>
        <w:t xml:space="preserve">. Retrieved from</w:t>
      </w:r>
      <w:r>
        <w:t xml:space="preserve"> </w:t>
      </w:r>
      <w:hyperlink r:id="rId87">
        <w:r>
          <w:rPr>
            <w:rStyle w:val="Hyperlink"/>
          </w:rPr>
          <w:t xml:space="preserve">https://CRAN.R-project.org/package=purrr</w:t>
        </w:r>
      </w:hyperlink>
    </w:p>
    <w:bookmarkEnd w:id="88"/>
    <w:bookmarkStart w:id="90" w:name="ref-R-Amelia"/>
    <w:p>
      <w:pPr>
        <w:pStyle w:val="Literaturverzeichnis"/>
        <w:pStyle w:val="Literaturverzeichnis"/>
      </w:pPr>
      <w:r>
        <w:t xml:space="preserve">Honaker, J., King, G., &amp; Blackwell, M. (2011a). Amelia II: A program for missing data.</w:t>
      </w:r>
      <w:r>
        <w:t xml:space="preserve"> </w:t>
      </w:r>
      <w:r>
        <w:rPr>
          <w:i/>
        </w:rPr>
        <w:t xml:space="preserve">Journal of Statistical Software</w:t>
      </w:r>
      <w:r>
        <w:t xml:space="preserve">,</w:t>
      </w:r>
      <w:r>
        <w:t xml:space="preserve"> </w:t>
      </w:r>
      <w:r>
        <w:rPr>
          <w:i/>
        </w:rPr>
        <w:t xml:space="preserve">45</w:t>
      </w:r>
      <w:r>
        <w:t xml:space="preserve">(7), 1–47. Retrieved from</w:t>
      </w:r>
      <w:r>
        <w:t xml:space="preserve"> </w:t>
      </w:r>
      <w:hyperlink r:id="rId89">
        <w:r>
          <w:rPr>
            <w:rStyle w:val="Hyperlink"/>
          </w:rPr>
          <w:t xml:space="preserve">http://www.jstatsoft.org/v45/i07/</w:t>
        </w:r>
      </w:hyperlink>
    </w:p>
    <w:bookmarkEnd w:id="90"/>
    <w:bookmarkStart w:id="91" w:name="ref-Honaker2011-yu"/>
    <w:p>
      <w:pPr>
        <w:pStyle w:val="Literaturverzeichnis"/>
        <w:pStyle w:val="Literaturverzeichnis"/>
      </w:pPr>
      <w:r>
        <w:t xml:space="preserve">Honaker, J., King, G., Blackwell, M., &amp; Others. (2011b). Amelia II: A program for missing data.</w:t>
      </w:r>
      <w:r>
        <w:t xml:space="preserve"> </w:t>
      </w:r>
      <w:r>
        <w:rPr>
          <w:i/>
        </w:rPr>
        <w:t xml:space="preserve">J. Stat. Softw.</w:t>
      </w:r>
      <w:r>
        <w:t xml:space="preserve">,</w:t>
      </w:r>
      <w:r>
        <w:t xml:space="preserve"> </w:t>
      </w:r>
      <w:r>
        <w:rPr>
          <w:i/>
        </w:rPr>
        <w:t xml:space="preserve">45</w:t>
      </w:r>
      <w:r>
        <w:t xml:space="preserve">(7), 1–47.</w:t>
      </w:r>
    </w:p>
    <w:bookmarkEnd w:id="91"/>
    <w:bookmarkStart w:id="92" w:name="ref-King2013-cg"/>
    <w:p>
      <w:pPr>
        <w:pStyle w:val="Literaturverzeichnis"/>
        <w:pStyle w:val="Literaturverzeichnis"/>
      </w:pPr>
      <w:r>
        <w:t xml:space="preserve">King, M., Marston, L., McManus, S., Brugha, T., Meltzer, H., &amp; Bebbington, P. (2013). Religion, spirituality and mental health: Results from a national study of english households.</w:t>
      </w:r>
      <w:r>
        <w:t xml:space="preserve"> </w:t>
      </w:r>
      <w:r>
        <w:rPr>
          <w:i/>
        </w:rPr>
        <w:t xml:space="preserve">British Journal of Psychiatry</w:t>
      </w:r>
      <w:r>
        <w:t xml:space="preserve">.</w:t>
      </w:r>
    </w:p>
    <w:bookmarkEnd w:id="92"/>
    <w:bookmarkStart w:id="93" w:name="ref-Koenig2008-lv"/>
    <w:p>
      <w:pPr>
        <w:pStyle w:val="Literaturverzeichnis"/>
        <w:pStyle w:val="Literaturverzeichnis"/>
      </w:pPr>
      <w:r>
        <w:t xml:space="preserve">Koenig, H. G. (2008). Concerns about measuring “spirituality” in research.</w:t>
      </w:r>
      <w:r>
        <w:t xml:space="preserve"> </w:t>
      </w:r>
      <w:r>
        <w:rPr>
          <w:i/>
        </w:rPr>
        <w:t xml:space="preserve">J. Nerv. Ment. Dis.</w:t>
      </w:r>
      <w:r>
        <w:t xml:space="preserve">,</w:t>
      </w:r>
      <w:r>
        <w:t xml:space="preserve"> </w:t>
      </w:r>
      <w:r>
        <w:rPr>
          <w:i/>
        </w:rPr>
        <w:t xml:space="preserve">196</w:t>
      </w:r>
      <w:r>
        <w:t xml:space="preserve">(5), 349.</w:t>
      </w:r>
    </w:p>
    <w:bookmarkEnd w:id="93"/>
    <w:bookmarkStart w:id="94" w:name="ref-Koenig2010-gk"/>
    <w:p>
      <w:pPr>
        <w:pStyle w:val="Literaturverzeichnis"/>
        <w:pStyle w:val="Literaturverzeichnis"/>
      </w:pPr>
      <w:r>
        <w:t xml:space="preserve">Koenig, H. G. (2010). Spirituality and mental health.</w:t>
      </w:r>
      <w:r>
        <w:t xml:space="preserve"> </w:t>
      </w:r>
      <w:r>
        <w:rPr>
          <w:i/>
        </w:rPr>
        <w:t xml:space="preserve">Int. J. Appl. Psychoanal. Studies</w:t>
      </w:r>
      <w:r>
        <w:t xml:space="preserve">,</w:t>
      </w:r>
      <w:r>
        <w:t xml:space="preserve"> </w:t>
      </w:r>
      <w:r>
        <w:rPr>
          <w:i/>
        </w:rPr>
        <w:t xml:space="preserve">15</w:t>
      </w:r>
      <w:r>
        <w:t xml:space="preserve">.</w:t>
      </w:r>
    </w:p>
    <w:bookmarkEnd w:id="94"/>
    <w:bookmarkStart w:id="95" w:name="ref-Koenig2001-ow"/>
    <w:p>
      <w:pPr>
        <w:pStyle w:val="Literaturverzeichnis"/>
        <w:pStyle w:val="Literaturverzeichnis"/>
      </w:pPr>
      <w:r>
        <w:t xml:space="preserve">Koenig, H. G., Associate Professor of Psychology and Religious Studies Michael E McCullough, PhD, McCullough, M. E., Larson, D. B., &amp; Adjunct Professor of Psychiatry David B Larson. (2001).</w:t>
      </w:r>
      <w:r>
        <w:t xml:space="preserve"> </w:t>
      </w:r>
      <w:r>
        <w:rPr>
          <w:i/>
        </w:rPr>
        <w:t xml:space="preserve">Handbook of religion and health</w:t>
      </w:r>
      <w:r>
        <w:t xml:space="preserve">. Oxford University Press.</w:t>
      </w:r>
    </w:p>
    <w:bookmarkEnd w:id="95"/>
    <w:bookmarkStart w:id="97" w:name="ref-R-texreg"/>
    <w:p>
      <w:pPr>
        <w:pStyle w:val="Literaturverzeichnis"/>
        <w:pStyle w:val="Literaturverzeichnis"/>
      </w:pPr>
      <w:r>
        <w:t xml:space="preserve">Leifeld, P. (2013). texreg: Conversion of statistical model output in R to LaTeX and HTML tables.</w:t>
      </w:r>
      <w:r>
        <w:t xml:space="preserve"> </w:t>
      </w:r>
      <w:r>
        <w:rPr>
          <w:i/>
        </w:rPr>
        <w:t xml:space="preserve">Journal of Statistical Software</w:t>
      </w:r>
      <w:r>
        <w:t xml:space="preserve">,</w:t>
      </w:r>
      <w:r>
        <w:t xml:space="preserve"> </w:t>
      </w:r>
      <w:r>
        <w:rPr>
          <w:i/>
        </w:rPr>
        <w:t xml:space="preserve">55</w:t>
      </w:r>
      <w:r>
        <w:t xml:space="preserve">(8), 1–24. Retrieved from</w:t>
      </w:r>
      <w:r>
        <w:t xml:space="preserve"> </w:t>
      </w:r>
      <w:hyperlink r:id="rId96">
        <w:r>
          <w:rPr>
            <w:rStyle w:val="Hyperlink"/>
          </w:rPr>
          <w:t xml:space="preserve">http://dx.doi.org/10.18637/jss.v055.i08</w:t>
        </w:r>
      </w:hyperlink>
    </w:p>
    <w:bookmarkEnd w:id="97"/>
    <w:bookmarkStart w:id="99" w:name="ref-R-ggeffects"/>
    <w:p>
      <w:pPr>
        <w:pStyle w:val="Literaturverzeichnis"/>
        <w:pStyle w:val="Literaturverzeichnis"/>
      </w:pPr>
      <w:r>
        <w:t xml:space="preserve">Lüdecke, D. (2018). Ggeffects: Tidy data frames of marginal effects from regression models.</w:t>
      </w:r>
      <w:r>
        <w:t xml:space="preserve"> </w:t>
      </w:r>
      <w:r>
        <w:rPr>
          <w:i/>
        </w:rPr>
        <w:t xml:space="preserve">Journal of Open Source Software</w:t>
      </w:r>
      <w:r>
        <w:t xml:space="preserve">,</w:t>
      </w:r>
      <w:r>
        <w:t xml:space="preserve"> </w:t>
      </w:r>
      <w:r>
        <w:rPr>
          <w:i/>
        </w:rPr>
        <w:t xml:space="preserve">3</w:t>
      </w:r>
      <w:r>
        <w:t xml:space="preserve">(26), 772.</w:t>
      </w:r>
      <w:r>
        <w:t xml:space="preserve"> </w:t>
      </w:r>
      <w:hyperlink r:id="rId98">
        <w:r>
          <w:rPr>
            <w:rStyle w:val="Hyperlink"/>
          </w:rPr>
          <w:t xml:space="preserve">https://doi.org/10.21105/joss.00772</w:t>
        </w:r>
      </w:hyperlink>
    </w:p>
    <w:bookmarkEnd w:id="99"/>
    <w:bookmarkStart w:id="101" w:name="ref-R-sjPlot"/>
    <w:p>
      <w:pPr>
        <w:pStyle w:val="Literaturverzeichnis"/>
        <w:pStyle w:val="Literaturverzeichnis"/>
      </w:pPr>
      <w:r>
        <w:t xml:space="preserve">Lüdecke, D. (2020).</w:t>
      </w:r>
      <w:r>
        <w:t xml:space="preserve"> </w:t>
      </w:r>
      <w:r>
        <w:rPr>
          <w:i/>
        </w:rPr>
        <w:t xml:space="preserve">SjPlot: Data visualization for statistics in social science</w:t>
      </w:r>
      <w:r>
        <w:t xml:space="preserve">. Retrieved from</w:t>
      </w:r>
      <w:r>
        <w:t xml:space="preserve"> </w:t>
      </w:r>
      <w:hyperlink r:id="rId100">
        <w:r>
          <w:rPr>
            <w:rStyle w:val="Hyperlink"/>
          </w:rPr>
          <w:t xml:space="preserve">https://CRAN.R-project.org/package=sjPlot</w:t>
        </w:r>
      </w:hyperlink>
    </w:p>
    <w:bookmarkEnd w:id="101"/>
    <w:bookmarkStart w:id="103" w:name="ref-R-parameters"/>
    <w:p>
      <w:pPr>
        <w:pStyle w:val="Literaturverzeichnis"/>
        <w:pStyle w:val="Literaturverzeichnis"/>
      </w:pPr>
      <w:r>
        <w:t xml:space="preserve">Lüdecke, D., Ben-Shachar, M. S., Patil, I., &amp; Makowski, D. (2020a). Parameters: Extracting, computing and exploring the parameters of statistical models using R.</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102">
        <w:r>
          <w:rPr>
            <w:rStyle w:val="Hyperlink"/>
          </w:rPr>
          <w:t xml:space="preserve">https://doi.org/10.21105/joss.02445</w:t>
        </w:r>
      </w:hyperlink>
    </w:p>
    <w:bookmarkEnd w:id="103"/>
    <w:bookmarkStart w:id="105" w:name="ref-R-see"/>
    <w:p>
      <w:pPr>
        <w:pStyle w:val="Literaturverzeichnis"/>
        <w:pStyle w:val="Literaturverzeichnis"/>
      </w:pPr>
      <w:r>
        <w:t xml:space="preserve">Lüdecke, D., Ben-Shachar, M. S., Waggoner, P., &amp; Makowski, D. (2020b). See: Visualisation toolbox for ’easystats’ and extra geoms, themes and color palettes for ’ggplot2’.</w:t>
      </w:r>
      <w:r>
        <w:t xml:space="preserve"> </w:t>
      </w:r>
      <w:r>
        <w:rPr>
          <w:i/>
        </w:rPr>
        <w:t xml:space="preserve">CRAN</w:t>
      </w:r>
      <w:r>
        <w:t xml:space="preserve">.</w:t>
      </w:r>
      <w:r>
        <w:t xml:space="preserve"> </w:t>
      </w:r>
      <w:hyperlink r:id="rId104">
        <w:r>
          <w:rPr>
            <w:rStyle w:val="Hyperlink"/>
          </w:rPr>
          <w:t xml:space="preserve">https://doi.org/10.5281/zenodo.3952153</w:t>
        </w:r>
      </w:hyperlink>
    </w:p>
    <w:bookmarkEnd w:id="105"/>
    <w:bookmarkStart w:id="107" w:name="ref-R-report"/>
    <w:p>
      <w:pPr>
        <w:pStyle w:val="Literaturverzeichnis"/>
        <w:pStyle w:val="Literaturverzeichnis"/>
      </w:pPr>
      <w:r>
        <w:t xml:space="preserve">Makowski, Dominique, Lüdecke, &amp; Daniel. (2019). The report package for r: Ensuring the use of best practices for results reporting.</w:t>
      </w:r>
      <w:r>
        <w:t xml:space="preserve"> </w:t>
      </w:r>
      <w:r>
        <w:rPr>
          <w:i/>
        </w:rPr>
        <w:t xml:space="preserve">CRAN</w:t>
      </w:r>
      <w:r>
        <w:t xml:space="preserve">. Retrieved from</w:t>
      </w:r>
      <w:r>
        <w:t xml:space="preserve"> </w:t>
      </w:r>
      <w:hyperlink r:id="rId106">
        <w:r>
          <w:rPr>
            <w:rStyle w:val="Hyperlink"/>
          </w:rPr>
          <w:t xml:space="preserve">https://github.com/easystats/report</w:t>
        </w:r>
      </w:hyperlink>
    </w:p>
    <w:bookmarkEnd w:id="107"/>
    <w:bookmarkStart w:id="109" w:name="ref-R-styler"/>
    <w:p>
      <w:pPr>
        <w:pStyle w:val="Literaturverzeichnis"/>
        <w:pStyle w:val="Literaturverzeichnis"/>
      </w:pPr>
      <w:r>
        <w:t xml:space="preserve">Müller, K., &amp; Walthert, L. (2020).</w:t>
      </w:r>
      <w:r>
        <w:t xml:space="preserve"> </w:t>
      </w:r>
      <w:r>
        <w:rPr>
          <w:i/>
        </w:rPr>
        <w:t xml:space="preserve">Styler: Non-invasive pretty printing of r code</w:t>
      </w:r>
      <w:r>
        <w:t xml:space="preserve">. Retrieved from</w:t>
      </w:r>
      <w:r>
        <w:t xml:space="preserve"> </w:t>
      </w:r>
      <w:hyperlink r:id="rId108">
        <w:r>
          <w:rPr>
            <w:rStyle w:val="Hyperlink"/>
          </w:rPr>
          <w:t xml:space="preserve">https://CRAN.R-project.org/package=styler</w:t>
        </w:r>
      </w:hyperlink>
    </w:p>
    <w:bookmarkEnd w:id="109"/>
    <w:bookmarkStart w:id="111" w:name="ref-R-tibble"/>
    <w:p>
      <w:pPr>
        <w:pStyle w:val="Literaturverzeichnis"/>
        <w:pStyle w:val="Literaturverzeichnis"/>
      </w:pPr>
      <w:r>
        <w:t xml:space="preserve">Müller, K., &amp; Wickham, H. (2020).</w:t>
      </w:r>
      <w:r>
        <w:t xml:space="preserve"> </w:t>
      </w:r>
      <w:r>
        <w:rPr>
          <w:i/>
        </w:rPr>
        <w:t xml:space="preserve">Tibble: Simple data frames</w:t>
      </w:r>
      <w:r>
        <w:t xml:space="preserve">. Retrieved from</w:t>
      </w:r>
      <w:r>
        <w:t xml:space="preserve"> </w:t>
      </w:r>
      <w:hyperlink r:id="rId110">
        <w:r>
          <w:rPr>
            <w:rStyle w:val="Hyperlink"/>
          </w:rPr>
          <w:t xml:space="preserve">https://CRAN.R-project.org/package=tibble</w:t>
        </w:r>
      </w:hyperlink>
    </w:p>
    <w:bookmarkEnd w:id="111"/>
    <w:bookmarkStart w:id="113" w:name="ref-R-patchwork"/>
    <w:p>
      <w:pPr>
        <w:pStyle w:val="Literaturverzeichnis"/>
        <w:pStyle w:val="Literaturverzeichnis"/>
      </w:pPr>
      <w:r>
        <w:t xml:space="preserve">Pedersen, T. L. (2020).</w:t>
      </w:r>
      <w:r>
        <w:t xml:space="preserve"> </w:t>
      </w:r>
      <w:r>
        <w:rPr>
          <w:i/>
        </w:rPr>
        <w:t xml:space="preserve">Patchwork: The composer of plots</w:t>
      </w:r>
      <w:r>
        <w:t xml:space="preserve">. Retrieved from</w:t>
      </w:r>
      <w:r>
        <w:t xml:space="preserve"> </w:t>
      </w:r>
      <w:hyperlink r:id="rId112">
        <w:r>
          <w:rPr>
            <w:rStyle w:val="Hyperlink"/>
          </w:rPr>
          <w:t xml:space="preserve">https://CRAN.R-project.org/package=patchwork</w:t>
        </w:r>
      </w:hyperlink>
    </w:p>
    <w:bookmarkEnd w:id="113"/>
    <w:bookmarkStart w:id="115" w:name="ref-R-base"/>
    <w:p>
      <w:pPr>
        <w:pStyle w:val="Literaturverzeichnis"/>
        <w:pStyle w:val="Literaturverzeichnis"/>
      </w:pPr>
      <w:r>
        <w:t xml:space="preserve">R Core Team. (2020).</w:t>
      </w:r>
      <w:r>
        <w:t xml:space="preserve"> </w:t>
      </w:r>
      <w:r>
        <w:rPr>
          <w:i/>
        </w:rPr>
        <w:t xml:space="preserve">R: A language and environment for statistical computing</w:t>
      </w:r>
      <w:r>
        <w:t xml:space="preserve">. Vienna, Austria: R Foundation for Statistical Computing. Retrieved from</w:t>
      </w:r>
      <w:r>
        <w:t xml:space="preserve"> </w:t>
      </w:r>
      <w:hyperlink r:id="rId114">
        <w:r>
          <w:rPr>
            <w:rStyle w:val="Hyperlink"/>
          </w:rPr>
          <w:t xml:space="preserve">https://www.R-project.org/</w:t>
        </w:r>
      </w:hyperlink>
    </w:p>
    <w:bookmarkEnd w:id="115"/>
    <w:bookmarkStart w:id="117" w:name="ref-R-table1"/>
    <w:p>
      <w:pPr>
        <w:pStyle w:val="Literaturverzeichnis"/>
        <w:pStyle w:val="Literaturverzeichnis"/>
      </w:pPr>
      <w:r>
        <w:t xml:space="preserve">Rich, B. (2020).</w:t>
      </w:r>
      <w:r>
        <w:t xml:space="preserve"> </w:t>
      </w:r>
      <w:r>
        <w:rPr>
          <w:i/>
        </w:rPr>
        <w:t xml:space="preserve">Table1: Tables of descriptive statistics in html</w:t>
      </w:r>
      <w:r>
        <w:t xml:space="preserve">. Retrieved from</w:t>
      </w:r>
      <w:r>
        <w:t xml:space="preserve"> </w:t>
      </w:r>
      <w:hyperlink r:id="rId116">
        <w:r>
          <w:rPr>
            <w:rStyle w:val="Hyperlink"/>
          </w:rPr>
          <w:t xml:space="preserve">https://CRAN.R-project.org/package=table1</w:t>
        </w:r>
      </w:hyperlink>
    </w:p>
    <w:bookmarkEnd w:id="117"/>
    <w:bookmarkStart w:id="118" w:name="ref-Russinova2002-rq"/>
    <w:p>
      <w:pPr>
        <w:pStyle w:val="Literaturverzeichnis"/>
        <w:pStyle w:val="Literaturverzeichnis"/>
      </w:pPr>
      <w:r>
        <w:t xml:space="preserve">Russinova, Z., Wewiorski, N. J., &amp; Cash, D. (2002). Use of alternative health care practices by persons with serious mental illness: Perceived benefits.</w:t>
      </w:r>
      <w:r>
        <w:t xml:space="preserve"> </w:t>
      </w:r>
      <w:r>
        <w:rPr>
          <w:i/>
        </w:rPr>
        <w:t xml:space="preserve">Am. J. Public Health</w:t>
      </w:r>
      <w:r>
        <w:t xml:space="preserve">,</w:t>
      </w:r>
      <w:r>
        <w:t xml:space="preserve"> </w:t>
      </w:r>
      <w:r>
        <w:rPr>
          <w:i/>
        </w:rPr>
        <w:t xml:space="preserve">92</w:t>
      </w:r>
      <w:r>
        <w:t xml:space="preserve">(10), 1600–1603.</w:t>
      </w:r>
    </w:p>
    <w:bookmarkEnd w:id="118"/>
    <w:bookmarkStart w:id="119" w:name="ref-Sawatzky2005-rw"/>
    <w:p>
      <w:pPr>
        <w:pStyle w:val="Literaturverzeichnis"/>
        <w:pStyle w:val="Literaturverzeichnis"/>
      </w:pPr>
      <w:r>
        <w:t xml:space="preserve">Sawatzky, R., Ratner, P. A., &amp; Chiu, L. (2005). A Meta-Analysis of the relationship between spirituality and quality of life.</w:t>
      </w:r>
      <w:r>
        <w:t xml:space="preserve"> </w:t>
      </w:r>
      <w:r>
        <w:rPr>
          <w:i/>
        </w:rPr>
        <w:t xml:space="preserve">Soc. Indic. Res.</w:t>
      </w:r>
      <w:r>
        <w:t xml:space="preserve">,</w:t>
      </w:r>
      <w:r>
        <w:t xml:space="preserve"> </w:t>
      </w:r>
      <w:r>
        <w:rPr>
          <w:i/>
        </w:rPr>
        <w:t xml:space="preserve">72</w:t>
      </w:r>
      <w:r>
        <w:t xml:space="preserve">(2), 153–188.</w:t>
      </w:r>
    </w:p>
    <w:bookmarkEnd w:id="119"/>
    <w:bookmarkStart w:id="120" w:name="ref-Smith2003-re"/>
    <w:p>
      <w:pPr>
        <w:pStyle w:val="Literaturverzeichnis"/>
        <w:pStyle w:val="Literaturverzeichnis"/>
      </w:pPr>
      <w:r>
        <w:t xml:space="preserve">Smith, T. B., McCullough, M. E., &amp; Poll, J. (2003). Religiousness and depression: Evidence for a main effect and the moderating influence of stressful life events.</w:t>
      </w:r>
      <w:r>
        <w:t xml:space="preserve"> </w:t>
      </w:r>
      <w:r>
        <w:rPr>
          <w:i/>
        </w:rPr>
        <w:t xml:space="preserve">Psychol. Bull.</w:t>
      </w:r>
      <w:r>
        <w:t xml:space="preserve">,</w:t>
      </w:r>
      <w:r>
        <w:t xml:space="preserve"> </w:t>
      </w:r>
      <w:r>
        <w:rPr>
          <w:i/>
        </w:rPr>
        <w:t xml:space="preserve">129</w:t>
      </w:r>
      <w:r>
        <w:t xml:space="preserve">(4), 614–636.</w:t>
      </w:r>
    </w:p>
    <w:bookmarkEnd w:id="120"/>
    <w:bookmarkStart w:id="121" w:name="ref-Swinton2001-vr"/>
    <w:p>
      <w:pPr>
        <w:pStyle w:val="Literaturverzeichnis"/>
        <w:pStyle w:val="Literaturverzeichnis"/>
      </w:pPr>
      <w:r>
        <w:t xml:space="preserve">Swinton, J. (2001).</w:t>
      </w:r>
      <w:r>
        <w:t xml:space="preserve"> </w:t>
      </w:r>
      <w:r>
        <w:rPr>
          <w:i/>
        </w:rPr>
        <w:t xml:space="preserve">Spirituality and mental health care: Rediscovering a ’forgotten’ dimension</w:t>
      </w:r>
      <w:r>
        <w:t xml:space="preserve">. Jessica Kingsley Publishers.</w:t>
      </w:r>
    </w:p>
    <w:bookmarkEnd w:id="121"/>
    <w:bookmarkStart w:id="122" w:name="ref-Underwood2002-hg"/>
    <w:p>
      <w:pPr>
        <w:pStyle w:val="Literaturverzeichnis"/>
        <w:pStyle w:val="Literaturverzeichnis"/>
      </w:pPr>
      <w:r>
        <w:t xml:space="preserve">Underwood, L. G., &amp; Teresi, J. A. (2002). The daily spiritual experience scale: Development, theoretical description, reliability, exploratory factor analysis, and preliminary construct validity using health-related data.</w:t>
      </w:r>
      <w:r>
        <w:t xml:space="preserve"> </w:t>
      </w:r>
      <w:r>
        <w:rPr>
          <w:i/>
        </w:rPr>
        <w:t xml:space="preserve">Ann. Behav. Med.</w:t>
      </w:r>
      <w:r>
        <w:t xml:space="preserve">,</w:t>
      </w:r>
      <w:r>
        <w:t xml:space="preserve"> </w:t>
      </w:r>
      <w:r>
        <w:rPr>
          <w:i/>
        </w:rPr>
        <w:t xml:space="preserve">24</w:t>
      </w:r>
      <w:r>
        <w:t xml:space="preserve">(1), 22–33.</w:t>
      </w:r>
    </w:p>
    <w:bookmarkEnd w:id="122"/>
    <w:bookmarkStart w:id="123" w:name="ref-Visser2010-kq"/>
    <w:p>
      <w:pPr>
        <w:pStyle w:val="Literaturverzeichnis"/>
        <w:pStyle w:val="Literaturverzeichnis"/>
      </w:pPr>
      <w:r>
        <w:t xml:space="preserve">Visser, A., Garssen, B., &amp; Vingerhoets, A. (2010). Spirituality and well-being in cancer patients: A review.</w:t>
      </w:r>
      <w:r>
        <w:t xml:space="preserve"> </w:t>
      </w:r>
      <w:r>
        <w:rPr>
          <w:i/>
        </w:rPr>
        <w:t xml:space="preserve">Psychooncology</w:t>
      </w:r>
      <w:r>
        <w:t xml:space="preserve">,</w:t>
      </w:r>
      <w:r>
        <w:t xml:space="preserve"> </w:t>
      </w:r>
      <w:r>
        <w:rPr>
          <w:i/>
        </w:rPr>
        <w:t xml:space="preserve">19</w:t>
      </w:r>
      <w:r>
        <w:t xml:space="preserve">(6), 565–572.</w:t>
      </w:r>
    </w:p>
    <w:bookmarkEnd w:id="123"/>
    <w:bookmarkStart w:id="125" w:name="ref-R-ggplot2"/>
    <w:p>
      <w:pPr>
        <w:pStyle w:val="Literaturverzeichnis"/>
        <w:pStyle w:val="Literaturverzeichnis"/>
      </w:pPr>
      <w:r>
        <w:t xml:space="preserve">Wickham, H. (2016).</w:t>
      </w:r>
      <w:r>
        <w:t xml:space="preserve"> </w:t>
      </w:r>
      <w:r>
        <w:rPr>
          <w:i/>
        </w:rPr>
        <w:t xml:space="preserve">Ggplot2: Elegant graphics for data analysis</w:t>
      </w:r>
      <w:r>
        <w:t xml:space="preserve">. Springer-Verlag New York. Retrieved from</w:t>
      </w:r>
      <w:r>
        <w:t xml:space="preserve"> </w:t>
      </w:r>
      <w:hyperlink r:id="rId124">
        <w:r>
          <w:rPr>
            <w:rStyle w:val="Hyperlink"/>
          </w:rPr>
          <w:t xml:space="preserve">https://ggplot2.tidyverse.org</w:t>
        </w:r>
      </w:hyperlink>
    </w:p>
    <w:bookmarkEnd w:id="125"/>
    <w:bookmarkStart w:id="127" w:name="ref-R-stringr"/>
    <w:p>
      <w:pPr>
        <w:pStyle w:val="Literaturverzeichnis"/>
        <w:pStyle w:val="Literaturverzeichnis"/>
      </w:pPr>
      <w:r>
        <w:t xml:space="preserve">Wickham, H. (2019).</w:t>
      </w:r>
      <w:r>
        <w:t xml:space="preserve"> </w:t>
      </w:r>
      <w:r>
        <w:rPr>
          <w:i/>
        </w:rPr>
        <w:t xml:space="preserve">Stringr: Simple, consistent wrappers for common string operations</w:t>
      </w:r>
      <w:r>
        <w:t xml:space="preserve">. Retrieved from</w:t>
      </w:r>
      <w:r>
        <w:t xml:space="preserve"> </w:t>
      </w:r>
      <w:hyperlink r:id="rId126">
        <w:r>
          <w:rPr>
            <w:rStyle w:val="Hyperlink"/>
          </w:rPr>
          <w:t xml:space="preserve">https://CRAN.R-project.org/package=stringr</w:t>
        </w:r>
      </w:hyperlink>
    </w:p>
    <w:bookmarkEnd w:id="127"/>
    <w:bookmarkStart w:id="129" w:name="ref-R-forcats"/>
    <w:p>
      <w:pPr>
        <w:pStyle w:val="Literaturverzeichnis"/>
        <w:pStyle w:val="Literaturverzeichnis"/>
      </w:pPr>
      <w:r>
        <w:t xml:space="preserve">Wickham, H. (2020a).</w:t>
      </w:r>
      <w:r>
        <w:t xml:space="preserve"> </w:t>
      </w:r>
      <w:r>
        <w:rPr>
          <w:i/>
        </w:rPr>
        <w:t xml:space="preserve">Forcats: Tools for working with categorical variables (factors)</w:t>
      </w:r>
      <w:r>
        <w:t xml:space="preserve">. Retrieved from</w:t>
      </w:r>
      <w:r>
        <w:t xml:space="preserve"> </w:t>
      </w:r>
      <w:hyperlink r:id="rId128">
        <w:r>
          <w:rPr>
            <w:rStyle w:val="Hyperlink"/>
          </w:rPr>
          <w:t xml:space="preserve">https://CRAN.R-project.org/package=forcats</w:t>
        </w:r>
      </w:hyperlink>
    </w:p>
    <w:bookmarkEnd w:id="129"/>
    <w:bookmarkStart w:id="131" w:name="ref-R-tidyr"/>
    <w:p>
      <w:pPr>
        <w:pStyle w:val="Literaturverzeichnis"/>
        <w:pStyle w:val="Literaturverzeichnis"/>
      </w:pPr>
      <w:r>
        <w:t xml:space="preserve">Wickham, H. (2020b).</w:t>
      </w:r>
      <w:r>
        <w:t xml:space="preserve"> </w:t>
      </w:r>
      <w:r>
        <w:rPr>
          <w:i/>
        </w:rPr>
        <w:t xml:space="preserve">Tidyr: Tidy messy data</w:t>
      </w:r>
      <w:r>
        <w:t xml:space="preserve">. Retrieved from</w:t>
      </w:r>
      <w:r>
        <w:t xml:space="preserve"> </w:t>
      </w:r>
      <w:hyperlink r:id="rId130">
        <w:r>
          <w:rPr>
            <w:rStyle w:val="Hyperlink"/>
          </w:rPr>
          <w:t xml:space="preserve">https://CRAN.R-project.org/package=tidyr</w:t>
        </w:r>
      </w:hyperlink>
    </w:p>
    <w:bookmarkEnd w:id="131"/>
    <w:bookmarkStart w:id="133" w:name="ref-R-tidyverse"/>
    <w:p>
      <w:pPr>
        <w:pStyle w:val="Literaturverzeichnis"/>
        <w:pStyle w:val="Literaturverzeichnis"/>
      </w:pPr>
      <w:r>
        <w:t xml:space="preserve">Wickham, H., Averick, M., Bryan, J., Chang, W., McGowan, L. D., François, R., … Yutani, H. (2019). Welcome to the tidyverse.</w:t>
      </w:r>
      <w:r>
        <w:t xml:space="preserve"> </w:t>
      </w:r>
      <w:r>
        <w:rPr>
          <w:i/>
        </w:rPr>
        <w:t xml:space="preserve">Journal of Open Source Software</w:t>
      </w:r>
      <w:r>
        <w:t xml:space="preserve">,</w:t>
      </w:r>
      <w:r>
        <w:t xml:space="preserve"> </w:t>
      </w:r>
      <w:r>
        <w:rPr>
          <w:i/>
        </w:rPr>
        <w:t xml:space="preserve">4</w:t>
      </w:r>
      <w:r>
        <w:t xml:space="preserve">(43), 1686.</w:t>
      </w:r>
      <w:r>
        <w:t xml:space="preserve"> </w:t>
      </w:r>
      <w:hyperlink r:id="rId132">
        <w:r>
          <w:rPr>
            <w:rStyle w:val="Hyperlink"/>
          </w:rPr>
          <w:t xml:space="preserve">https://doi.org/10.21105/joss.01686</w:t>
        </w:r>
      </w:hyperlink>
    </w:p>
    <w:bookmarkEnd w:id="133"/>
    <w:bookmarkStart w:id="135" w:name="ref-R-dplyr"/>
    <w:p>
      <w:pPr>
        <w:pStyle w:val="Literaturverzeichnis"/>
        <w:pStyle w:val="Literaturverzeichnis"/>
      </w:pPr>
      <w:r>
        <w:t xml:space="preserve">Wickham, H., François, R., Henry, L., &amp; Müller, K. (2020).</w:t>
      </w:r>
      <w:r>
        <w:t xml:space="preserve"> </w:t>
      </w:r>
      <w:r>
        <w:rPr>
          <w:i/>
        </w:rPr>
        <w:t xml:space="preserve">Dplyr: A grammar of data manipulation</w:t>
      </w:r>
      <w:r>
        <w:t xml:space="preserve">. Retrieved from</w:t>
      </w:r>
      <w:r>
        <w:t xml:space="preserve"> </w:t>
      </w:r>
      <w:hyperlink r:id="rId134">
        <w:r>
          <w:rPr>
            <w:rStyle w:val="Hyperlink"/>
          </w:rPr>
          <w:t xml:space="preserve">https://CRAN.R-project.org/package=dplyr</w:t>
        </w:r>
      </w:hyperlink>
    </w:p>
    <w:bookmarkEnd w:id="135"/>
    <w:bookmarkStart w:id="137" w:name="ref-R-readr"/>
    <w:p>
      <w:pPr>
        <w:pStyle w:val="Literaturverzeichnis"/>
        <w:pStyle w:val="Literaturverzeichnis"/>
      </w:pPr>
      <w:r>
        <w:t xml:space="preserve">Wickham, H., Hester, J., &amp; Francois, R. (2018).</w:t>
      </w:r>
      <w:r>
        <w:t xml:space="preserve"> </w:t>
      </w:r>
      <w:r>
        <w:rPr>
          <w:i/>
        </w:rPr>
        <w:t xml:space="preserve">Readr: Read rectangular text data</w:t>
      </w:r>
      <w:r>
        <w:t xml:space="preserve">. Retrieved from</w:t>
      </w:r>
      <w:r>
        <w:t xml:space="preserve"> </w:t>
      </w:r>
      <w:hyperlink r:id="rId136">
        <w:r>
          <w:rPr>
            <w:rStyle w:val="Hyperlink"/>
          </w:rPr>
          <w:t xml:space="preserve">https://CRAN.R-project.org/package=readr</w:t>
        </w:r>
      </w:hyperlink>
    </w:p>
    <w:bookmarkEnd w:id="137"/>
    <w:bookmarkStart w:id="139" w:name="ref-R-ggsci"/>
    <w:p>
      <w:pPr>
        <w:pStyle w:val="Literaturverzeichnis"/>
        <w:pStyle w:val="Literaturverzeichnis"/>
      </w:pPr>
      <w:r>
        <w:t xml:space="preserve">Xiao, N. (2018).</w:t>
      </w:r>
      <w:r>
        <w:t xml:space="preserve"> </w:t>
      </w:r>
      <w:r>
        <w:rPr>
          <w:i/>
        </w:rPr>
        <w:t xml:space="preserve">Ggsci: Scientific journal and sci-fi themed color palettes for ’ggplot2’</w:t>
      </w:r>
      <w:r>
        <w:t xml:space="preserve">. Retrieved from</w:t>
      </w:r>
      <w:r>
        <w:t xml:space="preserve"> </w:t>
      </w:r>
      <w:hyperlink r:id="rId138">
        <w:r>
          <w:rPr>
            <w:rStyle w:val="Hyperlink"/>
          </w:rPr>
          <w:t xml:space="preserve">https://CRAN.R-project.org/package=ggsci</w:t>
        </w:r>
      </w:hyperlink>
    </w:p>
    <w:bookmarkEnd w:id="139"/>
    <w:bookmarkStart w:id="140" w:name="ref-Yonker2012-zg"/>
    <w:p>
      <w:pPr>
        <w:pStyle w:val="Literaturverzeichnis"/>
        <w:pStyle w:val="Literaturverzeichnis"/>
      </w:pPr>
      <w:r>
        <w:t xml:space="preserve">Yonker, J. E., Schnabelrauch, C. A., &amp; Dehaan, L. G. (2012). The relationship between spirituality and religiosity on psychological outcomes in adolescents and emerging adults: A meta-analytic review.</w:t>
      </w:r>
      <w:r>
        <w:t xml:space="preserve"> </w:t>
      </w:r>
      <w:r>
        <w:rPr>
          <w:i/>
        </w:rPr>
        <w:t xml:space="preserve">J. Adolesc.</w:t>
      </w:r>
      <w:r>
        <w:t xml:space="preserve">,</w:t>
      </w:r>
      <w:r>
        <w:t xml:space="preserve"> </w:t>
      </w:r>
      <w:r>
        <w:rPr>
          <w:i/>
        </w:rPr>
        <w:t xml:space="preserve">35</w:t>
      </w:r>
      <w:r>
        <w:t xml:space="preserve">(2), 299–314.</w:t>
      </w:r>
    </w:p>
    <w:bookmarkEnd w:id="140"/>
    <w:bookmarkStart w:id="142" w:name="ref-R-gghighlight"/>
    <w:p>
      <w:pPr>
        <w:pStyle w:val="Literaturverzeichnis"/>
        <w:pStyle w:val="Literaturverzeichnis"/>
      </w:pPr>
      <w:r>
        <w:t xml:space="preserve">Yutani, H. (2020).</w:t>
      </w:r>
      <w:r>
        <w:t xml:space="preserve"> </w:t>
      </w:r>
      <w:r>
        <w:rPr>
          <w:i/>
        </w:rPr>
        <w:t xml:space="preserve">Gghighlight: Highlight lines and points in ’ggplot2’</w:t>
      </w:r>
      <w:r>
        <w:t xml:space="preserve">. Retrieved from</w:t>
      </w:r>
      <w:r>
        <w:t xml:space="preserve"> </w:t>
      </w:r>
      <w:hyperlink r:id="rId141">
        <w:r>
          <w:rPr>
            <w:rStyle w:val="Hyperlink"/>
          </w:rPr>
          <w:t xml:space="preserve">https://CRAN.R-project.org/package=gghighlight</w:t>
        </w:r>
      </w:hyperlink>
    </w:p>
    <w:bookmarkEnd w:id="142"/>
    <w:bookmarkStart w:id="143" w:name="ref-Zaza2005-ac"/>
    <w:p>
      <w:pPr>
        <w:pStyle w:val="Literaturverzeichnis"/>
        <w:pStyle w:val="Literaturverzeichnis"/>
      </w:pPr>
      <w:r>
        <w:t xml:space="preserve">Zaza, C., Sellick, S. M., &amp; Hillier, L. M. (2005). Coping with cancer.</w:t>
      </w:r>
      <w:r>
        <w:t xml:space="preserve"> </w:t>
      </w:r>
      <w:r>
        <w:rPr>
          <w:i/>
        </w:rPr>
        <w:t xml:space="preserve">Journal of Psychosocial Oncology</w:t>
      </w:r>
      <w:r>
        <w:t xml:space="preserve">.</w:t>
      </w:r>
    </w:p>
    <w:bookmarkEnd w:id="143"/>
    <w:bookmarkStart w:id="144" w:name="ref-Zinnbauer2005-vz"/>
    <w:p>
      <w:pPr>
        <w:pStyle w:val="Literaturverzeichnis"/>
        <w:pStyle w:val="Literaturverzeichnis"/>
      </w:pPr>
      <w:r>
        <w:t xml:space="preserve">Zinnbauer, B. J., &amp; Pargament, K. I. (2005). Religiousness and spirituality [in:] Handbook of the psychology of religion and spirituality.</w:t>
      </w:r>
      <w:r>
        <w:t xml:space="preserve"> </w:t>
      </w:r>
      <w:r>
        <w:rPr>
          <w:i/>
        </w:rPr>
        <w:t xml:space="preserve">New York</w:t>
      </w:r>
      <w:r>
        <w:t xml:space="preserve">, 21–42.</w:t>
      </w:r>
    </w:p>
    <w:bookmarkEnd w:id="144"/>
    <w:bookmarkEnd w:id="145"/>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LONGITUDINAL WELLBEING FROM SPIRITUAL BELIEFS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LONGITUDINAL WELLBEING FROM SPIRITUAL BELIEFS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hyperlink" Id="rId96" Target="http://dx.doi.org/10.18637/jss.v055.i08" TargetMode="External" /><Relationship Type="http://schemas.openxmlformats.org/officeDocument/2006/relationships/hyperlink" Id="rId89" Target="http://www.jstatsoft.org/v45/i07/" TargetMode="External" /><Relationship Type="http://schemas.openxmlformats.org/officeDocument/2006/relationships/hyperlink" Id="rId69" Target="https://CRAN.R-project.org/package=Matrix" TargetMode="External" /><Relationship Type="http://schemas.openxmlformats.org/officeDocument/2006/relationships/hyperlink" Id="rId134" Target="https://CRAN.R-project.org/package=dplyr" TargetMode="External" /><Relationship Type="http://schemas.openxmlformats.org/officeDocument/2006/relationships/hyperlink" Id="rId128" Target="https://CRAN.R-project.org/package=forcats" TargetMode="External" /><Relationship Type="http://schemas.openxmlformats.org/officeDocument/2006/relationships/hyperlink" Id="rId141" Target="https://CRAN.R-project.org/package=gghighlight" TargetMode="External" /><Relationship Type="http://schemas.openxmlformats.org/officeDocument/2006/relationships/hyperlink" Id="rId138" Target="https://CRAN.R-project.org/package=ggsci" TargetMode="External" /><Relationship Type="http://schemas.openxmlformats.org/officeDocument/2006/relationships/hyperlink" Id="rId112" Target="https://CRAN.R-project.org/package=patchwork" TargetMode="External" /><Relationship Type="http://schemas.openxmlformats.org/officeDocument/2006/relationships/hyperlink" Id="rId74" Target="https://CRAN.R-project.org/package=prettycode" TargetMode="External" /><Relationship Type="http://schemas.openxmlformats.org/officeDocument/2006/relationships/hyperlink" Id="rId87" Target="https://CRAN.R-project.org/package=purrr" TargetMode="External" /><Relationship Type="http://schemas.openxmlformats.org/officeDocument/2006/relationships/hyperlink" Id="rId136" Target="https://CRAN.R-project.org/package=readr" TargetMode="External" /><Relationship Type="http://schemas.openxmlformats.org/officeDocument/2006/relationships/hyperlink" Id="rId100" Target="https://CRAN.R-project.org/package=sjPlot" TargetMode="External" /><Relationship Type="http://schemas.openxmlformats.org/officeDocument/2006/relationships/hyperlink" Id="rId126" Target="https://CRAN.R-project.org/package=stringr" TargetMode="External" /><Relationship Type="http://schemas.openxmlformats.org/officeDocument/2006/relationships/hyperlink" Id="rId108" Target="https://CRAN.R-project.org/package=styler" TargetMode="External" /><Relationship Type="http://schemas.openxmlformats.org/officeDocument/2006/relationships/hyperlink" Id="rId116" Target="https://CRAN.R-project.org/package=table1" TargetMode="External" /><Relationship Type="http://schemas.openxmlformats.org/officeDocument/2006/relationships/hyperlink" Id="rId110" Target="https://CRAN.R-project.org/package=tibble" TargetMode="External" /><Relationship Type="http://schemas.openxmlformats.org/officeDocument/2006/relationships/hyperlink" Id="rId130" Target="https://CRAN.R-project.org/package=tidyr" TargetMode="External" /><Relationship Type="http://schemas.openxmlformats.org/officeDocument/2006/relationships/hyperlink" Id="rId80" Target="https://doi.org/10.18637/jss.v040.i08" TargetMode="External" /><Relationship Type="http://schemas.openxmlformats.org/officeDocument/2006/relationships/hyperlink" Id="rId71" Target="https://doi.org/10.18637/jss.v067.i01" TargetMode="External" /><Relationship Type="http://schemas.openxmlformats.org/officeDocument/2006/relationships/hyperlink" Id="rId98" Target="https://doi.org/10.21105/joss.00772" TargetMode="External" /><Relationship Type="http://schemas.openxmlformats.org/officeDocument/2006/relationships/hyperlink" Id="rId132" Target="https://doi.org/10.21105/joss.01686" TargetMode="External" /><Relationship Type="http://schemas.openxmlformats.org/officeDocument/2006/relationships/hyperlink" Id="rId102" Target="https://doi.org/10.21105/joss.02445" TargetMode="External" /><Relationship Type="http://schemas.openxmlformats.org/officeDocument/2006/relationships/hyperlink" Id="rId104" Target="https://doi.org/10.5281/zenodo.3952153" TargetMode="External" /><Relationship Type="http://schemas.openxmlformats.org/officeDocument/2006/relationships/hyperlink" Id="rId78" Target="https://doi.org/10.7287/peerj.preprints.3188v1" TargetMode="External" /><Relationship Type="http://schemas.openxmlformats.org/officeDocument/2006/relationships/hyperlink" Id="rId124" Target="https://ggplot2.tidyverse.org" TargetMode="External" /><Relationship Type="http://schemas.openxmlformats.org/officeDocument/2006/relationships/hyperlink" Id="rId65" Target="https://github.com/crsh/citr" TargetMode="External" /><Relationship Type="http://schemas.openxmlformats.org/officeDocument/2006/relationships/hyperlink" Id="rId67" Target="https://github.com/crsh/papaja" TargetMode="External" /><Relationship Type="http://schemas.openxmlformats.org/officeDocument/2006/relationships/hyperlink" Id="rId61" Target="https://github.com/datalorax/equatiomatic" TargetMode="External" /><Relationship Type="http://schemas.openxmlformats.org/officeDocument/2006/relationships/hyperlink" Id="rId106" Target="https://github.com/easystats/report" TargetMode="External" /><Relationship Type="http://schemas.openxmlformats.org/officeDocument/2006/relationships/hyperlink" Id="rId41" Target="https://github.com/jacopastorius/nzavs_spiritbeliefWellbeing" TargetMode="External" /><Relationship Type="http://schemas.openxmlformats.org/officeDocument/2006/relationships/hyperlink" Id="rId114" Target="https://www.R-project.org/" TargetMode="External" /><Relationship Type="http://schemas.openxmlformats.org/officeDocument/2006/relationships/hyperlink" Id="rId20" Target="mailto:benhighland6420@gmail.com" TargetMode="External" /></Relationships>
</file>

<file path=word/_rels/footnotes.xml.rels><?xml version="1.0" encoding="UTF-8"?>
<Relationships xmlns="http://schemas.openxmlformats.org/package/2006/relationships"><Relationship Type="http://schemas.openxmlformats.org/officeDocument/2006/relationships/hyperlink" Id="rId96" Target="http://dx.doi.org/10.18637/jss.v055.i08" TargetMode="External" /><Relationship Type="http://schemas.openxmlformats.org/officeDocument/2006/relationships/hyperlink" Id="rId89" Target="http://www.jstatsoft.org/v45/i07/" TargetMode="External" /><Relationship Type="http://schemas.openxmlformats.org/officeDocument/2006/relationships/hyperlink" Id="rId69" Target="https://CRAN.R-project.org/package=Matrix" TargetMode="External" /><Relationship Type="http://schemas.openxmlformats.org/officeDocument/2006/relationships/hyperlink" Id="rId134" Target="https://CRAN.R-project.org/package=dplyr" TargetMode="External" /><Relationship Type="http://schemas.openxmlformats.org/officeDocument/2006/relationships/hyperlink" Id="rId128" Target="https://CRAN.R-project.org/package=forcats" TargetMode="External" /><Relationship Type="http://schemas.openxmlformats.org/officeDocument/2006/relationships/hyperlink" Id="rId141" Target="https://CRAN.R-project.org/package=gghighlight" TargetMode="External" /><Relationship Type="http://schemas.openxmlformats.org/officeDocument/2006/relationships/hyperlink" Id="rId138" Target="https://CRAN.R-project.org/package=ggsci" TargetMode="External" /><Relationship Type="http://schemas.openxmlformats.org/officeDocument/2006/relationships/hyperlink" Id="rId112" Target="https://CRAN.R-project.org/package=patchwork" TargetMode="External" /><Relationship Type="http://schemas.openxmlformats.org/officeDocument/2006/relationships/hyperlink" Id="rId74" Target="https://CRAN.R-project.org/package=prettycode" TargetMode="External" /><Relationship Type="http://schemas.openxmlformats.org/officeDocument/2006/relationships/hyperlink" Id="rId87" Target="https://CRAN.R-project.org/package=purrr" TargetMode="External" /><Relationship Type="http://schemas.openxmlformats.org/officeDocument/2006/relationships/hyperlink" Id="rId136" Target="https://CRAN.R-project.org/package=readr" TargetMode="External" /><Relationship Type="http://schemas.openxmlformats.org/officeDocument/2006/relationships/hyperlink" Id="rId100" Target="https://CRAN.R-project.org/package=sjPlot" TargetMode="External" /><Relationship Type="http://schemas.openxmlformats.org/officeDocument/2006/relationships/hyperlink" Id="rId126" Target="https://CRAN.R-project.org/package=stringr" TargetMode="External" /><Relationship Type="http://schemas.openxmlformats.org/officeDocument/2006/relationships/hyperlink" Id="rId108" Target="https://CRAN.R-project.org/package=styler" TargetMode="External" /><Relationship Type="http://schemas.openxmlformats.org/officeDocument/2006/relationships/hyperlink" Id="rId116" Target="https://CRAN.R-project.org/package=table1" TargetMode="External" /><Relationship Type="http://schemas.openxmlformats.org/officeDocument/2006/relationships/hyperlink" Id="rId110" Target="https://CRAN.R-project.org/package=tibble" TargetMode="External" /><Relationship Type="http://schemas.openxmlformats.org/officeDocument/2006/relationships/hyperlink" Id="rId130" Target="https://CRAN.R-project.org/package=tidyr" TargetMode="External" /><Relationship Type="http://schemas.openxmlformats.org/officeDocument/2006/relationships/hyperlink" Id="rId80" Target="https://doi.org/10.18637/jss.v040.i08" TargetMode="External" /><Relationship Type="http://schemas.openxmlformats.org/officeDocument/2006/relationships/hyperlink" Id="rId71" Target="https://doi.org/10.18637/jss.v067.i01" TargetMode="External" /><Relationship Type="http://schemas.openxmlformats.org/officeDocument/2006/relationships/hyperlink" Id="rId98" Target="https://doi.org/10.21105/joss.00772" TargetMode="External" /><Relationship Type="http://schemas.openxmlformats.org/officeDocument/2006/relationships/hyperlink" Id="rId132" Target="https://doi.org/10.21105/joss.01686" TargetMode="External" /><Relationship Type="http://schemas.openxmlformats.org/officeDocument/2006/relationships/hyperlink" Id="rId102" Target="https://doi.org/10.21105/joss.02445" TargetMode="External" /><Relationship Type="http://schemas.openxmlformats.org/officeDocument/2006/relationships/hyperlink" Id="rId104" Target="https://doi.org/10.5281/zenodo.3952153" TargetMode="External" /><Relationship Type="http://schemas.openxmlformats.org/officeDocument/2006/relationships/hyperlink" Id="rId78" Target="https://doi.org/10.7287/peerj.preprints.3188v1" TargetMode="External" /><Relationship Type="http://schemas.openxmlformats.org/officeDocument/2006/relationships/hyperlink" Id="rId124" Target="https://ggplot2.tidyverse.org" TargetMode="External" /><Relationship Type="http://schemas.openxmlformats.org/officeDocument/2006/relationships/hyperlink" Id="rId65" Target="https://github.com/crsh/citr" TargetMode="External" /><Relationship Type="http://schemas.openxmlformats.org/officeDocument/2006/relationships/hyperlink" Id="rId67" Target="https://github.com/crsh/papaja" TargetMode="External" /><Relationship Type="http://schemas.openxmlformats.org/officeDocument/2006/relationships/hyperlink" Id="rId61" Target="https://github.com/datalorax/equatiomatic" TargetMode="External" /><Relationship Type="http://schemas.openxmlformats.org/officeDocument/2006/relationships/hyperlink" Id="rId106" Target="https://github.com/easystats/report" TargetMode="External" /><Relationship Type="http://schemas.openxmlformats.org/officeDocument/2006/relationships/hyperlink" Id="rId41" Target="https://github.com/jacopastorius/nzavs_spiritbeliefWellbeing" TargetMode="External" /><Relationship Type="http://schemas.openxmlformats.org/officeDocument/2006/relationships/hyperlink" Id="rId114" Target="https://www.R-project.org/" TargetMode="External" /><Relationship Type="http://schemas.openxmlformats.org/officeDocument/2006/relationships/hyperlink" Id="rId20" Target="mailto:benhighland6420@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Longitudinal Evidence for Growth in Subjective Wellbeing from Spiritual Beliefs</dc:title>
  <dc:creator/>
  <cp:keywords/>
  <dcterms:created xsi:type="dcterms:W3CDTF">2020-11-18T05:02:09Z</dcterms:created>
  <dcterms:modified xsi:type="dcterms:W3CDTF">2020-11-18T05:02:09Z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ote">
    <vt:lpwstr>1 Wake Forest Medical School 2 Department of Psychology Virginia Commonwealth University 3 Department of Psychology Georgia State University 4 School of Psychology University of Auckland 5 School of Psychology Victoria University</vt:lpwstr>
  </property>
  <property fmtid="{D5CDD505-2E9C-101B-9397-08002B2CF9AE}" pid="3" name="bibliography">
    <vt:lpwstr>b-references.bib</vt:lpwstr>
  </property>
  <property fmtid="{D5CDD505-2E9C-101B-9397-08002B2CF9AE}" pid="4" name="classoption">
    <vt:lpwstr>man</vt:lpwstr>
  </property>
  <property fmtid="{D5CDD505-2E9C-101B-9397-08002B2CF9AE}" pid="5" name="csl">
    <vt:lpwstr>/Library/Frameworks/R.framework/Versions/4.0/Resources/library/papaja/rmd/apa6.csl</vt:lpwstr>
  </property>
  <property fmtid="{D5CDD505-2E9C-101B-9397-08002B2CF9AE}" pid="6" name="documentclass">
    <vt:lpwstr>apa6</vt:lpwstr>
  </property>
  <property fmtid="{D5CDD505-2E9C-101B-9397-08002B2CF9AE}" pid="7" name="draft">
    <vt:lpwstr>no</vt:lpwstr>
  </property>
  <property fmtid="{D5CDD505-2E9C-101B-9397-08002B2CF9AE}" pid="8" name="extra_dependencies">
    <vt:lpwstr/>
  </property>
  <property fmtid="{D5CDD505-2E9C-101B-9397-08002B2CF9AE}" pid="9" name="figsintex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header-includes">
    <vt:lpwstr/>
  </property>
  <property fmtid="{D5CDD505-2E9C-101B-9397-08002B2CF9AE}" pid="14" name="linenumbers">
    <vt:lpwstr>no</vt:lpwstr>
  </property>
  <property fmtid="{D5CDD505-2E9C-101B-9397-08002B2CF9AE}" pid="15" name="mask">
    <vt:lpwstr>no</vt:lpwstr>
  </property>
  <property fmtid="{D5CDD505-2E9C-101B-9397-08002B2CF9AE}" pid="16" name="output">
    <vt:lpwstr>papaja::apa6_word</vt:lpwstr>
  </property>
  <property fmtid="{D5CDD505-2E9C-101B-9397-08002B2CF9AE}" pid="17" name="shorttitle">
    <vt:lpwstr>Longitudinal Wellbeing from Spiritual Beliefs</vt:lpwstr>
  </property>
  <property fmtid="{D5CDD505-2E9C-101B-9397-08002B2CF9AE}" pid="18" name="tablelist">
    <vt:lpwstr>no</vt:lpwstr>
  </property>
  <property fmtid="{D5CDD505-2E9C-101B-9397-08002B2CF9AE}" pid="19" name="wordcount">
    <vt:lpwstr>5269 words in text body, 1078 words in reference section</vt:lpwstr>
  </property>
</Properties>
</file>