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5.png" ContentType="image/png"/>
  <Override PartName="/word/media/rId59.png" ContentType="image/png"/>
  <Override PartName="/word/media/rId4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2025-05-12</w:t>
      </w:r>
    </w:p>
    <w:p>
      <w:pPr>
        <w:pStyle w:val="AbstractTitle"/>
      </w:pPr>
      <w:r>
        <w:t xml:space="preserve">Abstract</w:t>
      </w:r>
    </w:p>
    <w:p>
      <w:pPr>
        <w:pStyle w:val="Abstract"/>
      </w:pPr>
      <w:r>
        <w:rPr>
          <w:b/>
          <w:bCs/>
        </w:rPr>
        <w:t xml:space="preserve">Background</w:t>
      </w:r>
      <w:r>
        <w:t xml:space="preserve">: (Brief few sentences)</w:t>
      </w:r>
    </w:p>
    <w:p>
      <w:pPr>
        <w:pStyle w:val="Abstract"/>
      </w:pP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p>
    <w:p>
      <w:pPr>
        <w:pStyle w:val="Abstract"/>
      </w:pP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p>
    <w:p>
      <w:pPr>
        <w:pStyle w:val="Abstract"/>
      </w:pP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p>
    <w:p>
      <w:pPr>
        <w:pStyle w:val="Abstract"/>
      </w:pP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 Refer to</w:t>
      </w:r>
      <w:r>
        <w:t xml:space="preserve"> </w:t>
      </w:r>
      <w:hyperlink w:anchor="appendix-timeline">
        <w:r>
          <w:rPr>
            <w:rStyle w:val="Hyperlink"/>
          </w:rPr>
          <w:t xml:space="preserve">Appendix {{appendix_timeline}}</w:t>
        </w:r>
      </w:hyperlink>
      <w:r>
        <w:t xml:space="preserve"> </w:t>
      </w:r>
      <w:r>
        <w:t xml:space="preserve">for a histogram of daily responses for this cohort.</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NZAVS time 10, years 2018-2019 of the New Zealand Attitudes and Values Study (NZAVS) during the years NZAVS time 10, years 2018-2019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NZAVS time 10, years 2018-2019 of the study and respond to the baseline measure of Extraversion.</w:t>
      </w:r>
    </w:p>
    <w:p>
      <w:pPr>
        <w:pStyle w:val="BodyText"/>
      </w:pPr>
      <w:r>
        <w:t xml:space="preserve">Participants may have been lost to follow-up at the end of the study if they met eligibility criteria at NZAVS time 10, years 2018-2019.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{{value_exposure}}</w:t>
      </w:r>
      <w:r>
        <w:t xml:space="preserve">, compared with setting it to</w:t>
      </w:r>
      <w:r>
        <w:t xml:space="preserve"> </w:t>
      </w:r>
      <w:r>
        <w:rPr>
          <w:b/>
          <w:bCs/>
        </w:rPr>
        <w:t xml:space="preserve">{{value_control}}</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{{name_exposure_threshold}}</w:t>
      </w:r>
      <w:r>
        <w:t xml:space="preserve">: Everyone receives exposure level</w:t>
      </w:r>
      <w:r>
        <w:t xml:space="preserve"> </w:t>
      </w:r>
      <w:r>
        <w:rPr>
          <w:rStyle w:val="VerbatimChar"/>
        </w:rPr>
        <w:t xml:space="preserve">{value_exposure}</w:t>
      </w:r>
      <w:r>
        <w:t xml:space="preserve">.</w:t>
      </w:r>
    </w:p>
    <w:p>
      <w:pPr>
        <w:pStyle w:val="Compact"/>
        <w:numPr>
          <w:ilvl w:val="0"/>
          <w:numId w:val="1001"/>
        </w:numPr>
      </w:pPr>
      <w:r>
        <w:rPr>
          <w:b/>
          <w:bCs/>
        </w:rPr>
        <w:t xml:space="preserve">{{name_control_threshold}}</w:t>
      </w:r>
      <w:r>
        <w:t xml:space="preserve">: Everyone receives exposure level</w:t>
      </w:r>
      <w:r>
        <w:t xml:space="preserve"> </w:t>
      </w:r>
      <w:r>
        <w:rPr>
          <w:rStyle w:val="VerbatimChar"/>
        </w:rPr>
        <w:t xml:space="preserve">{value_control}</w:t>
      </w:r>
      <w:r>
        <w:t xml:space="preserve">.</w:t>
      </w:r>
    </w:p>
    <w:p>
      <w:pPr>
        <w:pStyle w:val="FirstParagraph"/>
      </w:pPr>
      <w:r>
        <w:t xml:space="preserve">The difference between the averages of these two scenarios is call the</w:t>
      </w:r>
      <w:r>
        <w:t xml:space="preserve"> </w:t>
      </w:r>
      <w:r>
        <w:t xml:space="preserve">‘Average Treatment Effect’</w:t>
      </w:r>
      <w:r>
        <w:t xml:space="preserve"> </w:t>
      </w:r>
      <w:r>
        <w:t xml:space="preserve">(ATE). By combining time series data with a rich set of covariates measured at baseline, we may, under the assumptions of no-measured confounding and other assumptions described below, isolate the effect of the intervening on the exposure from other variables that might distort the true causal relationship if not properly accounted for. By measuring a broad set of characteristics (such as demographics, personality traits, or other background factors) at baseline, we try to ensure that, once we adjust for them in our analysis, assignment to each of the exposure conditions is</w:t>
      </w:r>
      <w:r>
        <w:t xml:space="preserve"> </w:t>
      </w:r>
      <w:r>
        <w:t xml:space="preserve">‘as good as random.’</w:t>
      </w:r>
      <w:r>
        <w:t xml:space="preserve"> </w:t>
      </w:r>
      <w:r>
        <w:t xml:space="preserve">(Refer to Appendix</w:t>
      </w:r>
      <w:r>
        <w:t xml:space="preserve"> </w:t>
      </w:r>
      <w:hyperlink w:anchor="appendix-assumptions_grf">
        <w:r>
          <w:rPr>
            <w:rStyle w:val="Hyperlink"/>
          </w:rPr>
          <w:t xml:space="preserve">{{appendix_assumptions_grf}}</w:t>
        </w:r>
      </w:hyperlink>
      <w:r>
        <w:t xml:space="preserve"> </w:t>
      </w:r>
      <w:r>
        <w:t xml:space="preserve">for an explanation of assumptions for obtaining the ATE).</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distinguish true heterogeneity from noise, we split the sample. We trained the causal forest on the first half and tested its predictions exclusively on the second half. In the held-out data, we checked calibration by comparing the mean of the predicted CATEs,</w:t>
      </w:r>
      <w:r>
        <w:t xml:space="preserve"> </w:t>
      </w:r>
      <m:oMath>
        <m:acc>
          <m:accPr>
            <m:chr m:val="̂"/>
          </m:accPr>
          <m:e>
            <m:r>
              <m:t>τ</m:t>
            </m:r>
          </m:e>
        </m:acc>
        <m:d>
          <m:dPr>
            <m:begChr m:val="("/>
            <m:sepChr m:val=""/>
            <m:endChr m:val=")"/>
            <m:grow/>
          </m:dPr>
          <m:e>
            <m:r>
              <m:t>x</m:t>
            </m:r>
          </m:e>
        </m:d>
      </m:oMath>
      <w:r>
        <w:t xml:space="preserve">, with the overall ATE. We also performed a differential prediction test</w:t>
      </w:r>
      <w:r>
        <w:t xml:space="preserve"> </w:t>
      </w:r>
      <w:r>
        <w:t xml:space="preserve">(Tibshirani et al., 2024)</w:t>
      </w:r>
      <w:r>
        <w:t xml:space="preserve"> </w:t>
      </w:r>
      <w:r>
        <w:t xml:space="preserve">to assess whether the predicted variation was genuine. As an additional check for heterogeneity, we computed the Rank-Weighted Average Treatment Effect (RATE), which quantifies the benefit of targeting individuals predicted to benefit most</w:t>
      </w:r>
      <w:r>
        <w:t xml:space="preserve"> </w:t>
      </w:r>
      <w:r>
        <w:t xml:space="preserve">(Tibshirani et al., 2024; Wager &amp; Athey, 2018)</w:t>
      </w:r>
      <w:r>
        <w:t xml:space="preserve">.</w:t>
      </w:r>
    </w:p>
    <w:p>
      <w:pPr>
        <w:pStyle w:val="BodyText"/>
      </w:pPr>
      <w:r>
        <w:t xml:space="preserve">Having assessed preliminary evidence of heterogeneity using differential prediction and RATE estimation, we used Qini curves</w:t>
      </w:r>
      <w:r>
        <w:t xml:space="preserve"> </w:t>
      </w:r>
      <w:r>
        <w:t xml:space="preserve">(Tibshirani et al., 2024)</w:t>
      </w:r>
      <w:r>
        <w:t xml:space="preserve"> </w:t>
      </w:r>
      <w:r>
        <w:t xml:space="preserve">to illustrate how a targeted strategy might outperform a uniform one. Specifically, we compared:</w:t>
      </w:r>
    </w:p>
    <w:p>
      <w:pPr>
        <w:pStyle w:val="Compact"/>
        <w:numPr>
          <w:ilvl w:val="0"/>
          <w:numId w:val="1002"/>
        </w:numPr>
      </w:pPr>
      <w:r>
        <w:rPr>
          <w:b/>
          <w:bCs/>
        </w:rPr>
        <w:t xml:space="preserve">Uniform Allocation:</w:t>
      </w:r>
      <w:r>
        <w:t xml:space="preserve"> </w:t>
      </w:r>
      <w:r>
        <w:t xml:space="preserve">treating (or not treating) everyone based on the ATE;</w:t>
      </w:r>
    </w:p>
    <w:p>
      <w:pPr>
        <w:pStyle w:val="Compact"/>
        <w:numPr>
          <w:ilvl w:val="0"/>
          <w:numId w:val="1002"/>
        </w:numPr>
      </w:pPr>
      <w:r>
        <w:rPr>
          <w:b/>
          <w:bCs/>
        </w:rPr>
        <w:t xml:space="preserve">Targeted Allocation:</w:t>
      </w:r>
      <w:r>
        <w:t xml:space="preserve"> </w:t>
      </w:r>
      <w:r>
        <w:t xml:space="preserve">treating those with the highest predicted CATEs (</w:t>
      </w:r>
      <m:oMath>
        <m:acc>
          <m:accPr>
            <m:chr m:val="̂"/>
          </m:accPr>
          <m:e>
            <m:r>
              <m:t>τ</m:t>
            </m:r>
          </m:e>
        </m:acc>
        <m:d>
          <m:dPr>
            <m:begChr m:val="("/>
            <m:sepChr m:val=""/>
            <m:endChr m:val=")"/>
            <m:grow/>
          </m:dPr>
          <m:e>
            <m:r>
              <m:t>x</m:t>
            </m:r>
          </m:e>
        </m:d>
      </m:oMath>
      <w:r>
        <w:t xml:space="preserve">) first.</w:t>
      </w:r>
    </w:p>
    <w:p>
      <w:pPr>
        <w:pStyle w:val="FirstParagraph"/>
      </w:pPr>
      <w:r>
        <w:t xml:space="preserve">A positive Qini value suggests that a targeted strategy can achieve better outcomes. Here, we considered whether budgets limited to 20% or 50% of the population could yield greater improvements under targeted allocation than under the uniform approach.</w:t>
      </w:r>
    </w:p>
    <w:p>
      <w:pPr>
        <w:pStyle w:val="BodyText"/>
      </w:pPr>
      <w:r>
        <w:t xml:space="preserve">Finally, when we found signs of genuine heterogeneity (via either RATE or Qini curves), we used policy trees</w:t>
      </w:r>
      <w:r>
        <w:t xml:space="preserve"> </w:t>
      </w:r>
      <w:r>
        <w:t xml:space="preserve">(Athey &amp; Wager, 2021a, 2021b; Sverdrup et al., 2024)</w:t>
      </w:r>
      <w:r>
        <w:t xml:space="preserve"> </w:t>
      </w:r>
      <w:r>
        <w:t xml:space="preserve">to generate simple, rule-based treatment recommendations (e.g.,</w:t>
      </w:r>
      <w:r>
        <w:t xml:space="preserve"> </w:t>
      </w:r>
      <w:r>
        <w:t xml:space="preserve">“Treat if baseline score &gt; X”</w:t>
      </w:r>
      <w:r>
        <w:t xml:space="preserve">). We implemented all heterogeneity analyses—calibration tests, RATE, Qini curves, and policy trees—in R using the grf</w:t>
      </w:r>
      <w:r>
        <w:t xml:space="preserve"> </w:t>
      </w:r>
      <w:r>
        <w:t xml:space="preserve">(Tibshirani et al., 2024)</w:t>
      </w:r>
      <w:r>
        <w:t xml:space="preserve">, policytree</w:t>
      </w:r>
      <w:r>
        <w:t xml:space="preserve"> </w:t>
      </w:r>
      <w:r>
        <w:t xml:space="preserve">(Sverdrup et al., 2024)</w:t>
      </w:r>
      <w:r>
        <w:t xml:space="preserve">, and margot</w:t>
      </w:r>
      <w:r>
        <w:t xml:space="preserve"> </w:t>
      </w:r>
      <w:r>
        <w:t xml:space="preserve">(Bulbulia, 2024a)</w:t>
      </w:r>
      <w:r>
        <w:t xml:space="preserve"> </w:t>
      </w:r>
      <w:r>
        <w:t xml:space="preserve">packages. This approach enabled us to identify individualised effects, confirm their robustness, estimate the potential value of targeting, and propose straightforward strategies for personalisation. (Refer to</w:t>
      </w:r>
      <w:r>
        <w:t xml:space="preserve"> </w:t>
      </w:r>
      <w:hyperlink w:anchor="appendix-explain-grf">
        <w:r>
          <w:rPr>
            <w:rStyle w:val="Hyperlink"/>
          </w:rPr>
          <w:t xml:space="preserve">Appendix {{appendix_explain_grf}}</w:t>
        </w:r>
      </w:hyperlink>
      <w:r>
        <w:t xml:space="preserve"> </w:t>
      </w:r>
      <w:r>
        <w:t xml:space="preserve">for a detailed explanation of our approach.)</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{{appendix_measures}}</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3"/>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3"/>
        </w:numPr>
      </w:pPr>
      <w:r>
        <w:rPr>
          <w:b/>
          <w:bCs/>
        </w:rPr>
        <w:t xml:space="preserve">No unmeasured confounding</w:t>
      </w:r>
      <w:r>
        <w:t xml:space="preserve">: all variables that affect both Extraversion and the outcome have been measured and accounted for in the analysis.</w:t>
      </w:r>
    </w:p>
    <w:p>
      <w:pPr>
        <w:numPr>
          <w:ilvl w:val="0"/>
          <w:numId w:val="1003"/>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{{appendix_positivity}}</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4"/>
        </w:numPr>
      </w:pPr>
      <w:r>
        <w:rPr>
          <w:b/>
          <w:bCs/>
        </w:rPr>
        <w:t xml:space="preserve">Identified all common causes</w:t>
      </w:r>
      <w:r>
        <w:t xml:space="preserve"> </w:t>
      </w:r>
      <w:r>
        <w:t xml:space="preserve">of both the treatment and outcomes.</w:t>
      </w:r>
    </w:p>
    <w:p>
      <w:pPr>
        <w:pStyle w:val="Compact"/>
        <w:numPr>
          <w:ilvl w:val="0"/>
          <w:numId w:val="1004"/>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4"/>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4"/>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{{appendix_explain_grf}}</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{{appendix_explain_grf}}</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 ratio scale) that an unmeasured confounder would need to have with both the exposure and outcome—after adjusting for measured covariates—to explain away the observed exposure-outcome association</w:t>
      </w:r>
      <w:r>
        <w:t xml:space="preserve"> </w:t>
      </w:r>
      <w:r>
        <w:t xml:space="preserve">(Linden et al., 2020; VanderWeele et al., 2020)</w:t>
      </w:r>
      <w:r>
        <w:t xml:space="preserve">.</w:t>
      </w:r>
    </w:p>
    <w:p>
      <w:r>
        <w:br w:type="page"/>
      </w:r>
    </w:p>
    <w:bookmarkEnd w:id="31"/>
    <w:bookmarkEnd w:id="32"/>
    <w:bookmarkStart w:id="64"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09"/>
              <w:gridCol w:w="1667"/>
              <w:gridCol w:w="729"/>
              <w:gridCol w:w="729"/>
              <w:gridCol w:w="833"/>
              <w:gridCol w:w="1250"/>
            </w:tblGrid>
            <w:tr>
              <w:trPr>
                <w:tblHeader w:val="on"/>
              </w:trPr>
              <w:tc>
                <w:tcPr/>
                <w:p>
                  <w:pPr>
                    <w:pStyle w:val="Compact"/>
                  </w:pPr>
                </w:p>
              </w:tc>
              <w:tc>
                <w:tcPr/>
                <w:p>
                  <w:pPr>
                    <w:pStyle w:val="Compact"/>
                    <w:jc w:val="right"/>
                    <w:jc w:val="center"/>
                  </w:pPr>
                  <w:r>
                    <w:t xml:space="preserve">E[Y(1)]-E[Y(0)]</w:t>
                  </w:r>
                </w:p>
              </w:tc>
              <w:tc>
                <w:tcPr/>
                <w:p>
                  <w:pPr>
                    <w:pStyle w:val="Compact"/>
                    <w:jc w:val="right"/>
                    <w:jc w:val="center"/>
                  </w:pPr>
                  <w:r>
                    <w:t xml:space="preserve">2.5 %</w:t>
                  </w:r>
                </w:p>
              </w:tc>
              <w:tc>
                <w:tcPr/>
                <w:p>
                  <w:pPr>
                    <w:pStyle w:val="Compact"/>
                    <w:jc w:val="right"/>
                    <w:jc w:val="center"/>
                  </w:pPr>
                  <w:r>
                    <w:t xml:space="preserve">97.5 %</w:t>
                  </w:r>
                </w:p>
              </w:tc>
              <w:tc>
                <w:tcPr/>
                <w:p>
                  <w:pPr>
                    <w:pStyle w:val="Compact"/>
                    <w:jc w:val="right"/>
                    <w:jc w:val="center"/>
                  </w:pPr>
                  <w:r>
                    <w:t xml:space="preserve">E_Value</w:t>
                  </w:r>
                </w:p>
              </w:tc>
              <w:tc>
                <w:tcPr/>
                <w:p>
                  <w:pPr>
                    <w:pStyle w:val="Compact"/>
                    <w:jc w:val="right"/>
                    <w:jc w:val="center"/>
                  </w:pPr>
                  <w:r>
                    <w:t xml:space="preserve">E_Val_bound</w:t>
                  </w:r>
                </w:p>
              </w:tc>
            </w:tr>
            <w:tr>
              <w:tc>
                <w:tcPr/>
                <w:p>
                  <w:pPr>
                    <w:pStyle w:val="Compact"/>
                    <w:jc w:val="left"/>
                    <w:jc w:val="center"/>
                  </w:pPr>
                  <w:r>
                    <w:t xml:space="preserve">Social Belonging</w:t>
                  </w:r>
                </w:p>
              </w:tc>
              <w:tc>
                <w:tcPr/>
                <w:p>
                  <w:pPr>
                    <w:pStyle w:val="Compact"/>
                    <w:jc w:val="right"/>
                    <w:jc w:val="center"/>
                  </w:pPr>
                  <w:r>
                    <w:t xml:space="preserve">0.128</w:t>
                  </w:r>
                </w:p>
              </w:tc>
              <w:tc>
                <w:tcPr/>
                <w:p>
                  <w:pPr>
                    <w:pStyle w:val="Compact"/>
                    <w:jc w:val="right"/>
                    <w:jc w:val="center"/>
                  </w:pPr>
                  <w:r>
                    <w:t xml:space="preserve">0.084</w:t>
                  </w:r>
                </w:p>
              </w:tc>
              <w:tc>
                <w:tcPr/>
                <w:p>
                  <w:pPr>
                    <w:pStyle w:val="Compact"/>
                    <w:jc w:val="right"/>
                    <w:jc w:val="center"/>
                  </w:pPr>
                  <w:r>
                    <w:t xml:space="preserve">0.171</w:t>
                  </w:r>
                </w:p>
              </w:tc>
              <w:tc>
                <w:tcPr/>
                <w:p>
                  <w:pPr>
                    <w:pStyle w:val="Compact"/>
                    <w:jc w:val="right"/>
                    <w:jc w:val="center"/>
                  </w:pPr>
                  <w:r>
                    <w:t xml:space="preserve">1.496</w:t>
                  </w:r>
                </w:p>
              </w:tc>
              <w:tc>
                <w:tcPr/>
                <w:p>
                  <w:pPr>
                    <w:pStyle w:val="Compact"/>
                    <w:jc w:val="right"/>
                    <w:jc w:val="center"/>
                  </w:pPr>
                  <w:r>
                    <w:t xml:space="preserve">1.375</w:t>
                  </w:r>
                </w:p>
              </w:tc>
            </w:tr>
            <w:tr>
              <w:tc>
                <w:tcPr/>
                <w:p>
                  <w:pPr>
                    <w:pStyle w:val="Compact"/>
                    <w:jc w:val="left"/>
                    <w:jc w:val="center"/>
                  </w:pPr>
                  <w:r>
                    <w:t xml:space="preserve">Neighbourhood Community</w:t>
                  </w:r>
                </w:p>
              </w:tc>
              <w:tc>
                <w:tcPr/>
                <w:p>
                  <w:pPr>
                    <w:pStyle w:val="Compact"/>
                    <w:jc w:val="right"/>
                    <w:jc w:val="center"/>
                  </w:pPr>
                  <w:r>
                    <w:t xml:space="preserve">0.117</w:t>
                  </w:r>
                </w:p>
              </w:tc>
              <w:tc>
                <w:tcPr/>
                <w:p>
                  <w:pPr>
                    <w:pStyle w:val="Compact"/>
                    <w:jc w:val="right"/>
                    <w:jc w:val="center"/>
                  </w:pPr>
                  <w:r>
                    <w:t xml:space="preserve">0.071</w:t>
                  </w:r>
                </w:p>
              </w:tc>
              <w:tc>
                <w:tcPr/>
                <w:p>
                  <w:pPr>
                    <w:pStyle w:val="Compact"/>
                    <w:jc w:val="right"/>
                    <w:jc w:val="center"/>
                  </w:pPr>
                  <w:r>
                    <w:t xml:space="preserve">0.164</w:t>
                  </w:r>
                </w:p>
              </w:tc>
              <w:tc>
                <w:tcPr/>
                <w:p>
                  <w:pPr>
                    <w:pStyle w:val="Compact"/>
                    <w:jc w:val="right"/>
                    <w:jc w:val="center"/>
                  </w:pPr>
                  <w:r>
                    <w:t xml:space="preserve">1.466</w:t>
                  </w:r>
                </w:p>
              </w:tc>
              <w:tc>
                <w:tcPr/>
                <w:p>
                  <w:pPr>
                    <w:pStyle w:val="Compact"/>
                    <w:jc w:val="right"/>
                    <w:jc w:val="center"/>
                  </w:pPr>
                  <w:r>
                    <w:t xml:space="preserve">1.331</w:t>
                  </w:r>
                </w:p>
              </w:tc>
            </w:tr>
            <w:tr>
              <w:tc>
                <w:tcPr/>
                <w:p>
                  <w:pPr>
                    <w:pStyle w:val="Compact"/>
                    <w:jc w:val="left"/>
                    <w:jc w:val="center"/>
                  </w:pPr>
                  <w:r>
                    <w:t xml:space="preserve">Social Support</w:t>
                  </w:r>
                </w:p>
              </w:tc>
              <w:tc>
                <w:tcPr/>
                <w:p>
                  <w:pPr>
                    <w:pStyle w:val="Compact"/>
                    <w:jc w:val="right"/>
                    <w:jc w:val="center"/>
                  </w:pPr>
                  <w:r>
                    <w:t xml:space="preserve">0.101</w:t>
                  </w:r>
                </w:p>
              </w:tc>
              <w:tc>
                <w:tcPr/>
                <w:p>
                  <w:pPr>
                    <w:pStyle w:val="Compact"/>
                    <w:jc w:val="right"/>
                    <w:jc w:val="center"/>
                  </w:pPr>
                  <w:r>
                    <w:t xml:space="preserve">0.052</w:t>
                  </w:r>
                </w:p>
              </w:tc>
              <w:tc>
                <w:tcPr/>
                <w:p>
                  <w:pPr>
                    <w:pStyle w:val="Compact"/>
                    <w:jc w:val="right"/>
                    <w:jc w:val="center"/>
                  </w:pPr>
                  <w:r>
                    <w:t xml:space="preserve">0.150</w:t>
                  </w:r>
                </w:p>
              </w:tc>
              <w:tc>
                <w:tcPr/>
                <w:p>
                  <w:pPr>
                    <w:pStyle w:val="Compact"/>
                    <w:jc w:val="right"/>
                    <w:jc w:val="center"/>
                  </w:pPr>
                  <w:r>
                    <w:t xml:space="preserve">1.421</w:t>
                  </w:r>
                </w:p>
              </w:tc>
              <w:tc>
                <w:tcPr/>
                <w:p>
                  <w:pPr>
                    <w:pStyle w:val="Compact"/>
                    <w:jc w:val="right"/>
                    <w:jc w:val="center"/>
                  </w:pPr>
                  <w:r>
                    <w:t xml:space="preserve">1.274</w:t>
                  </w:r>
                </w:p>
              </w:tc>
            </w:tr>
            <w:tr>
              <w:tc>
                <w:tcPr/>
                <w:p>
                  <w:pPr>
                    <w:pStyle w:val="Compact"/>
                    <w:jc w:val="left"/>
                    <w:jc w:val="center"/>
                  </w:pPr>
                  <w:r>
                    <w:t xml:space="preserve">Meaning: Purpose</w:t>
                  </w:r>
                </w:p>
              </w:tc>
              <w:tc>
                <w:tcPr/>
                <w:p>
                  <w:pPr>
                    <w:pStyle w:val="Compact"/>
                    <w:jc w:val="right"/>
                    <w:jc w:val="center"/>
                  </w:pPr>
                  <w:r>
                    <w:t xml:space="preserve">0.100</w:t>
                  </w:r>
                </w:p>
              </w:tc>
              <w:tc>
                <w:tcPr/>
                <w:p>
                  <w:pPr>
                    <w:pStyle w:val="Compact"/>
                    <w:jc w:val="right"/>
                    <w:jc w:val="center"/>
                  </w:pPr>
                  <w:r>
                    <w:t xml:space="preserve">0.049</w:t>
                  </w:r>
                </w:p>
              </w:tc>
              <w:tc>
                <w:tcPr/>
                <w:p>
                  <w:pPr>
                    <w:pStyle w:val="Compact"/>
                    <w:jc w:val="right"/>
                    <w:jc w:val="center"/>
                  </w:pPr>
                  <w:r>
                    <w:t xml:space="preserve">0.150</w:t>
                  </w:r>
                </w:p>
              </w:tc>
              <w:tc>
                <w:tcPr/>
                <w:p>
                  <w:pPr>
                    <w:pStyle w:val="Compact"/>
                    <w:jc w:val="right"/>
                    <w:jc w:val="center"/>
                  </w:pPr>
                  <w:r>
                    <w:t xml:space="preserve">1.418</w:t>
                  </w:r>
                </w:p>
              </w:tc>
              <w:tc>
                <w:tcPr/>
                <w:p>
                  <w:pPr>
                    <w:pStyle w:val="Compact"/>
                    <w:jc w:val="right"/>
                    <w:jc w:val="center"/>
                  </w:pPr>
                  <w:r>
                    <w:t xml:space="preserve">1.264</w:t>
                  </w:r>
                </w:p>
              </w:tc>
            </w:tr>
            <w:tr>
              <w:tc>
                <w:tcPr/>
                <w:p>
                  <w:pPr>
                    <w:pStyle w:val="Compact"/>
                    <w:jc w:val="left"/>
                    <w:jc w:val="center"/>
                  </w:pPr>
                  <w:r>
                    <w:t xml:space="preserve">Self Esteem</w:t>
                  </w:r>
                </w:p>
              </w:tc>
              <w:tc>
                <w:tcPr/>
                <w:p>
                  <w:pPr>
                    <w:pStyle w:val="Compact"/>
                    <w:jc w:val="right"/>
                    <w:jc w:val="center"/>
                  </w:pPr>
                  <w:r>
                    <w:t xml:space="preserve">0.089</w:t>
                  </w:r>
                </w:p>
              </w:tc>
              <w:tc>
                <w:tcPr/>
                <w:p>
                  <w:pPr>
                    <w:pStyle w:val="Compact"/>
                    <w:jc w:val="right"/>
                    <w:jc w:val="center"/>
                  </w:pPr>
                  <w:r>
                    <w:t xml:space="preserve">0.049</w:t>
                  </w:r>
                </w:p>
              </w:tc>
              <w:tc>
                <w:tcPr/>
                <w:p>
                  <w:pPr>
                    <w:pStyle w:val="Compact"/>
                    <w:jc w:val="right"/>
                    <w:jc w:val="center"/>
                  </w:pPr>
                  <w:r>
                    <w:t xml:space="preserve">0.129</w:t>
                  </w:r>
                </w:p>
              </w:tc>
              <w:tc>
                <w:tcPr/>
                <w:p>
                  <w:pPr>
                    <w:pStyle w:val="Compact"/>
                    <w:jc w:val="right"/>
                    <w:jc w:val="center"/>
                  </w:pPr>
                  <w:r>
                    <w:t xml:space="preserve">1.387</w:t>
                  </w:r>
                </w:p>
              </w:tc>
              <w:tc>
                <w:tcPr/>
                <w:p>
                  <w:pPr>
                    <w:pStyle w:val="Compact"/>
                    <w:jc w:val="right"/>
                    <w:jc w:val="center"/>
                  </w:pPr>
                  <w:r>
                    <w:t xml:space="preserve">1.260</w:t>
                  </w:r>
                </w:p>
              </w:tc>
            </w:tr>
            <w:tr>
              <w:tc>
                <w:tcPr/>
                <w:p>
                  <w:pPr>
                    <w:pStyle w:val="Compact"/>
                    <w:jc w:val="left"/>
                    <w:jc w:val="center"/>
                  </w:pPr>
                  <w:r>
                    <w:t xml:space="preserve">Meaning: Sense</w:t>
                  </w:r>
                </w:p>
              </w:tc>
              <w:tc>
                <w:tcPr/>
                <w:p>
                  <w:pPr>
                    <w:pStyle w:val="Compact"/>
                    <w:jc w:val="right"/>
                    <w:jc w:val="center"/>
                  </w:pPr>
                  <w:r>
                    <w:t xml:space="preserve">0.089</w:t>
                  </w:r>
                </w:p>
              </w:tc>
              <w:tc>
                <w:tcPr/>
                <w:p>
                  <w:pPr>
                    <w:pStyle w:val="Compact"/>
                    <w:jc w:val="right"/>
                    <w:jc w:val="center"/>
                  </w:pPr>
                  <w:r>
                    <w:t xml:space="preserve">0.036</w:t>
                  </w:r>
                </w:p>
              </w:tc>
              <w:tc>
                <w:tcPr/>
                <w:p>
                  <w:pPr>
                    <w:pStyle w:val="Compact"/>
                    <w:jc w:val="right"/>
                    <w:jc w:val="center"/>
                  </w:pPr>
                  <w:r>
                    <w:t xml:space="preserve">0.141</w:t>
                  </w:r>
                </w:p>
              </w:tc>
              <w:tc>
                <w:tcPr/>
                <w:p>
                  <w:pPr>
                    <w:pStyle w:val="Compact"/>
                    <w:jc w:val="right"/>
                    <w:jc w:val="center"/>
                  </w:pPr>
                  <w:r>
                    <w:t xml:space="preserve">1.387</w:t>
                  </w:r>
                </w:p>
              </w:tc>
              <w:tc>
                <w:tcPr/>
                <w:p>
                  <w:pPr>
                    <w:pStyle w:val="Compact"/>
                    <w:jc w:val="right"/>
                    <w:jc w:val="center"/>
                  </w:pPr>
                  <w:r>
                    <w:t xml:space="preserve">1.219</w:t>
                  </w:r>
                </w:p>
              </w:tc>
            </w:tr>
            <w:tr>
              <w:tc>
                <w:tcPr/>
                <w:p>
                  <w:pPr>
                    <w:pStyle w:val="Compact"/>
                    <w:jc w:val="left"/>
                    <w:jc w:val="center"/>
                  </w:pPr>
                  <w:r>
                    <w:t xml:space="preserve">Anxiety</w:t>
                  </w:r>
                </w:p>
              </w:tc>
              <w:tc>
                <w:tcPr/>
                <w:p>
                  <w:pPr>
                    <w:pStyle w:val="Compact"/>
                    <w:jc w:val="right"/>
                    <w:jc w:val="center"/>
                  </w:pPr>
                  <w:r>
                    <w:t xml:space="preserve">-0.070</w:t>
                  </w:r>
                </w:p>
              </w:tc>
              <w:tc>
                <w:tcPr/>
                <w:p>
                  <w:pPr>
                    <w:pStyle w:val="Compact"/>
                    <w:jc w:val="right"/>
                    <w:jc w:val="center"/>
                  </w:pPr>
                  <w:r>
                    <w:t xml:space="preserve">-0.118</w:t>
                  </w:r>
                </w:p>
              </w:tc>
              <w:tc>
                <w:tcPr/>
                <w:p>
                  <w:pPr>
                    <w:pStyle w:val="Compact"/>
                    <w:jc w:val="right"/>
                    <w:jc w:val="center"/>
                  </w:pPr>
                  <w:r>
                    <w:t xml:space="preserve">-0.022</w:t>
                  </w:r>
                </w:p>
              </w:tc>
              <w:tc>
                <w:tcPr/>
                <w:p>
                  <w:pPr>
                    <w:pStyle w:val="Compact"/>
                    <w:jc w:val="right"/>
                    <w:jc w:val="center"/>
                  </w:pPr>
                  <w:r>
                    <w:t xml:space="preserve">1.331</w:t>
                  </w:r>
                </w:p>
              </w:tc>
              <w:tc>
                <w:tcPr/>
                <w:p>
                  <w:pPr>
                    <w:pStyle w:val="Compact"/>
                    <w:jc w:val="right"/>
                    <w:jc w:val="center"/>
                  </w:pPr>
                  <w:r>
                    <w:t xml:space="preserve">1.160</w:t>
                  </w:r>
                </w:p>
              </w:tc>
            </w:tr>
            <w:tr>
              <w:tc>
                <w:tcPr/>
                <w:p>
                  <w:pPr>
                    <w:pStyle w:val="Compact"/>
                    <w:jc w:val="left"/>
                    <w:jc w:val="center"/>
                  </w:pPr>
                  <w:r>
                    <w:t xml:space="preserve">Personal Well-being Index</w:t>
                  </w:r>
                </w:p>
              </w:tc>
              <w:tc>
                <w:tcPr/>
                <w:p>
                  <w:pPr>
                    <w:pStyle w:val="Compact"/>
                    <w:jc w:val="right"/>
                    <w:jc w:val="center"/>
                  </w:pPr>
                  <w:r>
                    <w:t xml:space="preserve">0.052</w:t>
                  </w:r>
                </w:p>
              </w:tc>
              <w:tc>
                <w:tcPr/>
                <w:p>
                  <w:pPr>
                    <w:pStyle w:val="Compact"/>
                    <w:jc w:val="right"/>
                    <w:jc w:val="center"/>
                  </w:pPr>
                  <w:r>
                    <w:t xml:space="preserve">0.010</w:t>
                  </w:r>
                </w:p>
              </w:tc>
              <w:tc>
                <w:tcPr/>
                <w:p>
                  <w:pPr>
                    <w:pStyle w:val="Compact"/>
                    <w:jc w:val="right"/>
                    <w:jc w:val="center"/>
                  </w:pPr>
                  <w:r>
                    <w:t xml:space="preserve">0.094</w:t>
                  </w:r>
                </w:p>
              </w:tc>
              <w:tc>
                <w:tcPr/>
                <w:p>
                  <w:pPr>
                    <w:pStyle w:val="Compact"/>
                    <w:jc w:val="right"/>
                    <w:jc w:val="center"/>
                  </w:pPr>
                  <w:r>
                    <w:t xml:space="preserve">1.274</w:t>
                  </w:r>
                </w:p>
              </w:tc>
              <w:tc>
                <w:tcPr/>
                <w:p>
                  <w:pPr>
                    <w:pStyle w:val="Compact"/>
                    <w:jc w:val="right"/>
                    <w:jc w:val="center"/>
                  </w:pPr>
                  <w:r>
                    <w:t xml:space="preserve">1.110</w:t>
                  </w:r>
                </w:p>
              </w:tc>
            </w:tr>
            <w:tr>
              <w:tc>
                <w:tcPr/>
                <w:p>
                  <w:pPr>
                    <w:pStyle w:val="Compact"/>
                    <w:jc w:val="left"/>
                    <w:jc w:val="center"/>
                  </w:pPr>
                  <w:r>
                    <w:t xml:space="preserve">Depression</w:t>
                  </w:r>
                </w:p>
              </w:tc>
              <w:tc>
                <w:tcPr/>
                <w:p>
                  <w:pPr>
                    <w:pStyle w:val="Compact"/>
                    <w:jc w:val="right"/>
                    <w:jc w:val="center"/>
                  </w:pPr>
                  <w:r>
                    <w:t xml:space="preserve">-0.058</w:t>
                  </w:r>
                </w:p>
              </w:tc>
              <w:tc>
                <w:tcPr/>
                <w:p>
                  <w:pPr>
                    <w:pStyle w:val="Compact"/>
                    <w:jc w:val="right"/>
                    <w:jc w:val="center"/>
                  </w:pPr>
                  <w:r>
                    <w:t xml:space="preserve">-0.108</w:t>
                  </w:r>
                </w:p>
              </w:tc>
              <w:tc>
                <w:tcPr/>
                <w:p>
                  <w:pPr>
                    <w:pStyle w:val="Compact"/>
                    <w:jc w:val="right"/>
                    <w:jc w:val="center"/>
                  </w:pPr>
                  <w:r>
                    <w:t xml:space="preserve">-0.007</w:t>
                  </w:r>
                </w:p>
              </w:tc>
              <w:tc>
                <w:tcPr/>
                <w:p>
                  <w:pPr>
                    <w:pStyle w:val="Compact"/>
                    <w:jc w:val="right"/>
                    <w:jc w:val="center"/>
                  </w:pPr>
                  <w:r>
                    <w:t xml:space="preserve">1.293</w:t>
                  </w:r>
                </w:p>
              </w:tc>
              <w:tc>
                <w:tcPr/>
                <w:p>
                  <w:pPr>
                    <w:pStyle w:val="Compact"/>
                    <w:jc w:val="right"/>
                    <w:jc w:val="center"/>
                  </w:pPr>
                  <w:r>
                    <w:t xml:space="preserve">1.088</w:t>
                  </w:r>
                </w:p>
              </w:tc>
            </w:tr>
            <w:tr>
              <w:tc>
                <w:tcPr/>
                <w:p>
                  <w:pPr>
                    <w:pStyle w:val="Compact"/>
                    <w:jc w:val="left"/>
                    <w:jc w:val="center"/>
                  </w:pPr>
                  <w:r>
                    <w:t xml:space="preserve">Life Satisfaction</w:t>
                  </w:r>
                </w:p>
              </w:tc>
              <w:tc>
                <w:tcPr/>
                <w:p>
                  <w:pPr>
                    <w:pStyle w:val="Compact"/>
                    <w:jc w:val="right"/>
                    <w:jc w:val="center"/>
                  </w:pPr>
                  <w:r>
                    <w:t xml:space="preserve">0.045</w:t>
                  </w:r>
                </w:p>
              </w:tc>
              <w:tc>
                <w:tcPr/>
                <w:p>
                  <w:pPr>
                    <w:pStyle w:val="Compact"/>
                    <w:jc w:val="right"/>
                    <w:jc w:val="center"/>
                  </w:pPr>
                  <w:r>
                    <w:t xml:space="preserve">0.000</w:t>
                  </w:r>
                </w:p>
              </w:tc>
              <w:tc>
                <w:tcPr/>
                <w:p>
                  <w:pPr>
                    <w:pStyle w:val="Compact"/>
                    <w:jc w:val="right"/>
                    <w:jc w:val="center"/>
                  </w:pPr>
                  <w:r>
                    <w:t xml:space="preserve">0.089</w:t>
                  </w:r>
                </w:p>
              </w:tc>
              <w:tc>
                <w:tcPr/>
                <w:p>
                  <w:pPr>
                    <w:pStyle w:val="Compact"/>
                    <w:jc w:val="right"/>
                    <w:jc w:val="center"/>
                  </w:pPr>
                  <w:r>
                    <w:t xml:space="preserve">1.250</w:t>
                  </w:r>
                </w:p>
              </w:tc>
              <w:tc>
                <w:tcPr/>
                <w:p>
                  <w:pPr>
                    <w:pStyle w:val="Compact"/>
                    <w:jc w:val="right"/>
                    <w:jc w:val="center"/>
                  </w:pPr>
                  <w:r>
                    <w:t xml:space="preserve">1.003</w:t>
                  </w:r>
                </w:p>
              </w:tc>
            </w:tr>
            <w:tr>
              <w:tc>
                <w:tcPr/>
                <w:p>
                  <w:pPr>
                    <w:pStyle w:val="Compact"/>
                    <w:jc w:val="left"/>
                    <w:jc w:val="center"/>
                  </w:pPr>
                  <w:r>
                    <w:t xml:space="preserve">Rumination</w:t>
                  </w:r>
                </w:p>
              </w:tc>
              <w:tc>
                <w:tcPr/>
                <w:p>
                  <w:pPr>
                    <w:pStyle w:val="Compact"/>
                    <w:jc w:val="right"/>
                    <w:jc w:val="center"/>
                  </w:pPr>
                  <w:r>
                    <w:t xml:space="preserve">-0.047</w:t>
                  </w:r>
                </w:p>
              </w:tc>
              <w:tc>
                <w:tcPr/>
                <w:p>
                  <w:pPr>
                    <w:pStyle w:val="Compact"/>
                    <w:jc w:val="right"/>
                    <w:jc w:val="center"/>
                  </w:pPr>
                  <w:r>
                    <w:t xml:space="preserve">-0.101</w:t>
                  </w:r>
                </w:p>
              </w:tc>
              <w:tc>
                <w:tcPr/>
                <w:p>
                  <w:pPr>
                    <w:pStyle w:val="Compact"/>
                    <w:jc w:val="right"/>
                    <w:jc w:val="center"/>
                  </w:pPr>
                  <w:r>
                    <w:t xml:space="preserve">0.006</w:t>
                  </w:r>
                </w:p>
              </w:tc>
              <w:tc>
                <w:tcPr/>
                <w:p>
                  <w:pPr>
                    <w:pStyle w:val="Compact"/>
                    <w:jc w:val="right"/>
                    <w:jc w:val="center"/>
                  </w:pPr>
                  <w:r>
                    <w:t xml:space="preserve">1.257</w:t>
                  </w:r>
                </w:p>
              </w:tc>
              <w:tc>
                <w:tcPr/>
                <w:p>
                  <w:pPr>
                    <w:pStyle w:val="Compact"/>
                    <w:jc w:val="right"/>
                    <w:jc w:val="center"/>
                  </w:pPr>
                  <w:r>
                    <w:t xml:space="preserve">1.000</w:t>
                  </w:r>
                </w:p>
              </w:tc>
            </w:tr>
            <w:tr>
              <w:tc>
                <w:tcPr/>
                <w:p>
                  <w:pPr>
                    <w:pStyle w:val="Compact"/>
                    <w:jc w:val="left"/>
                    <w:jc w:val="center"/>
                  </w:pPr>
                  <w:r>
                    <w:t xml:space="preserve">Hours of Exercise (log)</w:t>
                  </w:r>
                </w:p>
              </w:tc>
              <w:tc>
                <w:tcPr/>
                <w:p>
                  <w:pPr>
                    <w:pStyle w:val="Compact"/>
                    <w:jc w:val="right"/>
                    <w:jc w:val="center"/>
                  </w:pPr>
                  <w:r>
                    <w:t xml:space="preserve">-0.029</w:t>
                  </w:r>
                </w:p>
              </w:tc>
              <w:tc>
                <w:tcPr/>
                <w:p>
                  <w:pPr>
                    <w:pStyle w:val="Compact"/>
                    <w:jc w:val="right"/>
                    <w:jc w:val="center"/>
                  </w:pPr>
                  <w:r>
                    <w:t xml:space="preserve">-0.085</w:t>
                  </w:r>
                </w:p>
              </w:tc>
              <w:tc>
                <w:tcPr/>
                <w:p>
                  <w:pPr>
                    <w:pStyle w:val="Compact"/>
                    <w:jc w:val="right"/>
                    <w:jc w:val="center"/>
                  </w:pPr>
                  <w:r>
                    <w:t xml:space="preserve">0.028</w:t>
                  </w:r>
                </w:p>
              </w:tc>
              <w:tc>
                <w:tcPr/>
                <w:p>
                  <w:pPr>
                    <w:pStyle w:val="Compact"/>
                    <w:jc w:val="right"/>
                    <w:jc w:val="center"/>
                  </w:pPr>
                  <w:r>
                    <w:t xml:space="preserve">1.192</w:t>
                  </w:r>
                </w:p>
              </w:tc>
              <w:tc>
                <w:tcPr/>
                <w:p>
                  <w:pPr>
                    <w:pStyle w:val="Compact"/>
                    <w:jc w:val="right"/>
                    <w:jc w:val="center"/>
                  </w:pPr>
                  <w:r>
                    <w:t xml:space="preserve">1.000</w:t>
                  </w:r>
                </w:p>
              </w:tc>
            </w:tr>
          </w:tbl>
          <w:bookmarkEnd w:id="37"/>
          <w:p/>
        </w:tc>
      </w:tr>
    </w:tbl>
    <w:p>
      <w:pPr>
        <w:pStyle w:val="BodyText"/>
      </w:pPr>
      <w:r>
        <w:t xml:space="preserve">The following outcomes showed reliable causal evidence (E-Value lower bound &gt; 1.2):</w:t>
      </w:r>
      <w:r>
        <w:t xml:space="preserve"> </w:t>
      </w:r>
      <w:r>
        <w:t xml:space="preserve">- Social Belonging: 0.128 (0.084, 0.171); On original scale, 0.14 (0.092, 0.187). E-Value bound = 1.375</w:t>
      </w:r>
      <w:r>
        <w:t xml:space="preserve"> </w:t>
      </w:r>
      <w:r>
        <w:t xml:space="preserve">- Neighbourhood Community: 0.117 (0.071, 0.164); On original scale, 0.184 (0.111, 0.257). E-Value bound = 1.331</w:t>
      </w:r>
      <w:r>
        <w:t xml:space="preserve"> </w:t>
      </w:r>
      <w:r>
        <w:t xml:space="preserve">- Social Support: 0.101 (0.052, 0.15); On original scale, 0.113 (0.058, 0.168). E-Value bound = 1.274</w:t>
      </w:r>
      <w:r>
        <w:t xml:space="preserve"> </w:t>
      </w:r>
      <w:r>
        <w:t xml:space="preserve">- Meaning: Purpose: 0.1 (0.049, 0.15); On original scale, 0.144 (0.071, 0.217). E-Value bound = 1.264</w:t>
      </w:r>
      <w:r>
        <w:t xml:space="preserve"> </w:t>
      </w:r>
      <w:r>
        <w:t xml:space="preserve">- Self Esteem: 0.089 (0.049, 0.129); On original scale, 0.113 (0.062, 0.164). E-Value bound = 1.26</w:t>
      </w:r>
      <w:r>
        <w:t xml:space="preserve"> </w:t>
      </w:r>
      <w:r>
        <w:t xml:space="preserve">- Meaning: Sense: 0.089 (0.036, 0.141); On original scale, 0.105 (0.043, 0.168). E-Value bound = 1.219</w:t>
      </w:r>
    </w:p>
    <w:p>
      <w:r>
        <w:br w:type="page"/>
      </w:r>
    </w:p>
    <w:bookmarkEnd w:id="38"/>
    <w:bookmarkStart w:id="39" w:name="heterogeneous-treatment-effects"/>
    <w:p>
      <w:pPr>
        <w:pStyle w:val="Heading3"/>
      </w:pPr>
      <w:r>
        <w:t xml:space="preserve">Heterogeneous Treatment Effects</w:t>
      </w:r>
    </w:p>
    <w:bookmarkEnd w:id="39"/>
    <w:bookmarkStart w:id="40"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m:oMath>
        <m:r>
          <m:t>τ</m:t>
        </m:r>
        <m:d>
          <m:dPr>
            <m:begChr m:val="("/>
            <m:sepChr m:val=""/>
            <m:endChr m:val=")"/>
            <m:grow/>
          </m:dPr>
          <m:e>
            <m:r>
              <m:t>x</m:t>
            </m:r>
          </m:e>
        </m:d>
      </m:oMath>
      <w:r>
        <w:t xml:space="preserve"> </w:t>
      </w:r>
      <w:r>
        <w:t xml:space="preserve">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p>
      <w:pPr>
        <w:pStyle w:val="BodyText"/>
      </w:pPr>
      <w:r>
        <w:t xml:space="preserve">Refer to</w:t>
      </w:r>
      <w:r>
        <w:t xml:space="preserve"> </w:t>
      </w:r>
      <w:hyperlink w:anchor="appendix-cate-validation">
        <w:r>
          <w:rPr>
            <w:rStyle w:val="Hyperlink"/>
          </w:rPr>
          <w:t xml:space="preserve">Appendix F</w:t>
        </w:r>
      </w:hyperlink>
      <w:r>
        <w:t xml:space="preserve"> </w:t>
      </w:r>
      <w:r>
        <w:t xml:space="preserve">for details.</w:t>
      </w:r>
    </w:p>
    <w:bookmarkEnd w:id="40"/>
    <w:bookmarkStart w:id="41" w:name="rate-autoc-results"/>
    <w:p>
      <w:pPr>
        <w:pStyle w:val="Heading3"/>
      </w:pPr>
      <w:r>
        <w:t xml:space="preserve">RATE AUTOC Results</w:t>
      </w:r>
    </w:p>
    <w:bookmarkEnd w:id="41"/>
    <w:bookmarkStart w:id="46"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0.014, 0.116)) show robust heterogeneity.</w:t>
      </w:r>
    </w:p>
    <w:p>
      <w:pPr>
        <w:pStyle w:val="BodyText"/>
      </w:pPr>
      <w:r>
        <w:t xml:space="preserve">For outcomes with 95%% CI crossing zero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45" w:name="fig-rate"/>
          <w:p>
            <w:pPr>
              <w:pStyle w:val="Compact"/>
              <w:jc w:val="center"/>
            </w:pPr>
            <w:r>
              <w:drawing>
                <wp:inline>
                  <wp:extent cx="5334000" cy="9482666"/>
                  <wp:effectExtent b="0" l="0" r="0" t="0"/>
                  <wp:docPr descr="" title="" id="43" name="Picture"/>
                  <a:graphic>
                    <a:graphicData uri="http://schemas.openxmlformats.org/drawingml/2006/picture">
                      <pic:pic>
                        <pic:nvPicPr>
                          <pic:cNvPr descr="initial_quarto_document_files/figure-docx/fig-rate-1.png" id="44" name="Picture"/>
                          <pic:cNvPicPr>
                            <a:picLocks noChangeArrowheads="1" noChangeAspect="1"/>
                          </pic:cNvPicPr>
                        </pic:nvPicPr>
                        <pic:blipFill>
                          <a:blip r:embed="rId4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RATE AUTOC Graphs</w:t>
            </w:r>
          </w:p>
          <w:bookmarkEnd w:id="45"/>
        </w:tc>
      </w:tr>
    </w:tbl>
    <w:bookmarkEnd w:id="46"/>
    <w:bookmarkStart w:id="47" w:name="qini-curve-results"/>
    <w:p>
      <w:pPr>
        <w:pStyle w:val="Heading3"/>
      </w:pPr>
      <w:r>
        <w:t xml:space="preserve">QINI Curve Results</w:t>
      </w:r>
    </w:p>
    <w:bookmarkEnd w:id="47"/>
    <w:bookmarkStart w:id="53"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 for aggregate gain.</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0.004, 0.036))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tbl>
      <w:tblPr>
        <w:tblStyle w:val="Table"/>
        <w:tblW w:type="pct" w:w="5000"/>
        <w:tblLayout w:type="fixed"/>
        <w:tblLook w:firstRow="0" w:lastRow="0" w:firstColumn="0" w:lastColumn="0" w:noHBand="0" w:noVBand="0" w:val="0000"/>
      </w:tblPr>
      <w:tblGrid>
        <w:gridCol w:w="7920"/>
      </w:tblGrid>
      <w:tr>
        <w:tc>
          <w:tcPr/>
          <w:bookmarkStart w:id="48" w:name="tbl-qini"/>
          <w:p>
            <w:pPr>
              <w:jc w:val="center"/>
            </w:pPr>
            <w:pPr>
              <w:jc w:val="start"/>
              <w:spacing w:before="200"/>
              <w:pStyle w:val="ImageCaption"/>
            </w:pPr>
            <w:r>
              <w:t xml:space="preserve">Table 2: Qini Curve Results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Model</w:t>
                  </w:r>
                </w:p>
              </w:tc>
              <w:tc>
                <w:tcPr/>
                <w:p>
                  <w:pPr>
                    <w:pStyle w:val="Compact"/>
                    <w:jc w:val="left"/>
                    <w:jc w:val="center"/>
                  </w:pPr>
                  <w:r>
                    <w:t xml:space="preserve">Spend 20%</w:t>
                  </w:r>
                </w:p>
              </w:tc>
              <w:tc>
                <w:tcPr/>
                <w:p>
                  <w:pPr>
                    <w:pStyle w:val="Compact"/>
                    <w:jc w:val="left"/>
                    <w:jc w:val="center"/>
                  </w:pPr>
                  <w:r>
                    <w:t xml:space="preserve">Spend 50%</w:t>
                  </w:r>
                </w:p>
              </w:tc>
            </w:tr>
            <w:tr>
              <w:tc>
                <w:tcPr/>
                <w:p>
                  <w:pPr>
                    <w:pStyle w:val="Compact"/>
                    <w:jc w:val="left"/>
                    <w:jc w:val="center"/>
                  </w:pPr>
                  <w:r>
                    <w:t xml:space="preserve">Meaning: Sense</w:t>
                  </w:r>
                </w:p>
              </w:tc>
              <w:tc>
                <w:tcPr/>
                <w:p>
                  <w:pPr>
                    <w:pStyle w:val="Compact"/>
                    <w:jc w:val="left"/>
                    <w:jc w:val="center"/>
                  </w:pPr>
                  <w:r>
                    <w:rPr>
                      <w:b/>
                      <w:bCs/>
                    </w:rPr>
                    <w:t xml:space="preserve">0.04 [0.01, 0.07]</w:t>
                  </w:r>
                </w:p>
              </w:tc>
              <w:tc>
                <w:tcPr/>
                <w:p>
                  <w:pPr>
                    <w:pStyle w:val="Compact"/>
                    <w:jc w:val="left"/>
                    <w:jc w:val="center"/>
                  </w:pPr>
                  <w:r>
                    <w:t xml:space="preserve">-0.00 [-0.06, 0.05]</w:t>
                  </w:r>
                </w:p>
              </w:tc>
            </w:tr>
          </w:tbl>
          <w:bookmarkEnd w:id="48"/>
          <w:p/>
        </w:tc>
      </w:tr>
    </w:tbl>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Meaning: Sense</w:t>
      </w:r>
      <w:r>
        <w:t xml:space="preserve"> </w:t>
      </w:r>
      <w:r>
        <w:t xml:space="preserve">At 20% spend: CATE prioritisation is beneficial (diff: 0.04 [95% CI: 0.01, 0.07]). At 50 % spend: No reliable benefits from CATE prioritisation.</w:t>
      </w:r>
    </w:p>
    <w:tbl>
      <w:tblPr>
        <w:tblStyle w:val="Table"/>
        <w:tblW w:type="pct" w:w="5000"/>
        <w:tblLayout w:type="fixed"/>
        <w:tblLook w:firstRow="0" w:lastRow="0" w:firstColumn="0" w:lastColumn="0" w:noHBand="0" w:noVBand="0" w:val="0000"/>
      </w:tblPr>
      <w:tblGrid>
        <w:gridCol w:w="7920"/>
      </w:tblGrid>
      <w:tr>
        <w:tc>
          <w:tcPr/>
          <w:bookmarkStart w:id="52" w:name="fig-qini"/>
          <w:p>
            <w:pPr>
              <w:pStyle w:val="Compact"/>
              <w:jc w:val="center"/>
            </w:pPr>
            <w:r>
              <w:drawing>
                <wp:inline>
                  <wp:extent cx="5334000" cy="9482666"/>
                  <wp:effectExtent b="0" l="0" r="0" t="0"/>
                  <wp:docPr descr="" title="" id="50" name="Picture"/>
                  <a:graphic>
                    <a:graphicData uri="http://schemas.openxmlformats.org/drawingml/2006/picture">
                      <pic:pic>
                        <pic:nvPicPr>
                          <pic:cNvPr descr="initial_quarto_document_files/figure-docx/fig-qini-1.png" id="51" name="Picture"/>
                          <pic:cNvPicPr>
                            <a:picLocks noChangeArrowheads="1" noChangeAspect="1"/>
                          </pic:cNvPicPr>
                        </pic:nvPicPr>
                        <pic:blipFill>
                          <a:blip r:embed="rId4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RATE AUTOC Graphs</w:t>
            </w:r>
          </w:p>
          <w:bookmarkEnd w:id="52"/>
        </w:tc>
      </w:tr>
    </w:tbl>
    <w:p>
      <w:r>
        <w:br w:type="page"/>
      </w:r>
    </w:p>
    <w:bookmarkEnd w:id="53"/>
    <w:bookmarkStart w:id="54" w:name="policy-trees"/>
    <w:p>
      <w:pPr>
        <w:pStyle w:val="Heading3"/>
      </w:pPr>
      <w:r>
        <w:t xml:space="preserve">Policy Trees</w:t>
      </w:r>
    </w:p>
    <w:bookmarkEnd w:id="54"/>
    <w:bookmarkStart w:id="63"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Meaning Sense:</w:t>
      </w:r>
    </w:p>
    <w:p>
      <w:pPr>
        <w:pStyle w:val="BodyText"/>
      </w:pPr>
      <w:r>
        <w:t xml:space="preserve">Split 1: Alcohol Intensity ≤ -0.313. Within that subgroup, split 2a: log Hours Commute ≤ -0.496, →</w:t>
      </w:r>
      <w:r>
        <w:t xml:space="preserve"> </w:t>
      </w:r>
      <w:r>
        <w:rPr>
          <w:b/>
          <w:bCs/>
        </w:rPr>
        <w:t xml:space="preserve">Control</w:t>
      </w:r>
      <w:r>
        <w:t xml:space="preserve">; log Hours Commute &gt; -0.496 →</w:t>
      </w:r>
      <w:r>
        <w:t xml:space="preserve"> </w:t>
      </w:r>
      <w:r>
        <w:rPr>
          <w:b/>
          <w:bCs/>
        </w:rPr>
        <w:t xml:space="preserve">Treated</w:t>
      </w:r>
      <w:r>
        <w:t xml:space="preserve">.</w:t>
      </w:r>
    </w:p>
    <w:p>
      <w:pPr>
        <w:pStyle w:val="BodyText"/>
      </w:pPr>
      <w:r>
        <w:t xml:space="preserve">Split 2: Alcohol Intensity &gt; -0.313. Within that subgroup, split 2b: Age ≤ 0.612, →</w:t>
      </w:r>
      <w:r>
        <w:t xml:space="preserve"> </w:t>
      </w:r>
      <w:r>
        <w:rPr>
          <w:b/>
          <w:bCs/>
        </w:rPr>
        <w:t xml:space="preserve">Treated</w:t>
      </w:r>
      <w:r>
        <w:t xml:space="preserve">; Age &gt; 0.612 →</w:t>
      </w:r>
      <w:r>
        <w:t xml:space="preserve"> </w:t>
      </w:r>
      <w:r>
        <w:rPr>
          <w:b/>
          <w:bCs/>
        </w:rPr>
        <w:t xml:space="preserve">Control</w:t>
      </w:r>
      <w:r>
        <w:t xml:space="preserve">.</w:t>
      </w:r>
    </w:p>
    <w:tbl>
      <w:tblPr>
        <w:tblStyle w:val="Table"/>
        <w:tblW w:type="pct" w:w="5000"/>
        <w:tblLayout w:type="fixed"/>
        <w:tblLook w:firstRow="0" w:lastRow="0" w:firstColumn="0" w:lastColumn="0" w:noHBand="0" w:noVBand="0" w:val="0000"/>
      </w:tblPr>
      <w:tblGrid>
        <w:gridCol w:w="7920"/>
      </w:tblGrid>
      <w:tr>
        <w:tc>
          <w:tcPr/>
          <w:bookmarkStart w:id="58" w:name="fig-policy-1"/>
          <w:p>
            <w:pPr>
              <w:pStyle w:val="Compact"/>
              <w:jc w:val="center"/>
            </w:pPr>
            <w:r>
              <w:drawing>
                <wp:inline>
                  <wp:extent cx="5334000" cy="9482666"/>
                  <wp:effectExtent b="0" l="0" r="0" t="0"/>
                  <wp:docPr descr="" title="" id="56" name="Picture"/>
                  <a:graphic>
                    <a:graphicData uri="http://schemas.openxmlformats.org/drawingml/2006/picture">
                      <pic:pic>
                        <pic:nvPicPr>
                          <pic:cNvPr descr="initial_quarto_document_files/figure-docx/fig-policy-1-1.png" id="57" name="Picture"/>
                          <pic:cNvPicPr>
                            <a:picLocks noChangeArrowheads="1" noChangeAspect="1"/>
                          </pic:cNvPicPr>
                        </pic:nvPicPr>
                        <pic:blipFill>
                          <a:blip r:embed="rId55"/>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Decision Tree: Exercise</w:t>
            </w:r>
          </w:p>
          <w:bookmarkEnd w:id="58"/>
        </w:tc>
      </w:tr>
    </w:tbl>
    <w:tbl>
      <w:tblPr>
        <w:tblStyle w:val="Table"/>
        <w:tblW w:type="pct" w:w="5000"/>
        <w:tblLayout w:type="fixed"/>
        <w:tblLook w:firstRow="0" w:lastRow="0" w:firstColumn="0" w:lastColumn="0" w:noHBand="0" w:noVBand="0" w:val="0000"/>
      </w:tblPr>
      <w:tblGrid>
        <w:gridCol w:w="7920"/>
      </w:tblGrid>
      <w:tr>
        <w:tc>
          <w:tcPr/>
          <w:bookmarkStart w:id="62" w:name="fig-policy-2"/>
          <w:p>
            <w:pPr>
              <w:pStyle w:val="Compact"/>
              <w:jc w:val="center"/>
            </w:pPr>
            <w:r>
              <w:drawing>
                <wp:inline>
                  <wp:extent cx="5334000" cy="9482666"/>
                  <wp:effectExtent b="0" l="0" r="0" t="0"/>
                  <wp:docPr descr="" title="" id="60" name="Picture"/>
                  <a:graphic>
                    <a:graphicData uri="http://schemas.openxmlformats.org/drawingml/2006/picture">
                      <pic:pic>
                        <pic:nvPicPr>
                          <pic:cNvPr descr="initial_quarto_document_files/figure-docx/fig-policy-2-1.png" id="61" name="Picture"/>
                          <pic:cNvPicPr>
                            <a:picLocks noChangeArrowheads="1" noChangeAspect="1"/>
                          </pic:cNvPicPr>
                        </pic:nvPicPr>
                        <pic:blipFill>
                          <a:blip r:embed="rId5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Decision Tree: Meaning Sense</w:t>
            </w:r>
          </w:p>
          <w:bookmarkEnd w:id="62"/>
        </w:tc>
      </w:tr>
    </w:tbl>
    <w:bookmarkEnd w:id="63"/>
    <w:bookmarkEnd w:id="64"/>
    <w:bookmarkStart w:id="70" w:name="discussion"/>
    <w:p>
      <w:pPr>
        <w:pStyle w:val="Heading2"/>
      </w:pPr>
      <w:r>
        <w:t xml:space="preserve">Discussion</w:t>
      </w:r>
    </w:p>
    <w:bookmarkStart w:id="65"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65"/>
    <w:bookmarkStart w:id="66" w:name="author-statement"/>
    <w:p>
      <w:pPr>
        <w:pStyle w:val="Heading3"/>
      </w:pPr>
      <w:r>
        <w:t xml:space="preserve">Author Statement</w:t>
      </w:r>
    </w:p>
    <w:bookmarkEnd w:id="66"/>
    <w:bookmarkStart w:id="67"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67"/>
    <w:bookmarkStart w:id="69"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68">
        <w:r>
          <w:rPr>
            <w:rStyle w:val="Hyperlink"/>
          </w:rPr>
          <w:t xml:space="preserve">OSF link</w:t>
        </w:r>
      </w:hyperlink>
      <w:r>
        <w:t xml:space="preserve">.</w:t>
      </w:r>
    </w:p>
    <w:p>
      <w:r>
        <w:br w:type="page"/>
      </w:r>
    </w:p>
    <w:bookmarkEnd w:id="69"/>
    <w:bookmarkEnd w:id="70"/>
    <w:bookmarkStart w:id="121" w:name="appendix-measures"/>
    <w:p>
      <w:pPr>
        <w:pStyle w:val="Heading2"/>
      </w:pPr>
      <w:r>
        <w:t xml:space="preserve">Appendix A: Measures</w:t>
      </w:r>
    </w:p>
    <w:bookmarkStart w:id="72" w:name="measures"/>
    <w:p>
      <w:pPr>
        <w:pStyle w:val="Heading3"/>
      </w:pPr>
      <w:r>
        <w:t xml:space="preserve">Measures</w:t>
      </w:r>
    </w:p>
    <w:bookmarkStart w:id="71" w:name="covariate-measures"/>
    <w:p>
      <w:pPr>
        <w:pStyle w:val="Heading4"/>
      </w:pPr>
      <w:r>
        <w:t xml:space="preserve">Covariate Measures</w:t>
      </w:r>
    </w:p>
    <w:bookmarkEnd w:id="71"/>
    <w:bookmarkEnd w:id="72"/>
    <w:bookmarkStart w:id="104" w:name="baseline-covariates"/>
    <w:p>
      <w:pPr>
        <w:pStyle w:val="Heading3"/>
      </w:pPr>
      <w:r>
        <w:t xml:space="preserve">Baseline Covariates</w:t>
      </w:r>
    </w:p>
    <w:bookmarkStart w:id="73"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73"/>
    <w:bookmarkStart w:id="74"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4"/>
    <w:bookmarkStart w:id="75"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75"/>
    <w:bookmarkStart w:id="76"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76"/>
    <w:bookmarkStart w:id="77"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77"/>
    <w:bookmarkStart w:id="78"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78"/>
    <w:bookmarkStart w:id="79"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79"/>
    <w:bookmarkStart w:id="80"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80"/>
    <w:bookmarkStart w:id="81"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81"/>
    <w:bookmarkStart w:id="82"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82"/>
    <w:bookmarkStart w:id="83"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3"/>
    <w:bookmarkStart w:id="84"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4"/>
    <w:bookmarkStart w:id="85"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85"/>
    <w:bookmarkStart w:id="86"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86"/>
    <w:bookmarkStart w:id="87"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87"/>
    <w:bookmarkStart w:id="88"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88"/>
    <w:bookmarkStart w:id="89"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89"/>
    <w:bookmarkStart w:id="90"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90"/>
    <w:bookmarkStart w:id="91"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91"/>
    <w:bookmarkStart w:id="92"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92"/>
    <w:bookmarkStart w:id="93"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3"/>
    <w:bookmarkStart w:id="94"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4"/>
    <w:bookmarkStart w:id="95"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95"/>
    <w:bookmarkStart w:id="96"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96"/>
    <w:bookmarkStart w:id="97"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97"/>
    <w:bookmarkStart w:id="98"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98"/>
    <w:bookmarkStart w:id="99"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99"/>
    <w:bookmarkStart w:id="100"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100"/>
    <w:bookmarkStart w:id="101"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101"/>
    <w:bookmarkStart w:id="102"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102"/>
    <w:bookmarkStart w:id="103" w:name="exposure-measures"/>
    <w:p>
      <w:pPr>
        <w:pStyle w:val="Heading4"/>
      </w:pPr>
      <w:r>
        <w:t xml:space="preserve">Exposure Measures</w:t>
      </w:r>
    </w:p>
    <w:bookmarkEnd w:id="103"/>
    <w:bookmarkEnd w:id="104"/>
    <w:bookmarkStart w:id="107" w:name="exposure-variable"/>
    <w:p>
      <w:pPr>
        <w:pStyle w:val="Heading3"/>
      </w:pPr>
      <w:r>
        <w:t xml:space="preserve">Exposure Variable</w:t>
      </w:r>
    </w:p>
    <w:bookmarkStart w:id="105"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05"/>
    <w:bookmarkStart w:id="106" w:name="outcome-measures"/>
    <w:p>
      <w:pPr>
        <w:pStyle w:val="Heading4"/>
      </w:pPr>
      <w:r>
        <w:t xml:space="preserve">Outcome Measures</w:t>
      </w:r>
    </w:p>
    <w:bookmarkEnd w:id="106"/>
    <w:bookmarkEnd w:id="107"/>
    <w:bookmarkStart w:id="120" w:name="outcome-variables"/>
    <w:p>
      <w:pPr>
        <w:pStyle w:val="Heading3"/>
      </w:pPr>
      <w:r>
        <w:t xml:space="preserve">Outcome Variables</w:t>
      </w:r>
    </w:p>
    <w:bookmarkStart w:id="108"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08"/>
    <w:bookmarkStart w:id="109"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9"/>
    <w:bookmarkStart w:id="110"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0"/>
    <w:bookmarkStart w:id="111"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11"/>
    <w:bookmarkStart w:id="112"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2"/>
    <w:bookmarkStart w:id="113"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3"/>
    <w:bookmarkStart w:id="114"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4"/>
    <w:bookmarkStart w:id="115"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15"/>
    <w:bookmarkStart w:id="116" w:name="personal-well-being-index"/>
    <w:p>
      <w:pPr>
        <w:pStyle w:val="Heading4"/>
      </w:pPr>
      <w:r>
        <w:t xml:space="preserve">Personal Well Being Index</w:t>
      </w:r>
    </w:p>
    <w:p>
      <w:pPr>
        <w:pStyle w:val="FirstParagraph"/>
      </w:pPr>
      <w:r>
        <w:t xml:space="preserve">no information available for this variable.</w:t>
      </w:r>
    </w:p>
    <w:bookmarkEnd w:id="116"/>
    <w:bookmarkStart w:id="117"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17"/>
    <w:bookmarkStart w:id="118"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18"/>
    <w:bookmarkStart w:id="119"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bookmarkEnd w:id="119"/>
    <w:bookmarkEnd w:id="120"/>
    <w:bookmarkEnd w:id="121"/>
    <w:bookmarkStart w:id="129" w:name="appendix-sample"/>
    <w:p>
      <w:pPr>
        <w:pStyle w:val="Heading2"/>
      </w:pPr>
      <w:r>
        <w:t xml:space="preserve">Appendix B: Sample</w:t>
      </w:r>
    </w:p>
    <w:p>
      <w:pPr>
        <w:pStyle w:val="FirstParagraph"/>
      </w:pPr>
      <w:hyperlink w:anchor="tbl-appendix-baseline">
        <w:r>
          <w:rPr>
            <w:rStyle w:val="Hyperlink"/>
          </w:rPr>
          <w:t xml:space="preserve">Table 3</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2" w:name="tbl-appendix-baseline"/>
          <w:p>
            <w:pPr>
              <w:jc w:val="center"/>
            </w:pPr>
            <w:pPr>
              <w:jc w:val="start"/>
              <w:spacing w:before="200"/>
              <w:pStyle w:val="ImageCaption"/>
            </w:pPr>
            <w:r>
              <w:t xml:space="preserve">Table 3: Demographic statistics for New Zealand Attitudes and Values Cohort wave 2018.</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2"/>
          <w:p/>
        </w:tc>
      </w:tr>
    </w:tbl>
    <w:bookmarkStart w:id="124" w:name="appendix-exposure"/>
    <w:p>
      <w:pPr>
        <w:pStyle w:val="Heading3"/>
      </w:pPr>
      <w:r>
        <w:t xml:space="preserve">Exposure Variable</w:t>
      </w:r>
    </w:p>
    <w:tbl>
      <w:tblPr>
        <w:tblStyle w:val="Table"/>
        <w:tblW w:type="pct" w:w="5000"/>
        <w:tblLayout w:type="fixed"/>
        <w:tblLook w:firstRow="0" w:lastRow="0" w:firstColumn="0" w:lastColumn="0" w:noHBand="0" w:noVBand="0" w:val="0000"/>
      </w:tblPr>
      <w:tblGrid>
        <w:gridCol w:w="7920"/>
      </w:tblGrid>
      <w:tr>
        <w:tc>
          <w:tcPr/>
          <w:bookmarkStart w:id="123" w:name="tbl-appendix-exposures"/>
          <w:p>
            <w:pPr>
              <w:jc w:val="center"/>
            </w:pPr>
            <w:pPr>
              <w:jc w:val="start"/>
              <w:spacing w:before="200"/>
              <w:pStyle w:val="ImageCaption"/>
            </w:pPr>
            <w:r>
              <w:t xml:space="preserve">Table 4: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3"/>
          <w:p/>
        </w:tc>
      </w:tr>
    </w:tbl>
    <w:p>
      <w:r>
        <w:br w:type="page"/>
      </w:r>
    </w:p>
    <w:bookmarkEnd w:id="124"/>
    <w:bookmarkStart w:id="126" w:name="appendix-outcomes"/>
    <w:p>
      <w:pPr>
        <w:pStyle w:val="Heading3"/>
      </w:pPr>
      <w:r>
        <w:t xml:space="preserve">Outcome Variables</w:t>
      </w:r>
    </w:p>
    <w:tbl>
      <w:tblPr>
        <w:tblStyle w:val="Table"/>
        <w:tblW w:type="pct" w:w="5000"/>
        <w:tblLayout w:type="fixed"/>
        <w:tblLook w:firstRow="0" w:lastRow="0" w:firstColumn="0" w:lastColumn="0" w:noHBand="0" w:noVBand="0" w:val="0000"/>
      </w:tblPr>
      <w:tblGrid>
        <w:gridCol w:w="7920"/>
      </w:tblGrid>
      <w:tr>
        <w:tc>
          <w:tcPr/>
          <w:bookmarkStart w:id="125" w:name="tbl-appendix-outcomes"/>
          <w:p>
            <w:pPr>
              <w:jc w:val="center"/>
            </w:pPr>
            <w:pPr>
              <w:jc w:val="start"/>
              <w:spacing w:before="200"/>
              <w:pStyle w:val="ImageCaption"/>
            </w:pPr>
            <w:r>
              <w:t xml:space="preserve">Table 5: Outcome variables measured at baseline (NZAVS time 10, years 2018-2019, and time 15, years 2023-2024).</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25"/>
          <w:p/>
        </w:tc>
      </w:tr>
    </w:tbl>
    <w:p>
      <w:r>
        <w:br w:type="page"/>
      </w:r>
    </w:p>
    <w:bookmarkEnd w:id="126"/>
    <w:bookmarkStart w:id="128" w:name="appendix-transition"/>
    <w:p>
      <w:pPr>
        <w:pStyle w:val="Heading3"/>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27" w:name="tbl-transition"/>
          <w:p>
            <w:pPr>
              <w:jc w:val="center"/>
            </w:pPr>
            <w:pPr>
              <w:jc w:val="start"/>
              <w:spacing w:before="200"/>
              <w:pStyle w:val="ImageCaption"/>
            </w:pPr>
            <w:r>
              <w:t xml:space="preserve">Table 6: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27"/>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28"/>
    <w:bookmarkEnd w:id="129"/>
    <w:bookmarkStart w:id="131" w:name="appendix-cate-validation"/>
    <w:p>
      <w:pPr>
        <w:pStyle w:val="Heading2"/>
      </w:pPr>
      <w:r>
        <w:t xml:space="preserve">Appendix D: Evidence of Heterogeneity</w:t>
      </w:r>
    </w:p>
    <w:tbl>
      <w:tblPr>
        <w:tblStyle w:val="Table"/>
        <w:tblW w:type="pct" w:w="5000"/>
        <w:tblLayout w:type="fixed"/>
        <w:tblLook w:firstRow="0" w:lastRow="0" w:firstColumn="0" w:lastColumn="0" w:noHBand="0" w:noVBand="0" w:val="0000"/>
      </w:tblPr>
      <w:tblGrid>
        <w:gridCol w:w="7920"/>
      </w:tblGrid>
      <w:tr>
        <w:tc>
          <w:tcPr/>
          <w:bookmarkStart w:id="130" w:name="tbl-omnibus"/>
          <w:p>
            <w:pPr>
              <w:jc w:val="center"/>
            </w:pPr>
            <w:pPr>
              <w:jc w:val="start"/>
              <w:spacing w:before="200"/>
              <w:pStyle w:val="ImageCaption"/>
            </w:pPr>
            <w:r>
              <w:t xml:space="preserve">Table 7</w:t>
            </w:r>
          </w:p>
          <w:tbl>
            <w:tblPr>
              <w:tblStyle w:val="Table"/>
              <w:tblW w:type="pct" w:w="5000"/>
              <w:tblLayout w:type="fixed"/>
              <w:tblLook w:firstRow="1" w:lastRow="0" w:firstColumn="0" w:lastColumn="0" w:noHBand="0" w:noVBand="0" w:val="0020"/>
            </w:tblPr>
            <w:tblGrid>
              <w:gridCol w:w="1775"/>
              <w:gridCol w:w="1024"/>
              <w:gridCol w:w="887"/>
              <w:gridCol w:w="1024"/>
              <w:gridCol w:w="1092"/>
              <w:gridCol w:w="955"/>
              <w:gridCol w:w="1160"/>
            </w:tblGrid>
            <w:tr>
              <w:trPr>
                <w:tblHeader w:val="on"/>
              </w:trPr>
              <w:tc>
                <w:tcPr/>
                <w:p>
                  <w:pPr>
                    <w:pStyle w:val="Compact"/>
                    <w:jc w:val="left"/>
                    <w:jc w:val="center"/>
                  </w:pPr>
                  <w:r>
                    <w:t xml:space="preserve">Outcome</w:t>
                  </w:r>
                </w:p>
              </w:tc>
              <w:tc>
                <w:tcPr/>
                <w:p>
                  <w:pPr>
                    <w:pStyle w:val="Compact"/>
                    <w:jc w:val="left"/>
                    <w:jc w:val="center"/>
                  </w:pPr>
                  <w:r>
                    <w:t xml:space="preserve">Mean Est. (SE)</w:t>
                  </w:r>
                </w:p>
              </w:tc>
              <w:tc>
                <w:tcPr/>
                <w:p>
                  <w:pPr>
                    <w:pStyle w:val="Compact"/>
                    <w:jc w:val="left"/>
                    <w:jc w:val="center"/>
                  </w:pPr>
                  <w:r>
                    <w:t xml:space="preserve">Mean p-value</w:t>
                  </w:r>
                </w:p>
              </w:tc>
              <w:tc>
                <w:tcPr/>
                <w:p>
                  <w:pPr>
                    <w:pStyle w:val="Compact"/>
                    <w:jc w:val="left"/>
                    <w:jc w:val="center"/>
                  </w:pPr>
                  <w:r>
                    <w:t xml:space="preserve">Mean Status</w:t>
                  </w:r>
                </w:p>
              </w:tc>
              <w:tc>
                <w:tcPr/>
                <w:p>
                  <w:pPr>
                    <w:pStyle w:val="Compact"/>
                    <w:jc w:val="left"/>
                    <w:jc w:val="center"/>
                  </w:pPr>
                  <w:r>
                    <w:t xml:space="preserve">Diff. Est. (SE)</w:t>
                  </w:r>
                </w:p>
              </w:tc>
              <w:tc>
                <w:tcPr/>
                <w:p>
                  <w:pPr>
                    <w:pStyle w:val="Compact"/>
                    <w:jc w:val="left"/>
                    <w:jc w:val="center"/>
                  </w:pPr>
                  <w:r>
                    <w:t xml:space="preserve">Diff. p-value</w:t>
                  </w:r>
                </w:p>
              </w:tc>
              <w:tc>
                <w:tcPr/>
                <w:p>
                  <w:pPr>
                    <w:pStyle w:val="Compact"/>
                    <w:jc w:val="left"/>
                    <w:jc w:val="center"/>
                  </w:pPr>
                  <w:r>
                    <w:t xml:space="preserve">Heterogeneity</w:t>
                  </w:r>
                </w:p>
              </w:tc>
            </w:tr>
            <w:tr>
              <w:tc>
                <w:tcPr/>
                <w:p>
                  <w:pPr>
                    <w:pStyle w:val="Compact"/>
                    <w:jc w:val="left"/>
                    <w:jc w:val="center"/>
                  </w:pPr>
                  <w:r>
                    <w:t xml:space="preserve">Social Belonging</w:t>
                  </w:r>
                </w:p>
              </w:tc>
              <w:tc>
                <w:tcPr/>
                <w:p>
                  <w:pPr>
                    <w:pStyle w:val="Compact"/>
                    <w:jc w:val="left"/>
                    <w:jc w:val="center"/>
                  </w:pPr>
                  <w:r>
                    <w:t xml:space="preserve">0.98 (0.21)</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-1.26 (0.59)</w:t>
                  </w:r>
                </w:p>
              </w:tc>
              <w:tc>
                <w:tcPr/>
                <w:p>
                  <w:pPr>
                    <w:pStyle w:val="Compact"/>
                    <w:jc w:val="left"/>
                    <w:jc w:val="center"/>
                  </w:pPr>
                  <w:r>
                    <w:t xml:space="preserve">0.984</w:t>
                  </w:r>
                </w:p>
              </w:tc>
              <w:tc>
                <w:tcPr/>
                <w:p>
                  <w:pPr>
                    <w:pStyle w:val="Compact"/>
                    <w:jc w:val="left"/>
                    <w:jc w:val="center"/>
                  </w:pPr>
                  <w:r>
                    <w:t xml:space="preserve">No heterogeneity</w:t>
                  </w:r>
                </w:p>
              </w:tc>
            </w:tr>
            <w:tr>
              <w:tc>
                <w:tcPr/>
                <w:p>
                  <w:pPr>
                    <w:pStyle w:val="Compact"/>
                    <w:jc w:val="left"/>
                    <w:jc w:val="center"/>
                  </w:pPr>
                  <w:r>
                    <w:t xml:space="preserve">Anxiety</w:t>
                  </w:r>
                </w:p>
              </w:tc>
              <w:tc>
                <w:tcPr/>
                <w:p>
                  <w:pPr>
                    <w:pStyle w:val="Compact"/>
                    <w:jc w:val="left"/>
                    <w:jc w:val="center"/>
                  </w:pPr>
                  <w:r>
                    <w:t xml:space="preserve">0.9 (0.47)</w:t>
                  </w:r>
                </w:p>
              </w:tc>
              <w:tc>
                <w:tcPr/>
                <w:p>
                  <w:pPr>
                    <w:pStyle w:val="Compact"/>
                    <w:jc w:val="left"/>
                    <w:jc w:val="center"/>
                  </w:pPr>
                  <w:r>
                    <w:t xml:space="preserve">0.027</w:t>
                  </w:r>
                </w:p>
              </w:tc>
              <w:tc>
                <w:tcPr/>
                <w:p>
                  <w:pPr>
                    <w:pStyle w:val="Compact"/>
                    <w:jc w:val="left"/>
                    <w:jc w:val="center"/>
                  </w:pPr>
                  <w:r>
                    <w:t xml:space="preserve">Calibrated</w:t>
                  </w:r>
                </w:p>
              </w:tc>
              <w:tc>
                <w:tcPr/>
                <w:p>
                  <w:pPr>
                    <w:pStyle w:val="Compact"/>
                    <w:jc w:val="left"/>
                    <w:jc w:val="center"/>
                  </w:pPr>
                  <w:r>
                    <w:t xml:space="preserve">-1.11 (0.55)</w:t>
                  </w:r>
                </w:p>
              </w:tc>
              <w:tc>
                <w:tcPr/>
                <w:p>
                  <w:pPr>
                    <w:pStyle w:val="Compact"/>
                    <w:jc w:val="left"/>
                    <w:jc w:val="center"/>
                  </w:pPr>
                  <w:r>
                    <w:t xml:space="preserve">0.978</w:t>
                  </w:r>
                </w:p>
              </w:tc>
              <w:tc>
                <w:tcPr/>
                <w:p>
                  <w:pPr>
                    <w:pStyle w:val="Compact"/>
                    <w:jc w:val="left"/>
                    <w:jc w:val="center"/>
                  </w:pPr>
                  <w:r>
                    <w:t xml:space="preserve">No heterogeneity</w:t>
                  </w:r>
                </w:p>
              </w:tc>
            </w:tr>
            <w:tr>
              <w:tc>
                <w:tcPr/>
                <w:p>
                  <w:pPr>
                    <w:pStyle w:val="Compact"/>
                    <w:jc w:val="left"/>
                    <w:jc w:val="center"/>
                  </w:pPr>
                  <w:r>
                    <w:t xml:space="preserve">Depression</w:t>
                  </w:r>
                </w:p>
              </w:tc>
              <w:tc>
                <w:tcPr/>
                <w:p>
                  <w:pPr>
                    <w:pStyle w:val="Compact"/>
                    <w:jc w:val="left"/>
                    <w:jc w:val="center"/>
                  </w:pPr>
                  <w:r>
                    <w:t xml:space="preserve">1.13 (0.96)</w:t>
                  </w:r>
                </w:p>
              </w:tc>
              <w:tc>
                <w:tcPr/>
                <w:p>
                  <w:pPr>
                    <w:pStyle w:val="Compact"/>
                    <w:jc w:val="left"/>
                    <w:jc w:val="center"/>
                  </w:pPr>
                  <w:r>
                    <w:t xml:space="preserve">0.118</w:t>
                  </w:r>
                </w:p>
              </w:tc>
              <w:tc>
                <w:tcPr/>
                <w:p>
                  <w:pPr>
                    <w:pStyle w:val="Compact"/>
                    <w:jc w:val="left"/>
                    <w:jc w:val="center"/>
                  </w:pPr>
                  <w:r>
                    <w:t xml:space="preserve">Not calibrated</w:t>
                  </w:r>
                </w:p>
              </w:tc>
              <w:tc>
                <w:tcPr/>
                <w:p>
                  <w:pPr>
                    <w:pStyle w:val="Compact"/>
                    <w:jc w:val="left"/>
                    <w:jc w:val="center"/>
                  </w:pPr>
                  <w:r>
                    <w:t xml:space="preserve">0.2 (0.63)</w:t>
                  </w:r>
                </w:p>
              </w:tc>
              <w:tc>
                <w:tcPr/>
                <w:p>
                  <w:pPr>
                    <w:pStyle w:val="Compact"/>
                    <w:jc w:val="left"/>
                    <w:jc w:val="center"/>
                  </w:pPr>
                  <w:r>
                    <w:t xml:space="preserve">0.374</w:t>
                  </w:r>
                </w:p>
              </w:tc>
              <w:tc>
                <w:tcPr/>
                <w:p>
                  <w:pPr>
                    <w:pStyle w:val="Compact"/>
                    <w:jc w:val="left"/>
                    <w:jc w:val="center"/>
                  </w:pPr>
                  <w:r>
                    <w:t xml:space="preserve">No heterogeneity</w:t>
                  </w:r>
                </w:p>
              </w:tc>
            </w:tr>
            <w:tr>
              <w:tc>
                <w:tcPr/>
                <w:p>
                  <w:pPr>
                    <w:pStyle w:val="Compact"/>
                    <w:jc w:val="left"/>
                    <w:jc w:val="center"/>
                  </w:pPr>
                  <w:r>
                    <w:t xml:space="preserve">Life Satisfaction</w:t>
                  </w:r>
                </w:p>
              </w:tc>
              <w:tc>
                <w:tcPr/>
                <w:p>
                  <w:pPr>
                    <w:pStyle w:val="Compact"/>
                    <w:jc w:val="left"/>
                    <w:jc w:val="center"/>
                  </w:pPr>
                  <w:r>
                    <w:t xml:space="preserve">0.97 (0.44)</w:t>
                  </w:r>
                </w:p>
              </w:tc>
              <w:tc>
                <w:tcPr/>
                <w:p>
                  <w:pPr>
                    <w:pStyle w:val="Compact"/>
                    <w:jc w:val="left"/>
                    <w:jc w:val="center"/>
                  </w:pPr>
                  <w:r>
                    <w:t xml:space="preserve">0.015</w:t>
                  </w:r>
                </w:p>
              </w:tc>
              <w:tc>
                <w:tcPr/>
                <w:p>
                  <w:pPr>
                    <w:pStyle w:val="Compact"/>
                    <w:jc w:val="left"/>
                    <w:jc w:val="center"/>
                  </w:pPr>
                  <w:r>
                    <w:t xml:space="preserve">Calibrated</w:t>
                  </w:r>
                </w:p>
              </w:tc>
              <w:tc>
                <w:tcPr/>
                <w:p>
                  <w:pPr>
                    <w:pStyle w:val="Compact"/>
                    <w:jc w:val="left"/>
                    <w:jc w:val="center"/>
                  </w:pPr>
                  <w:r>
                    <w:t xml:space="preserve">-0.63 (0.55)</w:t>
                  </w:r>
                </w:p>
              </w:tc>
              <w:tc>
                <w:tcPr/>
                <w:p>
                  <w:pPr>
                    <w:pStyle w:val="Compact"/>
                    <w:jc w:val="left"/>
                    <w:jc w:val="center"/>
                  </w:pPr>
                  <w:r>
                    <w:t xml:space="preserve">0.874</w:t>
                  </w:r>
                </w:p>
              </w:tc>
              <w:tc>
                <w:tcPr/>
                <w:p>
                  <w:pPr>
                    <w:pStyle w:val="Compact"/>
                    <w:jc w:val="left"/>
                    <w:jc w:val="center"/>
                  </w:pPr>
                  <w:r>
                    <w:t xml:space="preserve">No heterogeneity</w:t>
                  </w:r>
                </w:p>
              </w:tc>
            </w:tr>
            <w:tr>
              <w:tc>
                <w:tcPr/>
                <w:p>
                  <w:pPr>
                    <w:pStyle w:val="Compact"/>
                    <w:jc w:val="left"/>
                    <w:jc w:val="center"/>
                  </w:pPr>
                  <w:r>
                    <w:t xml:space="preserve">Hours of Exercise (log)</w:t>
                  </w:r>
                </w:p>
              </w:tc>
              <w:tc>
                <w:tcPr/>
                <w:p>
                  <w:pPr>
                    <w:pStyle w:val="Compact"/>
                    <w:jc w:val="left"/>
                    <w:jc w:val="center"/>
                  </w:pPr>
                  <w:r>
                    <w:t xml:space="preserve">0.59 (1.88)</w:t>
                  </w:r>
                </w:p>
              </w:tc>
              <w:tc>
                <w:tcPr/>
                <w:p>
                  <w:pPr>
                    <w:pStyle w:val="Compact"/>
                    <w:jc w:val="left"/>
                    <w:jc w:val="center"/>
                  </w:pPr>
                  <w:r>
                    <w:t xml:space="preserve">0.377</w:t>
                  </w:r>
                </w:p>
              </w:tc>
              <w:tc>
                <w:tcPr/>
                <w:p>
                  <w:pPr>
                    <w:pStyle w:val="Compact"/>
                    <w:jc w:val="left"/>
                    <w:jc w:val="center"/>
                  </w:pPr>
                  <w:r>
                    <w:t xml:space="preserve">Not calibrated</w:t>
                  </w:r>
                </w:p>
              </w:tc>
              <w:tc>
                <w:tcPr/>
                <w:p>
                  <w:pPr>
                    <w:pStyle w:val="Compact"/>
                    <w:jc w:val="left"/>
                    <w:jc w:val="center"/>
                  </w:pPr>
                  <w:r>
                    <w:t xml:space="preserve">0.56 (0.48)</w:t>
                  </w:r>
                </w:p>
              </w:tc>
              <w:tc>
                <w:tcPr/>
                <w:p>
                  <w:pPr>
                    <w:pStyle w:val="Compact"/>
                    <w:jc w:val="left"/>
                    <w:jc w:val="center"/>
                  </w:pPr>
                  <w:r>
                    <w:t xml:space="preserve">0.121</w:t>
                  </w:r>
                </w:p>
              </w:tc>
              <w:tc>
                <w:tcPr/>
                <w:p>
                  <w:pPr>
                    <w:pStyle w:val="Compact"/>
                    <w:jc w:val="left"/>
                    <w:jc w:val="center"/>
                  </w:pPr>
                  <w:r>
                    <w:t xml:space="preserve">No heterogeneity</w:t>
                  </w:r>
                </w:p>
              </w:tc>
            </w:tr>
            <w:tr>
              <w:tc>
                <w:tcPr/>
                <w:p>
                  <w:pPr>
                    <w:pStyle w:val="Compact"/>
                    <w:jc w:val="left"/>
                    <w:jc w:val="center"/>
                  </w:pPr>
                  <w:r>
                    <w:t xml:space="preserve">Meaning: Purpose</w:t>
                  </w:r>
                </w:p>
              </w:tc>
              <w:tc>
                <w:tcPr/>
                <w:p>
                  <w:pPr>
                    <w:pStyle w:val="Compact"/>
                    <w:jc w:val="left"/>
                    <w:jc w:val="center"/>
                  </w:pPr>
                  <w:r>
                    <w:t xml:space="preserve">0.92 (0.27)</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-0.35 (0.58)</w:t>
                  </w:r>
                </w:p>
              </w:tc>
              <w:tc>
                <w:tcPr/>
                <w:p>
                  <w:pPr>
                    <w:pStyle w:val="Compact"/>
                    <w:jc w:val="left"/>
                    <w:jc w:val="center"/>
                  </w:pPr>
                  <w:r>
                    <w:t xml:space="preserve">0.727</w:t>
                  </w:r>
                </w:p>
              </w:tc>
              <w:tc>
                <w:tcPr/>
                <w:p>
                  <w:pPr>
                    <w:pStyle w:val="Compact"/>
                    <w:jc w:val="left"/>
                    <w:jc w:val="center"/>
                  </w:pPr>
                  <w:r>
                    <w:t xml:space="preserve">No heterogeneity</w:t>
                  </w:r>
                </w:p>
              </w:tc>
            </w:tr>
            <w:tr>
              <w:tc>
                <w:tcPr/>
                <w:p>
                  <w:pPr>
                    <w:pStyle w:val="Compact"/>
                    <w:jc w:val="left"/>
                    <w:jc w:val="center"/>
                  </w:pPr>
                  <w:r>
                    <w:t xml:space="preserve">Meaning: Sense</w:t>
                  </w:r>
                </w:p>
              </w:tc>
              <w:tc>
                <w:tcPr/>
                <w:p>
                  <w:pPr>
                    <w:pStyle w:val="Compact"/>
                    <w:jc w:val="left"/>
                    <w:jc w:val="center"/>
                  </w:pPr>
                  <w:r>
                    <w:t xml:space="preserve">0.95 (0.32)</w:t>
                  </w:r>
                </w:p>
              </w:tc>
              <w:tc>
                <w:tcPr/>
                <w:p>
                  <w:pPr>
                    <w:pStyle w:val="Compact"/>
                    <w:jc w:val="left"/>
                    <w:jc w:val="center"/>
                  </w:pPr>
                  <w:r>
                    <w:t xml:space="preserve">0.002</w:t>
                  </w:r>
                </w:p>
              </w:tc>
              <w:tc>
                <w:tcPr/>
                <w:p>
                  <w:pPr>
                    <w:pStyle w:val="Compact"/>
                    <w:jc w:val="left"/>
                    <w:jc w:val="center"/>
                  </w:pPr>
                  <w:r>
                    <w:t xml:space="preserve">Calibrated</w:t>
                  </w:r>
                </w:p>
              </w:tc>
              <w:tc>
                <w:tcPr/>
                <w:p>
                  <w:pPr>
                    <w:pStyle w:val="Compact"/>
                    <w:jc w:val="left"/>
                    <w:jc w:val="center"/>
                  </w:pPr>
                  <w:r>
                    <w:t xml:space="preserve">0.6 (0.42)</w:t>
                  </w:r>
                </w:p>
              </w:tc>
              <w:tc>
                <w:tcPr/>
                <w:p>
                  <w:pPr>
                    <w:pStyle w:val="Compact"/>
                    <w:jc w:val="left"/>
                    <w:jc w:val="center"/>
                  </w:pPr>
                  <w:r>
                    <w:t xml:space="preserve">0.080</w:t>
                  </w:r>
                </w:p>
              </w:tc>
              <w:tc>
                <w:tcPr/>
                <w:p>
                  <w:pPr>
                    <w:pStyle w:val="Compact"/>
                    <w:jc w:val="left"/>
                    <w:jc w:val="center"/>
                  </w:pPr>
                  <w:r>
                    <w:t xml:space="preserve">No heterogeneity</w:t>
                  </w:r>
                </w:p>
              </w:tc>
            </w:tr>
            <w:tr>
              <w:tc>
                <w:tcPr/>
                <w:p>
                  <w:pPr>
                    <w:pStyle w:val="Compact"/>
                    <w:jc w:val="left"/>
                    <w:jc w:val="center"/>
                  </w:pPr>
                  <w:r>
                    <w:t xml:space="preserve">Neighbourhood Community</w:t>
                  </w:r>
                </w:p>
              </w:tc>
              <w:tc>
                <w:tcPr/>
                <w:p>
                  <w:pPr>
                    <w:pStyle w:val="Compact"/>
                    <w:jc w:val="left"/>
                    <w:jc w:val="center"/>
                  </w:pPr>
                  <w:r>
                    <w:t xml:space="preserve">1 (0.2)</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-1.69 (0.58)</w:t>
                  </w:r>
                </w:p>
              </w:tc>
              <w:tc>
                <w:tcPr/>
                <w:p>
                  <w:pPr>
                    <w:pStyle w:val="Compact"/>
                    <w:jc w:val="left"/>
                    <w:jc w:val="center"/>
                  </w:pPr>
                  <w:r>
                    <w:t xml:space="preserve">0.998</w:t>
                  </w:r>
                </w:p>
              </w:tc>
              <w:tc>
                <w:tcPr/>
                <w:p>
                  <w:pPr>
                    <w:pStyle w:val="Compact"/>
                    <w:jc w:val="left"/>
                    <w:jc w:val="center"/>
                  </w:pPr>
                  <w:r>
                    <w:t xml:space="preserve">No heterogeneity</w:t>
                  </w:r>
                </w:p>
              </w:tc>
            </w:tr>
            <w:tr>
              <w:tc>
                <w:tcPr/>
                <w:p>
                  <w:pPr>
                    <w:pStyle w:val="Compact"/>
                    <w:jc w:val="left"/>
                    <w:jc w:val="center"/>
                  </w:pPr>
                  <w:r>
                    <w:t xml:space="preserve">Personal Well-being Index</w:t>
                  </w:r>
                </w:p>
              </w:tc>
              <w:tc>
                <w:tcPr/>
                <w:p>
                  <w:pPr>
                    <w:pStyle w:val="Compact"/>
                    <w:jc w:val="left"/>
                    <w:jc w:val="center"/>
                  </w:pPr>
                  <w:r>
                    <w:t xml:space="preserve">0.92 (0.36)</w:t>
                  </w:r>
                </w:p>
              </w:tc>
              <w:tc>
                <w:tcPr/>
                <w:p>
                  <w:pPr>
                    <w:pStyle w:val="Compact"/>
                    <w:jc w:val="left"/>
                    <w:jc w:val="center"/>
                  </w:pPr>
                  <w:r>
                    <w:t xml:space="preserve">0.005</w:t>
                  </w:r>
                </w:p>
              </w:tc>
              <w:tc>
                <w:tcPr/>
                <w:p>
                  <w:pPr>
                    <w:pStyle w:val="Compact"/>
                    <w:jc w:val="left"/>
                    <w:jc w:val="center"/>
                  </w:pPr>
                  <w:r>
                    <w:t xml:space="preserve">Calibrated</w:t>
                  </w:r>
                </w:p>
              </w:tc>
              <w:tc>
                <w:tcPr/>
                <w:p>
                  <w:pPr>
                    <w:pStyle w:val="Compact"/>
                    <w:jc w:val="left"/>
                    <w:jc w:val="center"/>
                  </w:pPr>
                  <w:r>
                    <w:t xml:space="preserve">0.65 (0.45)</w:t>
                  </w:r>
                </w:p>
              </w:tc>
              <w:tc>
                <w:tcPr/>
                <w:p>
                  <w:pPr>
                    <w:pStyle w:val="Compact"/>
                    <w:jc w:val="left"/>
                    <w:jc w:val="center"/>
                  </w:pPr>
                  <w:r>
                    <w:t xml:space="preserve">0.076</w:t>
                  </w:r>
                </w:p>
              </w:tc>
              <w:tc>
                <w:tcPr/>
                <w:p>
                  <w:pPr>
                    <w:pStyle w:val="Compact"/>
                    <w:jc w:val="left"/>
                    <w:jc w:val="center"/>
                  </w:pPr>
                  <w:r>
                    <w:t xml:space="preserve">No heterogeneity</w:t>
                  </w:r>
                </w:p>
              </w:tc>
            </w:tr>
            <w:tr>
              <w:tc>
                <w:tcPr/>
                <w:p>
                  <w:pPr>
                    <w:pStyle w:val="Compact"/>
                    <w:jc w:val="left"/>
                    <w:jc w:val="center"/>
                  </w:pPr>
                  <w:r>
                    <w:t xml:space="preserve">Rumination</w:t>
                  </w:r>
                </w:p>
              </w:tc>
              <w:tc>
                <w:tcPr/>
                <w:p>
                  <w:pPr>
                    <w:pStyle w:val="Compact"/>
                    <w:jc w:val="left"/>
                    <w:jc w:val="center"/>
                  </w:pPr>
                  <w:r>
                    <w:t xml:space="preserve">0.9 (0.69)</w:t>
                  </w:r>
                </w:p>
              </w:tc>
              <w:tc>
                <w:tcPr/>
                <w:p>
                  <w:pPr>
                    <w:pStyle w:val="Compact"/>
                    <w:jc w:val="left"/>
                    <w:jc w:val="center"/>
                  </w:pPr>
                  <w:r>
                    <w:t xml:space="preserve">0.095</w:t>
                  </w:r>
                </w:p>
              </w:tc>
              <w:tc>
                <w:tcPr/>
                <w:p>
                  <w:pPr>
                    <w:pStyle w:val="Compact"/>
                    <w:jc w:val="left"/>
                    <w:jc w:val="center"/>
                  </w:pPr>
                  <w:r>
                    <w:t xml:space="preserve">Not calibrated</w:t>
                  </w:r>
                </w:p>
              </w:tc>
              <w:tc>
                <w:tcPr/>
                <w:p>
                  <w:pPr>
                    <w:pStyle w:val="Compact"/>
                    <w:jc w:val="left"/>
                    <w:jc w:val="center"/>
                  </w:pPr>
                  <w:r>
                    <w:t xml:space="preserve">-0.2 (0.53)</w:t>
                  </w:r>
                </w:p>
              </w:tc>
              <w:tc>
                <w:tcPr/>
                <w:p>
                  <w:pPr>
                    <w:pStyle w:val="Compact"/>
                    <w:jc w:val="left"/>
                    <w:jc w:val="center"/>
                  </w:pPr>
                  <w:r>
                    <w:t xml:space="preserve">0.647</w:t>
                  </w:r>
                </w:p>
              </w:tc>
              <w:tc>
                <w:tcPr/>
                <w:p>
                  <w:pPr>
                    <w:pStyle w:val="Compact"/>
                    <w:jc w:val="left"/>
                    <w:jc w:val="center"/>
                  </w:pPr>
                  <w:r>
                    <w:t xml:space="preserve">No heterogeneity</w:t>
                  </w:r>
                </w:p>
              </w:tc>
            </w:tr>
            <w:tr>
              <w:tc>
                <w:tcPr/>
                <w:p>
                  <w:pPr>
                    <w:pStyle w:val="Compact"/>
                    <w:jc w:val="left"/>
                    <w:jc w:val="center"/>
                  </w:pPr>
                  <w:r>
                    <w:t xml:space="preserve">Self Esteem</w:t>
                  </w:r>
                </w:p>
              </w:tc>
              <w:tc>
                <w:tcPr/>
                <w:p>
                  <w:pPr>
                    <w:pStyle w:val="Compact"/>
                    <w:jc w:val="left"/>
                    <w:jc w:val="center"/>
                  </w:pPr>
                  <w:r>
                    <w:t xml:space="preserve">1.01 (0.26)</w:t>
                  </w:r>
                </w:p>
              </w:tc>
              <w:tc>
                <w:tcPr/>
                <w:p>
                  <w:pPr>
                    <w:pStyle w:val="Compact"/>
                    <w:jc w:val="left"/>
                    <w:jc w:val="center"/>
                  </w:pPr>
                  <w:r>
                    <w:t xml:space="preserve">0.00e+00</w:t>
                  </w:r>
                </w:p>
              </w:tc>
              <w:tc>
                <w:tcPr/>
                <w:p>
                  <w:pPr>
                    <w:pStyle w:val="Compact"/>
                    <w:jc w:val="left"/>
                    <w:jc w:val="center"/>
                  </w:pPr>
                  <w:r>
                    <w:t xml:space="preserve">Calibrated</w:t>
                  </w:r>
                </w:p>
              </w:tc>
              <w:tc>
                <w:tcPr/>
                <w:p>
                  <w:pPr>
                    <w:pStyle w:val="Compact"/>
                    <w:jc w:val="left"/>
                    <w:jc w:val="center"/>
                  </w:pPr>
                  <w:r>
                    <w:t xml:space="preserve">0.05 (0.52)</w:t>
                  </w:r>
                </w:p>
              </w:tc>
              <w:tc>
                <w:tcPr/>
                <w:p>
                  <w:pPr>
                    <w:pStyle w:val="Compact"/>
                    <w:jc w:val="left"/>
                    <w:jc w:val="center"/>
                  </w:pPr>
                  <w:r>
                    <w:t xml:space="preserve">0.462</w:t>
                  </w:r>
                </w:p>
              </w:tc>
              <w:tc>
                <w:tcPr/>
                <w:p>
                  <w:pPr>
                    <w:pStyle w:val="Compact"/>
                    <w:jc w:val="left"/>
                    <w:jc w:val="center"/>
                  </w:pPr>
                  <w:r>
                    <w:t xml:space="preserve">No heterogeneity</w:t>
                  </w:r>
                </w:p>
              </w:tc>
            </w:tr>
            <w:tr>
              <w:tc>
                <w:tcPr/>
                <w:p>
                  <w:pPr>
                    <w:pStyle w:val="Compact"/>
                    <w:jc w:val="left"/>
                    <w:jc w:val="center"/>
                  </w:pPr>
                  <w:r>
                    <w:t xml:space="preserve">Social Support</w:t>
                  </w:r>
                </w:p>
              </w:tc>
              <w:tc>
                <w:tcPr/>
                <w:p>
                  <w:pPr>
                    <w:pStyle w:val="Compact"/>
                    <w:jc w:val="left"/>
                    <w:jc w:val="center"/>
                  </w:pPr>
                  <w:r>
                    <w:t xml:space="preserve">0.94 (0.29)</w:t>
                  </w:r>
                </w:p>
              </w:tc>
              <w:tc>
                <w:tcPr/>
                <w:p>
                  <w:pPr>
                    <w:pStyle w:val="Compact"/>
                    <w:jc w:val="left"/>
                    <w:jc w:val="center"/>
                  </w:pPr>
                  <w:r>
                    <w:t xml:space="preserve">0.001</w:t>
                  </w:r>
                </w:p>
              </w:tc>
              <w:tc>
                <w:tcPr/>
                <w:p>
                  <w:pPr>
                    <w:pStyle w:val="Compact"/>
                    <w:jc w:val="left"/>
                    <w:jc w:val="center"/>
                  </w:pPr>
                  <w:r>
                    <w:t xml:space="preserve">Calibrated</w:t>
                  </w:r>
                </w:p>
              </w:tc>
              <w:tc>
                <w:tcPr/>
                <w:p>
                  <w:pPr>
                    <w:pStyle w:val="Compact"/>
                    <w:jc w:val="left"/>
                    <w:jc w:val="center"/>
                  </w:pPr>
                  <w:r>
                    <w:t xml:space="preserve">-0.1 (0.48)</w:t>
                  </w:r>
                </w:p>
              </w:tc>
              <w:tc>
                <w:tcPr/>
                <w:p>
                  <w:pPr>
                    <w:pStyle w:val="Compact"/>
                    <w:jc w:val="left"/>
                    <w:jc w:val="center"/>
                  </w:pPr>
                  <w:r>
                    <w:t xml:space="preserve">0.581</w:t>
                  </w:r>
                </w:p>
              </w:tc>
              <w:tc>
                <w:tcPr/>
                <w:p>
                  <w:pPr>
                    <w:pStyle w:val="Compact"/>
                    <w:jc w:val="left"/>
                    <w:jc w:val="center"/>
                  </w:pPr>
                  <w:r>
                    <w:t xml:space="preserve">No heterogeneity</w:t>
                  </w:r>
                </w:p>
              </w:tc>
            </w:tr>
          </w:tbl>
          <w:bookmarkEnd w:id="130"/>
          <w:p/>
        </w:tc>
      </w:tr>
    </w:tbl>
    <w:bookmarkEnd w:id="131"/>
    <w:bookmarkStart w:id="189" w:name="omnibus-heterogeneity-test-results"/>
    <w:p>
      <w:pPr>
        <w:pStyle w:val="Heading1"/>
      </w:pPr>
      <w:r>
        <w:t xml:space="preserve">Omnibus Heterogeneity Test Results</w:t>
      </w:r>
    </w:p>
    <w:bookmarkStart w:id="132" w:name="explanation"/>
    <w:p>
      <w:pPr>
        <w:pStyle w:val="Heading2"/>
      </w:pPr>
      <w:r>
        <w:t xml:space="preserve">Explanation</w:t>
      </w:r>
    </w:p>
    <w:p>
      <w:pPr>
        <w:pStyle w:val="FirstParagraph"/>
      </w:pPr>
      <w:r>
        <w:t xml:space="preserve">Test calibration of the forest computes the best linear fit using:</w:t>
      </w:r>
      <w:r>
        <w:t xml:space="preserve"> </w:t>
      </w:r>
      <w:r>
        <w:t xml:space="preserve">1. Forest predictions on held-out data</w:t>
      </w:r>
      <w:r>
        <w:t xml:space="preserve"> </w:t>
      </w:r>
      <w:r>
        <w:t xml:space="preserve">2. The mean forest prediction as regressors</w:t>
      </w:r>
    </w:p>
    <w:p>
      <w:pPr>
        <w:pStyle w:val="BodyText"/>
      </w:pPr>
      <w:r>
        <w:t xml:space="preserve">Testing uses heteroskedasticity-robust (HC3) standard errors. A coefficient of 1 for:</w:t>
      </w:r>
      <w:r>
        <w:t xml:space="preserve"> </w:t>
      </w:r>
      <w:r>
        <w:t xml:space="preserve">- Mean forest prediction: indicates the mean prediction is accurate for held-out data</w:t>
      </w:r>
      <w:r>
        <w:t xml:space="preserve"> </w:t>
      </w:r>
      <w:r>
        <w:t xml:space="preserve">- Differential forest prediction: indicates heterogeneity estimates are well calibrated</w:t>
      </w:r>
    </w:p>
    <w:p>
      <w:pPr>
        <w:pStyle w:val="BodyText"/>
      </w:pPr>
      <w:r>
        <w:t xml:space="preserve">The p-value of the differential forest prediction coefficient acts as an omnibus test for heterogeneity.</w:t>
      </w:r>
    </w:p>
    <w:bookmarkEnd w:id="132"/>
    <w:bookmarkStart w:id="133" w:name="results-by-outcome"/>
    <w:p>
      <w:pPr>
        <w:pStyle w:val="Heading2"/>
      </w:pPr>
      <w:r>
        <w:t xml:space="preserve">Results by Outcome</w:t>
      </w:r>
    </w:p>
    <w:p>
      <w:pPr>
        <w:pStyle w:val="FirstParagraph"/>
      </w:pPr>
      <w:r>
        <w:rPr>
          <w:b/>
          <w:bCs/>
        </w:rPr>
        <w:t xml:space="preserve">Social Belonging</w:t>
      </w:r>
      <w:r>
        <w:t xml:space="preserve">:</w:t>
      </w:r>
      <w:r>
        <w:t xml:space="preserve"> </w:t>
      </w:r>
      <w:r>
        <w:t xml:space="preserve">- Mean prediction: 0.98 (SE=0.21), t=4.71, p=0.00e+00, calibrated.</w:t>
      </w:r>
      <w:r>
        <w:t xml:space="preserve"> </w:t>
      </w:r>
      <w:r>
        <w:t xml:space="preserve">- Differential prediction: -1.26 (SE=0.59), t=-2.15, p=0.984, no heterogeneity.</w:t>
      </w:r>
    </w:p>
    <w:p>
      <w:pPr>
        <w:pStyle w:val="BodyText"/>
      </w:pPr>
      <w:r>
        <w:rPr>
          <w:b/>
          <w:bCs/>
        </w:rPr>
        <w:t xml:space="preserve">Anxiety</w:t>
      </w:r>
      <w:r>
        <w:t xml:space="preserve">:</w:t>
      </w:r>
      <w:r>
        <w:t xml:space="preserve"> </w:t>
      </w:r>
      <w:r>
        <w:t xml:space="preserve">- Mean prediction: 0.9 (SE=0.47), t=1.93, p=0.027, calibrated.</w:t>
      </w:r>
      <w:r>
        <w:t xml:space="preserve"> </w:t>
      </w:r>
      <w:r>
        <w:t xml:space="preserve">- Differential prediction: -1.11 (SE=0.55), t=-2.02, p=0.978, no heterogeneity.</w:t>
      </w:r>
    </w:p>
    <w:p>
      <w:pPr>
        <w:pStyle w:val="BodyText"/>
      </w:pPr>
      <w:r>
        <w:rPr>
          <w:b/>
          <w:bCs/>
        </w:rPr>
        <w:t xml:space="preserve">Depression</w:t>
      </w:r>
      <w:r>
        <w:t xml:space="preserve">:</w:t>
      </w:r>
      <w:r>
        <w:t xml:space="preserve"> </w:t>
      </w:r>
      <w:r>
        <w:t xml:space="preserve">- Mean prediction: 1.13 (SE=0.96), t=1.18, p=0.118, not calibrated.</w:t>
      </w:r>
      <w:r>
        <w:t xml:space="preserve"> </w:t>
      </w:r>
      <w:r>
        <w:t xml:space="preserve">- Differential prediction: 0.2 (SE=0.63), t=0.32, p=0.374, no heterogeneity.</w:t>
      </w:r>
    </w:p>
    <w:p>
      <w:pPr>
        <w:pStyle w:val="BodyText"/>
      </w:pPr>
      <w:r>
        <w:rPr>
          <w:b/>
          <w:bCs/>
        </w:rPr>
        <w:t xml:space="preserve">Life Satisfaction</w:t>
      </w:r>
      <w:r>
        <w:t xml:space="preserve">:</w:t>
      </w:r>
      <w:r>
        <w:t xml:space="preserve"> </w:t>
      </w:r>
      <w:r>
        <w:t xml:space="preserve">- Mean prediction: 0.97 (SE=0.44), t=2.17, p=0.015, calibrated.</w:t>
      </w:r>
      <w:r>
        <w:t xml:space="preserve"> </w:t>
      </w:r>
      <w:r>
        <w:t xml:space="preserve">- Differential prediction: -0.63 (SE=0.55), t=-1.15, p=0.874, no heterogeneity.</w:t>
      </w:r>
    </w:p>
    <w:p>
      <w:pPr>
        <w:pStyle w:val="BodyText"/>
      </w:pPr>
      <w:r>
        <w:rPr>
          <w:b/>
          <w:bCs/>
        </w:rPr>
        <w:t xml:space="preserve">Hours of Exercise (log)</w:t>
      </w:r>
      <w:r>
        <w:t xml:space="preserve">:</w:t>
      </w:r>
      <w:r>
        <w:t xml:space="preserve"> </w:t>
      </w:r>
      <w:r>
        <w:t xml:space="preserve">- Mean prediction: 0.59 (SE=1.88), t=0.31, p=0.377, not calibrated.</w:t>
      </w:r>
      <w:r>
        <w:t xml:space="preserve"> </w:t>
      </w:r>
      <w:r>
        <w:t xml:space="preserve">- Differential prediction: 0.56 (SE=0.48), t=1.17, p=0.121, no heterogeneity.</w:t>
      </w:r>
    </w:p>
    <w:p>
      <w:pPr>
        <w:pStyle w:val="BodyText"/>
      </w:pPr>
      <w:r>
        <w:rPr>
          <w:b/>
          <w:bCs/>
        </w:rPr>
        <w:t xml:space="preserve">Meaning: Purpose</w:t>
      </w:r>
      <w:r>
        <w:t xml:space="preserve">:</w:t>
      </w:r>
      <w:r>
        <w:t xml:space="preserve"> </w:t>
      </w:r>
      <w:r>
        <w:t xml:space="preserve">- Mean prediction: 0.92 (SE=0.27), t=3.43, p=0.00e+00, calibrated.</w:t>
      </w:r>
      <w:r>
        <w:t xml:space="preserve"> </w:t>
      </w:r>
      <w:r>
        <w:t xml:space="preserve">- Differential prediction: -0.35 (SE=0.58), t=-0.6, p=0.727, no heterogeneity.</w:t>
      </w:r>
    </w:p>
    <w:p>
      <w:pPr>
        <w:pStyle w:val="BodyText"/>
      </w:pPr>
      <w:r>
        <w:rPr>
          <w:b/>
          <w:bCs/>
        </w:rPr>
        <w:t xml:space="preserve">Meaning: Sense</w:t>
      </w:r>
      <w:r>
        <w:t xml:space="preserve">:</w:t>
      </w:r>
      <w:r>
        <w:t xml:space="preserve"> </w:t>
      </w:r>
      <w:r>
        <w:t xml:space="preserve">- Mean prediction: 0.95 (SE=0.32), t=2.93, p=0.002, calibrated.</w:t>
      </w:r>
      <w:r>
        <w:t xml:space="preserve"> </w:t>
      </w:r>
      <w:r>
        <w:t xml:space="preserve">- Differential prediction: 0.6 (SE=0.42), t=1.41, p=0.080, no heterogeneity.</w:t>
      </w:r>
    </w:p>
    <w:p>
      <w:pPr>
        <w:pStyle w:val="BodyText"/>
      </w:pPr>
      <w:r>
        <w:rPr>
          <w:b/>
          <w:bCs/>
        </w:rPr>
        <w:t xml:space="preserve">Neighbourhood Community</w:t>
      </w:r>
      <w:r>
        <w:t xml:space="preserve">:</w:t>
      </w:r>
      <w:r>
        <w:t xml:space="preserve"> </w:t>
      </w:r>
      <w:r>
        <w:t xml:space="preserve">- Mean prediction: 1 (SE=0.2), t=4.91, p=0.00e+00, calibrated.</w:t>
      </w:r>
      <w:r>
        <w:t xml:space="preserve"> </w:t>
      </w:r>
      <w:r>
        <w:t xml:space="preserve">- Differential prediction: -1.69 (SE=0.58), t=-2.9, p=0.998, no heterogeneity.</w:t>
      </w:r>
    </w:p>
    <w:p>
      <w:pPr>
        <w:pStyle w:val="BodyText"/>
      </w:pPr>
      <w:r>
        <w:rPr>
          <w:b/>
          <w:bCs/>
        </w:rPr>
        <w:t xml:space="preserve">Personal Well-being Index</w:t>
      </w:r>
      <w:r>
        <w:t xml:space="preserve">:</w:t>
      </w:r>
      <w:r>
        <w:t xml:space="preserve"> </w:t>
      </w:r>
      <w:r>
        <w:t xml:space="preserve">- Mean prediction: 0.92 (SE=0.36), t=2.57, p=0.005, calibrated.</w:t>
      </w:r>
      <w:r>
        <w:t xml:space="preserve"> </w:t>
      </w:r>
      <w:r>
        <w:t xml:space="preserve">- Differential prediction: 0.65 (SE=0.45), t=1.43, p=0.076, no heterogeneity.</w:t>
      </w:r>
    </w:p>
    <w:p>
      <w:pPr>
        <w:pStyle w:val="BodyText"/>
      </w:pPr>
      <w:r>
        <w:rPr>
          <w:b/>
          <w:bCs/>
        </w:rPr>
        <w:t xml:space="preserve">Rumination</w:t>
      </w:r>
      <w:r>
        <w:t xml:space="preserve">:</w:t>
      </w:r>
      <w:r>
        <w:t xml:space="preserve"> </w:t>
      </w:r>
      <w:r>
        <w:t xml:space="preserve">- Mean prediction: 0.9 (SE=0.69), t=1.31, p=0.095, not calibrated.</w:t>
      </w:r>
      <w:r>
        <w:t xml:space="preserve"> </w:t>
      </w:r>
      <w:r>
        <w:t xml:space="preserve">- Differential prediction: -0.2 (SE=0.53), t=-0.38, p=0.647, no heterogeneity.</w:t>
      </w:r>
    </w:p>
    <w:p>
      <w:pPr>
        <w:pStyle w:val="BodyText"/>
      </w:pPr>
      <w:r>
        <w:rPr>
          <w:b/>
          <w:bCs/>
        </w:rPr>
        <w:t xml:space="preserve">Self Esteem</w:t>
      </w:r>
      <w:r>
        <w:t xml:space="preserve">:</w:t>
      </w:r>
      <w:r>
        <w:t xml:space="preserve"> </w:t>
      </w:r>
      <w:r>
        <w:t xml:space="preserve">- Mean prediction: 1.01 (SE=0.26), t=3.84, p=0.00e+00, calibrated.</w:t>
      </w:r>
      <w:r>
        <w:t xml:space="preserve"> </w:t>
      </w:r>
      <w:r>
        <w:t xml:space="preserve">- Differential prediction: 0.05 (SE=0.52), t=0.1, p=0.462, no heterogeneity.</w:t>
      </w:r>
    </w:p>
    <w:p>
      <w:pPr>
        <w:pStyle w:val="BodyText"/>
      </w:pPr>
      <w:r>
        <w:rPr>
          <w:b/>
          <w:bCs/>
        </w:rPr>
        <w:t xml:space="preserve">Social Support</w:t>
      </w:r>
      <w:r>
        <w:t xml:space="preserve">:</w:t>
      </w:r>
      <w:r>
        <w:t xml:space="preserve"> </w:t>
      </w:r>
      <w:r>
        <w:t xml:space="preserve">- Mean prediction: 0.94 (SE=0.29), t=3.25, p=0.001, calibrated.</w:t>
      </w:r>
      <w:r>
        <w:t xml:space="preserve"> </w:t>
      </w:r>
      <w:r>
        <w:t xml:space="preserve">- Differential prediction: -0.1 (SE=0.48), t=-0.2, p=0.581, no heterogeneity.</w:t>
      </w:r>
    </w:p>
    <w:bookmarkEnd w:id="133"/>
    <w:bookmarkStart w:id="139" w:name="summary"/>
    <w:p>
      <w:pPr>
        <w:pStyle w:val="Heading2"/>
      </w:pPr>
      <w:r>
        <w:t xml:space="preserve">Summary</w:t>
      </w:r>
    </w:p>
    <w:p>
      <w:pPr>
        <w:pStyle w:val="FirstParagraph"/>
      </w:pPr>
      <w:r>
        <w:t xml:space="preserve">9 of 12 models have reliably calibrated mean predictions on held-out data. None of the models show evidence of heterogeneity on held-out data.</w:t>
      </w:r>
    </w:p>
    <w:bookmarkStart w:id="135" w:name="rate-test"/>
    <w:p>
      <w:pPr>
        <w:pStyle w:val="Heading4"/>
      </w:pPr>
      <w:r>
        <w:t xml:space="preserve">Rate Test</w:t>
      </w:r>
    </w:p>
    <w:p>
      <w:pPr>
        <w:pStyle w:val="FirstParagraph"/>
      </w:pPr>
      <w:r>
        <w:t xml:space="preserve">The RATE tells us how much better we could do by offering treatment first to those who are predicted to benefit most, rather than treating everyone the same. A higher RATE suggests that targeting people according to their CATE indicators can lead to</w:t>
      </w:r>
      <w:r>
        <w:t xml:space="preserve"> </w:t>
      </w:r>
      <w:r>
        <w:t xml:space="preserve">‘better’</w:t>
      </w:r>
      <w:r>
        <w:t xml:space="preserve"> </w:t>
      </w:r>
      <w:r>
        <w:t xml:space="preserve">overall results (where</w:t>
      </w:r>
      <w:r>
        <w:t xml:space="preserve"> </w:t>
      </w:r>
      <w:r>
        <w:t xml:space="preserve">‘higher’</w:t>
      </w:r>
      <w:r>
        <w:t xml:space="preserve"> </w:t>
      </w:r>
      <w:r>
        <w:t xml:space="preserve">always means better, recall we flipped Anxiety, Depression, Rumination).</w:t>
      </w:r>
    </w:p>
    <w:tbl>
      <w:tblPr>
        <w:tblStyle w:val="Table"/>
        <w:tblW w:type="pct" w:w="5000"/>
        <w:tblLayout w:type="fixed"/>
        <w:tblLook w:firstRow="0" w:lastRow="0" w:firstColumn="0" w:lastColumn="0" w:noHBand="0" w:noVBand="0" w:val="0000"/>
      </w:tblPr>
      <w:tblGrid>
        <w:gridCol w:w="7920"/>
      </w:tblGrid>
      <w:tr>
        <w:tc>
          <w:tcPr/>
          <w:bookmarkStart w:id="134" w:name="tbl-rate-autoc"/>
          <w:p>
            <w:pPr>
              <w:jc w:val="center"/>
            </w:pPr>
            <w:pPr>
              <w:jc w:val="start"/>
              <w:spacing w:before="200"/>
              <w:pStyle w:val="ImageCaption"/>
            </w:pPr>
            <w:r>
              <w:t xml:space="preserve">Table 8</w:t>
            </w:r>
          </w:p>
          <w:tbl>
            <w:tblPr>
              <w:tblStyle w:val="Table"/>
              <w:tblW w:type="pct" w:w="5000"/>
              <w:tblLayout w:type="fixed"/>
              <w:tblLook w:firstRow="1" w:lastRow="0" w:firstColumn="0" w:lastColumn="0" w:noHBand="0" w:noVBand="0" w:val="0020"/>
            </w:tblPr>
            <w:tblGrid>
              <w:gridCol w:w="2441"/>
              <w:gridCol w:w="1847"/>
              <w:gridCol w:w="725"/>
              <w:gridCol w:w="461"/>
              <w:gridCol w:w="923"/>
              <w:gridCol w:w="659"/>
              <w:gridCol w:w="461"/>
              <w:gridCol w:w="395"/>
            </w:tblGrid>
            <w:tr>
              <w:trPr>
                <w:tblHeader w:val="on"/>
              </w:trPr>
              <w:tc>
                <w:tcPr/>
                <w:p>
                  <w:pPr>
                    <w:pStyle w:val="Compact"/>
                    <w:jc w:val="left"/>
                    <w:jc w:val="center"/>
                  </w:pPr>
                  <w:r>
                    <w:t xml:space="preserve">model</w:t>
                  </w:r>
                </w:p>
              </w:tc>
              <w:tc>
                <w:tcPr/>
                <w:p>
                  <w:pPr>
                    <w:pStyle w:val="Compact"/>
                    <w:jc w:val="left"/>
                    <w:jc w:val="center"/>
                  </w:pPr>
                  <w:r>
                    <w:t xml:space="preserve">outcome</w:t>
                  </w:r>
                </w:p>
              </w:tc>
              <w:tc>
                <w:tcPr/>
                <w:p>
                  <w:pPr>
                    <w:pStyle w:val="Compact"/>
                    <w:jc w:val="left"/>
                    <w:jc w:val="center"/>
                  </w:pPr>
                  <w:r>
                    <w:t xml:space="preserve">policy</w:t>
                  </w:r>
                </w:p>
              </w:tc>
              <w:tc>
                <w:tcPr/>
                <w:p>
                  <w:pPr>
                    <w:pStyle w:val="Compact"/>
                    <w:jc w:val="left"/>
                    <w:jc w:val="center"/>
                  </w:pPr>
                  <w:r>
                    <w:t xml:space="preserve">target</w:t>
                  </w:r>
                </w:p>
              </w:tc>
              <w:tc>
                <w:tcPr/>
                <w:p>
                  <w:pPr>
                    <w:pStyle w:val="Compact"/>
                    <w:jc w:val="right"/>
                    <w:jc w:val="center"/>
                  </w:pPr>
                  <w:r>
                    <w:t xml:space="preserve">RATE Estimate</w:t>
                  </w:r>
                </w:p>
              </w:tc>
              <w:tc>
                <w:tcPr/>
                <w:p>
                  <w:pPr>
                    <w:pStyle w:val="Compact"/>
                    <w:jc w:val="right"/>
                    <w:jc w:val="center"/>
                  </w:pPr>
                  <w:r>
                    <w:t xml:space="preserve">Std Error</w:t>
                  </w:r>
                </w:p>
              </w:tc>
              <w:tc>
                <w:tcPr/>
                <w:p>
                  <w:pPr>
                    <w:pStyle w:val="Compact"/>
                    <w:jc w:val="right"/>
                    <w:jc w:val="center"/>
                  </w:pPr>
                  <w:r>
                    <w:t xml:space="preserve">2.5%</w:t>
                  </w:r>
                </w:p>
              </w:tc>
              <w:tc>
                <w:tcPr/>
                <w:p>
                  <w:pPr>
                    <w:pStyle w:val="Compact"/>
                    <w:jc w:val="right"/>
                    <w:jc w:val="center"/>
                  </w:pPr>
                  <w:r>
                    <w:t xml:space="preserve">97.5%</w:t>
                  </w:r>
                </w:p>
              </w:tc>
            </w:tr>
            <w:tr>
              <w:tc>
                <w:tcPr/>
                <w:p>
                  <w:pPr>
                    <w:pStyle w:val="Compact"/>
                    <w:jc w:val="left"/>
                    <w:jc w:val="center"/>
                  </w:pPr>
                  <w:r>
                    <w:t xml:space="preserve">model_t2_log_hours_exercise_z</w:t>
                  </w:r>
                </w:p>
              </w:tc>
              <w:tc>
                <w:tcPr/>
                <w:p>
                  <w:pPr>
                    <w:pStyle w:val="Compact"/>
                    <w:jc w:val="left"/>
                    <w:jc w:val="center"/>
                  </w:pPr>
                  <w:r>
                    <w:rPr>
                      <w:b/>
                      <w:bCs/>
                    </w:rPr>
                    <w:t xml:space="preserve">Hours of Exercise (log)</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0.065</w:t>
                  </w:r>
                </w:p>
              </w:tc>
              <w:tc>
                <w:tcPr/>
                <w:p>
                  <w:pPr>
                    <w:pStyle w:val="Compact"/>
                    <w:jc w:val="right"/>
                    <w:jc w:val="center"/>
                  </w:pPr>
                  <w:r>
                    <w:t xml:space="preserve">0.026</w:t>
                  </w:r>
                </w:p>
              </w:tc>
              <w:tc>
                <w:tcPr/>
                <w:p>
                  <w:pPr>
                    <w:pStyle w:val="Compact"/>
                    <w:jc w:val="right"/>
                    <w:jc w:val="center"/>
                  </w:pPr>
                  <w:r>
                    <w:t xml:space="preserve">0.014</w:t>
                  </w:r>
                </w:p>
              </w:tc>
              <w:tc>
                <w:tcPr/>
                <w:p>
                  <w:pPr>
                    <w:pStyle w:val="Compact"/>
                    <w:jc w:val="right"/>
                    <w:jc w:val="center"/>
                  </w:pPr>
                  <w:r>
                    <w:t xml:space="preserve">0.116</w:t>
                  </w:r>
                </w:p>
              </w:tc>
            </w:tr>
            <w:tr>
              <w:tc>
                <w:tcPr/>
                <w:p>
                  <w:pPr>
                    <w:pStyle w:val="Compact"/>
                    <w:jc w:val="left"/>
                    <w:jc w:val="center"/>
                  </w:pPr>
                  <w:r>
                    <w:t xml:space="preserve">model_t2_meaning_sense_z</w:t>
                  </w:r>
                </w:p>
              </w:tc>
              <w:tc>
                <w:tcPr/>
                <w:p>
                  <w:pPr>
                    <w:pStyle w:val="Compact"/>
                    <w:jc w:val="left"/>
                    <w:jc w:val="center"/>
                  </w:pPr>
                  <w:r>
                    <w:t xml:space="preserve">Meaning: Sense</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0.061</w:t>
                  </w:r>
                </w:p>
              </w:tc>
              <w:tc>
                <w:tcPr/>
                <w:p>
                  <w:pPr>
                    <w:pStyle w:val="Compact"/>
                    <w:jc w:val="right"/>
                    <w:jc w:val="center"/>
                  </w:pPr>
                  <w:r>
                    <w:t xml:space="preserve">0.032</w:t>
                  </w:r>
                </w:p>
              </w:tc>
              <w:tc>
                <w:tcPr/>
                <w:p>
                  <w:pPr>
                    <w:pStyle w:val="Compact"/>
                    <w:jc w:val="right"/>
                    <w:jc w:val="center"/>
                  </w:pPr>
                  <w:r>
                    <w:t xml:space="preserve">-0.002</w:t>
                  </w:r>
                </w:p>
              </w:tc>
              <w:tc>
                <w:tcPr/>
                <w:p>
                  <w:pPr>
                    <w:pStyle w:val="Compact"/>
                    <w:jc w:val="right"/>
                    <w:jc w:val="center"/>
                  </w:pPr>
                  <w:r>
                    <w:t xml:space="preserve">0.124</w:t>
                  </w:r>
                </w:p>
              </w:tc>
            </w:tr>
            <w:tr>
              <w:tc>
                <w:tcPr/>
                <w:p>
                  <w:pPr>
                    <w:pStyle w:val="Compact"/>
                    <w:jc w:val="left"/>
                    <w:jc w:val="center"/>
                  </w:pPr>
                  <w:r>
                    <w:t xml:space="preserve">model_t2_rumination_z</w:t>
                  </w:r>
                </w:p>
              </w:tc>
              <w:tc>
                <w:tcPr/>
                <w:p>
                  <w:pPr>
                    <w:pStyle w:val="Compact"/>
                    <w:jc w:val="left"/>
                    <w:jc w:val="center"/>
                  </w:pPr>
                  <w:r>
                    <w:t xml:space="preserve">Rumination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0.025</w:t>
                  </w:r>
                </w:p>
              </w:tc>
              <w:tc>
                <w:tcPr/>
                <w:p>
                  <w:pPr>
                    <w:pStyle w:val="Compact"/>
                    <w:jc w:val="right"/>
                    <w:jc w:val="center"/>
                  </w:pPr>
                  <w:r>
                    <w:t xml:space="preserve">0.042</w:t>
                  </w:r>
                </w:p>
              </w:tc>
              <w:tc>
                <w:tcPr/>
                <w:p>
                  <w:pPr>
                    <w:pStyle w:val="Compact"/>
                    <w:jc w:val="right"/>
                    <w:jc w:val="center"/>
                  </w:pPr>
                  <w:r>
                    <w:t xml:space="preserve">-0.057</w:t>
                  </w:r>
                </w:p>
              </w:tc>
              <w:tc>
                <w:tcPr/>
                <w:p>
                  <w:pPr>
                    <w:pStyle w:val="Compact"/>
                    <w:jc w:val="right"/>
                    <w:jc w:val="center"/>
                  </w:pPr>
                  <w:r>
                    <w:t xml:space="preserve">0.107</w:t>
                  </w:r>
                </w:p>
              </w:tc>
            </w:tr>
            <w:tr>
              <w:tc>
                <w:tcPr/>
                <w:p>
                  <w:pPr>
                    <w:pStyle w:val="Compact"/>
                    <w:jc w:val="left"/>
                    <w:jc w:val="center"/>
                  </w:pPr>
                  <w:r>
                    <w:t xml:space="preserve">model_t2_kessler_latent_anxiety_z</w:t>
                  </w:r>
                </w:p>
              </w:tc>
              <w:tc>
                <w:tcPr/>
                <w:p>
                  <w:pPr>
                    <w:pStyle w:val="Compact"/>
                    <w:jc w:val="left"/>
                    <w:jc w:val="center"/>
                  </w:pPr>
                  <w:r>
                    <w:t xml:space="preserve">Anxiety</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0.018</w:t>
                  </w:r>
                </w:p>
              </w:tc>
              <w:tc>
                <w:tcPr/>
                <w:p>
                  <w:pPr>
                    <w:pStyle w:val="Compact"/>
                    <w:jc w:val="right"/>
                    <w:jc w:val="center"/>
                  </w:pPr>
                  <w:r>
                    <w:t xml:space="preserve">0.023</w:t>
                  </w:r>
                </w:p>
              </w:tc>
              <w:tc>
                <w:tcPr/>
                <w:p>
                  <w:pPr>
                    <w:pStyle w:val="Compact"/>
                    <w:jc w:val="right"/>
                    <w:jc w:val="center"/>
                  </w:pPr>
                  <w:r>
                    <w:t xml:space="preserve">-0.027</w:t>
                  </w:r>
                </w:p>
              </w:tc>
              <w:tc>
                <w:tcPr/>
                <w:p>
                  <w:pPr>
                    <w:pStyle w:val="Compact"/>
                    <w:jc w:val="right"/>
                    <w:jc w:val="center"/>
                  </w:pPr>
                  <w:r>
                    <w:t xml:space="preserve">0.063</w:t>
                  </w:r>
                </w:p>
              </w:tc>
            </w:tr>
            <w:tr>
              <w:tc>
                <w:tcPr/>
                <w:p>
                  <w:pPr>
                    <w:pStyle w:val="Compact"/>
                    <w:jc w:val="left"/>
                    <w:jc w:val="center"/>
                  </w:pPr>
                  <w:r>
                    <w:t xml:space="preserve">model_t2_pwi_z</w:t>
                  </w:r>
                </w:p>
              </w:tc>
              <w:tc>
                <w:tcPr/>
                <w:p>
                  <w:pPr>
                    <w:pStyle w:val="Compact"/>
                    <w:jc w:val="left"/>
                    <w:jc w:val="center"/>
                  </w:pPr>
                  <w:r>
                    <w:t xml:space="preserve">Personal Well-being Index</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0.018</w:t>
                  </w:r>
                </w:p>
              </w:tc>
              <w:tc>
                <w:tcPr/>
                <w:p>
                  <w:pPr>
                    <w:pStyle w:val="Compact"/>
                    <w:jc w:val="right"/>
                    <w:jc w:val="center"/>
                  </w:pPr>
                  <w:r>
                    <w:t xml:space="preserve">0.028</w:t>
                  </w:r>
                </w:p>
              </w:tc>
              <w:tc>
                <w:tcPr/>
                <w:p>
                  <w:pPr>
                    <w:pStyle w:val="Compact"/>
                    <w:jc w:val="right"/>
                    <w:jc w:val="center"/>
                  </w:pPr>
                  <w:r>
                    <w:t xml:space="preserve">-0.037</w:t>
                  </w:r>
                </w:p>
              </w:tc>
              <w:tc>
                <w:tcPr/>
                <w:p>
                  <w:pPr>
                    <w:pStyle w:val="Compact"/>
                    <w:jc w:val="right"/>
                    <w:jc w:val="center"/>
                  </w:pPr>
                  <w:r>
                    <w:t xml:space="preserve">0.073</w:t>
                  </w:r>
                </w:p>
              </w:tc>
            </w:tr>
            <w:tr>
              <w:tc>
                <w:tcPr/>
                <w:p>
                  <w:pPr>
                    <w:pStyle w:val="Compact"/>
                    <w:jc w:val="left"/>
                    <w:jc w:val="center"/>
                  </w:pPr>
                  <w:r>
                    <w:t xml:space="preserve">model_t2_self_esteem_z</w:t>
                  </w:r>
                </w:p>
              </w:tc>
              <w:tc>
                <w:tcPr/>
                <w:p>
                  <w:pPr>
                    <w:pStyle w:val="Compact"/>
                    <w:jc w:val="left"/>
                    <w:jc w:val="center"/>
                  </w:pPr>
                  <w:r>
                    <w:t xml:space="preserve">Self Esteem</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0.016</w:t>
                  </w:r>
                </w:p>
              </w:tc>
              <w:tc>
                <w:tcPr/>
                <w:p>
                  <w:pPr>
                    <w:pStyle w:val="Compact"/>
                    <w:jc w:val="right"/>
                    <w:jc w:val="center"/>
                  </w:pPr>
                  <w:r>
                    <w:t xml:space="preserve">0.021</w:t>
                  </w:r>
                </w:p>
              </w:tc>
              <w:tc>
                <w:tcPr/>
                <w:p>
                  <w:pPr>
                    <w:pStyle w:val="Compact"/>
                    <w:jc w:val="right"/>
                    <w:jc w:val="center"/>
                  </w:pPr>
                  <w:r>
                    <w:t xml:space="preserve">-0.025</w:t>
                  </w:r>
                </w:p>
              </w:tc>
              <w:tc>
                <w:tcPr/>
                <w:p>
                  <w:pPr>
                    <w:pStyle w:val="Compact"/>
                    <w:jc w:val="right"/>
                    <w:jc w:val="center"/>
                  </w:pPr>
                  <w:r>
                    <w:t xml:space="preserve">0.057</w:t>
                  </w:r>
                </w:p>
              </w:tc>
            </w:tr>
            <w:tr>
              <w:tc>
                <w:tcPr/>
                <w:p>
                  <w:pPr>
                    <w:pStyle w:val="Compact"/>
                    <w:jc w:val="left"/>
                    <w:jc w:val="center"/>
                  </w:pPr>
                  <w:r>
                    <w:t xml:space="preserve">model_t2_belong_z</w:t>
                  </w:r>
                </w:p>
              </w:tc>
              <w:tc>
                <w:tcPr/>
                <w:p>
                  <w:pPr>
                    <w:pStyle w:val="Compact"/>
                    <w:jc w:val="left"/>
                    <w:jc w:val="center"/>
                  </w:pPr>
                  <w:r>
                    <w:t xml:space="preserve">Social Belonging</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-0.001</w:t>
                  </w:r>
                </w:p>
              </w:tc>
              <w:tc>
                <w:tcPr/>
                <w:p>
                  <w:pPr>
                    <w:pStyle w:val="Compact"/>
                    <w:jc w:val="right"/>
                    <w:jc w:val="center"/>
                  </w:pPr>
                  <w:r>
                    <w:t xml:space="preserve">0.022</w:t>
                  </w:r>
                </w:p>
              </w:tc>
              <w:tc>
                <w:tcPr/>
                <w:p>
                  <w:pPr>
                    <w:pStyle w:val="Compact"/>
                    <w:jc w:val="right"/>
                    <w:jc w:val="center"/>
                  </w:pPr>
                  <w:r>
                    <w:t xml:space="preserve">-0.044</w:t>
                  </w:r>
                </w:p>
              </w:tc>
              <w:tc>
                <w:tcPr/>
                <w:p>
                  <w:pPr>
                    <w:pStyle w:val="Compact"/>
                    <w:jc w:val="right"/>
                    <w:jc w:val="center"/>
                  </w:pPr>
                  <w:r>
                    <w:t xml:space="preserve">0.042</w:t>
                  </w:r>
                </w:p>
              </w:tc>
            </w:tr>
            <w:tr>
              <w:tc>
                <w:tcPr/>
                <w:p>
                  <w:pPr>
                    <w:pStyle w:val="Compact"/>
                    <w:jc w:val="left"/>
                    <w:jc w:val="center"/>
                  </w:pPr>
                  <w:r>
                    <w:t xml:space="preserve">model_t2_support_z</w:t>
                  </w:r>
                </w:p>
              </w:tc>
              <w:tc>
                <w:tcPr/>
                <w:p>
                  <w:pPr>
                    <w:pStyle w:val="Compact"/>
                    <w:jc w:val="left"/>
                    <w:jc w:val="center"/>
                  </w:pPr>
                  <w:r>
                    <w:t xml:space="preserve">Social Support</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-0.001</w:t>
                  </w:r>
                </w:p>
              </w:tc>
              <w:tc>
                <w:tcPr/>
                <w:p>
                  <w:pPr>
                    <w:pStyle w:val="Compact"/>
                    <w:jc w:val="right"/>
                    <w:jc w:val="center"/>
                  </w:pPr>
                  <w:r>
                    <w:t xml:space="preserve">0.038</w:t>
                  </w:r>
                </w:p>
              </w:tc>
              <w:tc>
                <w:tcPr/>
                <w:p>
                  <w:pPr>
                    <w:pStyle w:val="Compact"/>
                    <w:jc w:val="right"/>
                    <w:jc w:val="center"/>
                  </w:pPr>
                  <w:r>
                    <w:t xml:space="preserve">-0.075</w:t>
                  </w:r>
                </w:p>
              </w:tc>
              <w:tc>
                <w:tcPr/>
                <w:p>
                  <w:pPr>
                    <w:pStyle w:val="Compact"/>
                    <w:jc w:val="right"/>
                    <w:jc w:val="center"/>
                  </w:pPr>
                  <w:r>
                    <w:t xml:space="preserve">0.073</w:t>
                  </w:r>
                </w:p>
              </w:tc>
            </w:tr>
            <w:tr>
              <w:tc>
                <w:tcPr/>
                <w:p>
                  <w:pPr>
                    <w:pStyle w:val="Compact"/>
                    <w:jc w:val="left"/>
                    <w:jc w:val="center"/>
                  </w:pPr>
                  <w:r>
                    <w:t xml:space="preserve">model_t2_lifesat_z</w:t>
                  </w:r>
                </w:p>
              </w:tc>
              <w:tc>
                <w:tcPr/>
                <w:p>
                  <w:pPr>
                    <w:pStyle w:val="Compact"/>
                    <w:jc w:val="left"/>
                    <w:jc w:val="center"/>
                  </w:pPr>
                  <w:r>
                    <w:t xml:space="preserve">Life Satisfaction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-0.013</w:t>
                  </w:r>
                </w:p>
              </w:tc>
              <w:tc>
                <w:tcPr/>
                <w:p>
                  <w:pPr>
                    <w:pStyle w:val="Compact"/>
                    <w:jc w:val="right"/>
                    <w:jc w:val="center"/>
                  </w:pPr>
                  <w:r>
                    <w:t xml:space="preserve">0.022</w:t>
                  </w:r>
                </w:p>
              </w:tc>
              <w:tc>
                <w:tcPr/>
                <w:p>
                  <w:pPr>
                    <w:pStyle w:val="Compact"/>
                    <w:jc w:val="right"/>
                    <w:jc w:val="center"/>
                  </w:pPr>
                  <w:r>
                    <w:t xml:space="preserve">-0.056</w:t>
                  </w:r>
                </w:p>
              </w:tc>
              <w:tc>
                <w:tcPr/>
                <w:p>
                  <w:pPr>
                    <w:pStyle w:val="Compact"/>
                    <w:jc w:val="right"/>
                    <w:jc w:val="center"/>
                  </w:pPr>
                  <w:r>
                    <w:t xml:space="preserve">0.030</w:t>
                  </w:r>
                </w:p>
              </w:tc>
            </w:tr>
            <w:tr>
              <w:tc>
                <w:tcPr/>
                <w:p>
                  <w:pPr>
                    <w:pStyle w:val="Compact"/>
                    <w:jc w:val="left"/>
                    <w:jc w:val="center"/>
                  </w:pPr>
                  <w:r>
                    <w:t xml:space="preserve">model_t2_meaning_purpose_z</w:t>
                  </w:r>
                </w:p>
              </w:tc>
              <w:tc>
                <w:tcPr/>
                <w:p>
                  <w:pPr>
                    <w:pStyle w:val="Compact"/>
                    <w:jc w:val="left"/>
                    <w:jc w:val="center"/>
                  </w:pPr>
                  <w:r>
                    <w:t xml:space="preserve">Meaning: Purpose</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-0.031</w:t>
                  </w:r>
                </w:p>
              </w:tc>
              <w:tc>
                <w:tcPr/>
                <w:p>
                  <w:pPr>
                    <w:pStyle w:val="Compact"/>
                    <w:jc w:val="right"/>
                    <w:jc w:val="center"/>
                  </w:pPr>
                  <w:r>
                    <w:t xml:space="preserve">0.038</w:t>
                  </w:r>
                </w:p>
              </w:tc>
              <w:tc>
                <w:tcPr/>
                <w:p>
                  <w:pPr>
                    <w:pStyle w:val="Compact"/>
                    <w:jc w:val="right"/>
                    <w:jc w:val="center"/>
                  </w:pPr>
                  <w:r>
                    <w:t xml:space="preserve">-0.105</w:t>
                  </w:r>
                </w:p>
              </w:tc>
              <w:tc>
                <w:tcPr/>
                <w:p>
                  <w:pPr>
                    <w:pStyle w:val="Compact"/>
                    <w:jc w:val="right"/>
                    <w:jc w:val="center"/>
                  </w:pPr>
                  <w:r>
                    <w:t xml:space="preserve">0.043</w:t>
                  </w:r>
                </w:p>
              </w:tc>
            </w:tr>
            <w:tr>
              <w:tc>
                <w:tcPr/>
                <w:p>
                  <w:pPr>
                    <w:pStyle w:val="Compact"/>
                    <w:jc w:val="left"/>
                    <w:jc w:val="center"/>
                  </w:pPr>
                  <w:r>
                    <w:t xml:space="preserve">model_t2_kessler_latent_depression_z</w:t>
                  </w:r>
                </w:p>
              </w:tc>
              <w:tc>
                <w:tcPr/>
                <w:p>
                  <w:pPr>
                    <w:pStyle w:val="Compact"/>
                    <w:jc w:val="left"/>
                    <w:jc w:val="center"/>
                  </w:pPr>
                  <w:r>
                    <w:t xml:space="preserve">Depression</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-0.033</w:t>
                  </w:r>
                </w:p>
              </w:tc>
              <w:tc>
                <w:tcPr/>
                <w:p>
                  <w:pPr>
                    <w:pStyle w:val="Compact"/>
                    <w:jc w:val="right"/>
                    <w:jc w:val="center"/>
                  </w:pPr>
                  <w:r>
                    <w:t xml:space="preserve">0.033</w:t>
                  </w:r>
                </w:p>
              </w:tc>
              <w:tc>
                <w:tcPr/>
                <w:p>
                  <w:pPr>
                    <w:pStyle w:val="Compact"/>
                    <w:jc w:val="right"/>
                    <w:jc w:val="center"/>
                  </w:pPr>
                  <w:r>
                    <w:t xml:space="preserve">-0.098</w:t>
                  </w:r>
                </w:p>
              </w:tc>
              <w:tc>
                <w:tcPr/>
                <w:p>
                  <w:pPr>
                    <w:pStyle w:val="Compact"/>
                    <w:jc w:val="right"/>
                    <w:jc w:val="center"/>
                  </w:pPr>
                  <w:r>
                    <w:t xml:space="preserve">0.032</w:t>
                  </w:r>
                </w:p>
              </w:tc>
            </w:tr>
            <w:tr>
              <w:tc>
                <w:tcPr/>
                <w:p>
                  <w:pPr>
                    <w:pStyle w:val="Compact"/>
                    <w:jc w:val="left"/>
                    <w:jc w:val="center"/>
                  </w:pPr>
                  <w:r>
                    <w:t xml:space="preserve">model_t2_neighbourhood_community_z</w:t>
                  </w:r>
                </w:p>
              </w:tc>
              <w:tc>
                <w:tcPr/>
                <w:p>
                  <w:pPr>
                    <w:pStyle w:val="Compact"/>
                    <w:jc w:val="left"/>
                    <w:jc w:val="center"/>
                  </w:pPr>
                  <w:r>
                    <w:t xml:space="preserve">Neighbourhood Community</w:t>
                  </w:r>
                </w:p>
              </w:tc>
              <w:tc>
                <w:tcPr/>
                <w:p>
                  <w:pPr>
                    <w:pStyle w:val="Compact"/>
                    <w:jc w:val="left"/>
                    <w:jc w:val="center"/>
                  </w:pPr>
                  <w:r>
                    <w:t xml:space="preserve">treat_best</w:t>
                  </w:r>
                </w:p>
              </w:tc>
              <w:tc>
                <w:tcPr/>
                <w:p>
                  <w:pPr>
                    <w:pStyle w:val="Compact"/>
                    <w:jc w:val="left"/>
                    <w:jc w:val="center"/>
                  </w:pPr>
                  <w:r>
                    <w:t xml:space="preserve">AUTOC</w:t>
                  </w:r>
                </w:p>
              </w:tc>
              <w:tc>
                <w:tcPr/>
                <w:p>
                  <w:pPr>
                    <w:pStyle w:val="Compact"/>
                    <w:jc w:val="right"/>
                    <w:jc w:val="center"/>
                  </w:pPr>
                  <w:r>
                    <w:t xml:space="preserve">-0.061</w:t>
                  </w:r>
                </w:p>
              </w:tc>
              <w:tc>
                <w:tcPr/>
                <w:p>
                  <w:pPr>
                    <w:pStyle w:val="Compact"/>
                    <w:jc w:val="right"/>
                    <w:jc w:val="center"/>
                  </w:pPr>
                  <w:r>
                    <w:t xml:space="preserve">0.039</w:t>
                  </w:r>
                </w:p>
              </w:tc>
              <w:tc>
                <w:tcPr/>
                <w:p>
                  <w:pPr>
                    <w:pStyle w:val="Compact"/>
                    <w:jc w:val="right"/>
                    <w:jc w:val="center"/>
                  </w:pPr>
                  <w:r>
                    <w:t xml:space="preserve">-0.137</w:t>
                  </w:r>
                </w:p>
              </w:tc>
              <w:tc>
                <w:tcPr/>
                <w:p>
                  <w:pPr>
                    <w:pStyle w:val="Compact"/>
                    <w:jc w:val="right"/>
                    <w:jc w:val="center"/>
                  </w:pPr>
                  <w:r>
                    <w:t xml:space="preserve">0.015</w:t>
                  </w:r>
                </w:p>
              </w:tc>
            </w:tr>
          </w:tbl>
          <w:bookmarkEnd w:id="134"/>
          <w:p/>
        </w:tc>
      </w:tr>
    </w:tbl>
    <w:bookmarkEnd w:id="135"/>
    <w:bookmarkStart w:id="137" w:name="Xf01ba802585357ac1d6f89d0d60b62052cab8c6"/>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0.014, 0.116)) show robust heterogeneity.</w:t>
      </w:r>
    </w:p>
    <w:p>
      <w:pPr>
        <w:pStyle w:val="BodyText"/>
      </w:pPr>
      <w:r>
        <w:t xml:space="preserve">For outcomes with 95%% CI crossing zero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136" w:name="tbl-rate-qini"/>
          <w:p>
            <w:pPr>
              <w:jc w:val="center"/>
            </w:pPr>
            <w:pPr>
              <w:jc w:val="start"/>
              <w:spacing w:before="200"/>
              <w:pStyle w:val="ImageCaption"/>
            </w:pPr>
            <w:r>
              <w:t xml:space="preserve">Table 9</w:t>
            </w:r>
          </w:p>
          <w:tbl>
            <w:tblPr>
              <w:tblStyle w:val="Table"/>
              <w:tblW w:type="pct" w:w="5000"/>
              <w:tblLayout w:type="fixed"/>
              <w:tblLook w:firstRow="1" w:lastRow="0" w:firstColumn="0" w:lastColumn="0" w:noHBand="0" w:noVBand="0" w:val="0020"/>
            </w:tblPr>
            <w:tblGrid>
              <w:gridCol w:w="2421"/>
              <w:gridCol w:w="1832"/>
              <w:gridCol w:w="720"/>
              <w:gridCol w:w="458"/>
              <w:gridCol w:w="916"/>
              <w:gridCol w:w="654"/>
              <w:gridCol w:w="458"/>
              <w:gridCol w:w="458"/>
            </w:tblGrid>
            <w:tr>
              <w:trPr>
                <w:tblHeader w:val="on"/>
              </w:trPr>
              <w:tc>
                <w:tcPr/>
                <w:p>
                  <w:pPr>
                    <w:pStyle w:val="Compact"/>
                    <w:jc w:val="left"/>
                    <w:jc w:val="center"/>
                  </w:pPr>
                  <w:r>
                    <w:t xml:space="preserve">model</w:t>
                  </w:r>
                </w:p>
              </w:tc>
              <w:tc>
                <w:tcPr/>
                <w:p>
                  <w:pPr>
                    <w:pStyle w:val="Compact"/>
                    <w:jc w:val="left"/>
                    <w:jc w:val="center"/>
                  </w:pPr>
                  <w:r>
                    <w:t xml:space="preserve">outcome</w:t>
                  </w:r>
                </w:p>
              </w:tc>
              <w:tc>
                <w:tcPr/>
                <w:p>
                  <w:pPr>
                    <w:pStyle w:val="Compact"/>
                    <w:jc w:val="left"/>
                    <w:jc w:val="center"/>
                  </w:pPr>
                  <w:r>
                    <w:t xml:space="preserve">policy</w:t>
                  </w:r>
                </w:p>
              </w:tc>
              <w:tc>
                <w:tcPr/>
                <w:p>
                  <w:pPr>
                    <w:pStyle w:val="Compact"/>
                    <w:jc w:val="left"/>
                    <w:jc w:val="center"/>
                  </w:pPr>
                  <w:r>
                    <w:t xml:space="preserve">target</w:t>
                  </w:r>
                </w:p>
              </w:tc>
              <w:tc>
                <w:tcPr/>
                <w:p>
                  <w:pPr>
                    <w:pStyle w:val="Compact"/>
                    <w:jc w:val="right"/>
                    <w:jc w:val="center"/>
                  </w:pPr>
                  <w:r>
                    <w:t xml:space="preserve">RATE Estimate</w:t>
                  </w:r>
                </w:p>
              </w:tc>
              <w:tc>
                <w:tcPr/>
                <w:p>
                  <w:pPr>
                    <w:pStyle w:val="Compact"/>
                    <w:jc w:val="right"/>
                    <w:jc w:val="center"/>
                  </w:pPr>
                  <w:r>
                    <w:t xml:space="preserve">Std Error</w:t>
                  </w:r>
                </w:p>
              </w:tc>
              <w:tc>
                <w:tcPr/>
                <w:p>
                  <w:pPr>
                    <w:pStyle w:val="Compact"/>
                    <w:jc w:val="right"/>
                    <w:jc w:val="center"/>
                  </w:pPr>
                  <w:r>
                    <w:t xml:space="preserve">2.5%</w:t>
                  </w:r>
                </w:p>
              </w:tc>
              <w:tc>
                <w:tcPr/>
                <w:p>
                  <w:pPr>
                    <w:pStyle w:val="Compact"/>
                    <w:jc w:val="right"/>
                    <w:jc w:val="center"/>
                  </w:pPr>
                  <w:r>
                    <w:t xml:space="preserve">97.5%</w:t>
                  </w:r>
                </w:p>
              </w:tc>
            </w:tr>
            <w:tr>
              <w:tc>
                <w:tcPr/>
                <w:p>
                  <w:pPr>
                    <w:pStyle w:val="Compact"/>
                    <w:jc w:val="left"/>
                    <w:jc w:val="center"/>
                  </w:pPr>
                  <w:r>
                    <w:t xml:space="preserve">model_t2_meaning_sense_z</w:t>
                  </w:r>
                </w:p>
              </w:tc>
              <w:tc>
                <w:tcPr/>
                <w:p>
                  <w:pPr>
                    <w:pStyle w:val="Compact"/>
                    <w:jc w:val="left"/>
                    <w:jc w:val="center"/>
                  </w:pPr>
                  <w:r>
                    <w:rPr>
                      <w:b/>
                      <w:bCs/>
                    </w:rPr>
                    <w:t xml:space="preserve">Meaning: Sense</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0.020</w:t>
                  </w:r>
                </w:p>
              </w:tc>
              <w:tc>
                <w:tcPr/>
                <w:p>
                  <w:pPr>
                    <w:pStyle w:val="Compact"/>
                    <w:jc w:val="right"/>
                    <w:jc w:val="center"/>
                  </w:pPr>
                  <w:r>
                    <w:t xml:space="preserve">0.008</w:t>
                  </w:r>
                </w:p>
              </w:tc>
              <w:tc>
                <w:tcPr/>
                <w:p>
                  <w:pPr>
                    <w:pStyle w:val="Compact"/>
                    <w:jc w:val="right"/>
                    <w:jc w:val="center"/>
                  </w:pPr>
                  <w:r>
                    <w:t xml:space="preserve">0.004</w:t>
                  </w:r>
                </w:p>
              </w:tc>
              <w:tc>
                <w:tcPr/>
                <w:p>
                  <w:pPr>
                    <w:pStyle w:val="Compact"/>
                    <w:jc w:val="right"/>
                    <w:jc w:val="center"/>
                  </w:pPr>
                  <w:r>
                    <w:t xml:space="preserve">0.036</w:t>
                  </w:r>
                </w:p>
              </w:tc>
            </w:tr>
            <w:tr>
              <w:tc>
                <w:tcPr/>
                <w:p>
                  <w:pPr>
                    <w:pStyle w:val="Compact"/>
                    <w:jc w:val="left"/>
                    <w:jc w:val="center"/>
                  </w:pPr>
                  <w:r>
                    <w:t xml:space="preserve">model_t2_log_hours_exercise_z</w:t>
                  </w:r>
                </w:p>
              </w:tc>
              <w:tc>
                <w:tcPr/>
                <w:p>
                  <w:pPr>
                    <w:pStyle w:val="Compact"/>
                    <w:jc w:val="left"/>
                    <w:jc w:val="center"/>
                  </w:pPr>
                  <w:r>
                    <w:t xml:space="preserve">Hours of Exercise (log)</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0.014</w:t>
                  </w:r>
                </w:p>
              </w:tc>
              <w:tc>
                <w:tcPr/>
                <w:p>
                  <w:pPr>
                    <w:pStyle w:val="Compact"/>
                    <w:jc w:val="right"/>
                    <w:jc w:val="center"/>
                  </w:pPr>
                  <w:r>
                    <w:t xml:space="preserve">0.008</w:t>
                  </w:r>
                </w:p>
              </w:tc>
              <w:tc>
                <w:tcPr/>
                <w:p>
                  <w:pPr>
                    <w:pStyle w:val="Compact"/>
                    <w:jc w:val="right"/>
                    <w:jc w:val="center"/>
                  </w:pPr>
                  <w:r>
                    <w:t xml:space="preserve">-0.002</w:t>
                  </w:r>
                </w:p>
              </w:tc>
              <w:tc>
                <w:tcPr/>
                <w:p>
                  <w:pPr>
                    <w:pStyle w:val="Compact"/>
                    <w:jc w:val="right"/>
                    <w:jc w:val="center"/>
                  </w:pPr>
                  <w:r>
                    <w:t xml:space="preserve">0.030</w:t>
                  </w:r>
                </w:p>
              </w:tc>
            </w:tr>
            <w:tr>
              <w:tc>
                <w:tcPr/>
                <w:p>
                  <w:pPr>
                    <w:pStyle w:val="Compact"/>
                    <w:jc w:val="left"/>
                    <w:jc w:val="center"/>
                  </w:pPr>
                  <w:r>
                    <w:t xml:space="preserve">model_t2_pwi_z</w:t>
                  </w:r>
                </w:p>
              </w:tc>
              <w:tc>
                <w:tcPr/>
                <w:p>
                  <w:pPr>
                    <w:pStyle w:val="Compact"/>
                    <w:jc w:val="left"/>
                    <w:jc w:val="center"/>
                  </w:pPr>
                  <w:r>
                    <w:t xml:space="preserve">Personal Well-being Index</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0.010</w:t>
                  </w:r>
                </w:p>
              </w:tc>
              <w:tc>
                <w:tcPr/>
                <w:p>
                  <w:pPr>
                    <w:pStyle w:val="Compact"/>
                    <w:jc w:val="right"/>
                    <w:jc w:val="center"/>
                  </w:pPr>
                  <w:r>
                    <w:t xml:space="preserve">0.007</w:t>
                  </w:r>
                </w:p>
              </w:tc>
              <w:tc>
                <w:tcPr/>
                <w:p>
                  <w:pPr>
                    <w:pStyle w:val="Compact"/>
                    <w:jc w:val="right"/>
                    <w:jc w:val="center"/>
                  </w:pPr>
                  <w:r>
                    <w:t xml:space="preserve">-0.004</w:t>
                  </w:r>
                </w:p>
              </w:tc>
              <w:tc>
                <w:tcPr/>
                <w:p>
                  <w:pPr>
                    <w:pStyle w:val="Compact"/>
                    <w:jc w:val="right"/>
                    <w:jc w:val="center"/>
                  </w:pPr>
                  <w:r>
                    <w:t xml:space="preserve">0.024</w:t>
                  </w:r>
                </w:p>
              </w:tc>
            </w:tr>
            <w:tr>
              <w:tc>
                <w:tcPr/>
                <w:p>
                  <w:pPr>
                    <w:pStyle w:val="Compact"/>
                    <w:jc w:val="left"/>
                    <w:jc w:val="center"/>
                  </w:pPr>
                  <w:r>
                    <w:t xml:space="preserve">model_t2_kessler_latent_anxiety_z</w:t>
                  </w:r>
                </w:p>
              </w:tc>
              <w:tc>
                <w:tcPr/>
                <w:p>
                  <w:pPr>
                    <w:pStyle w:val="Compact"/>
                    <w:jc w:val="left"/>
                    <w:jc w:val="center"/>
                  </w:pPr>
                  <w:r>
                    <w:t xml:space="preserve">Anxiety</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0.009</w:t>
                  </w:r>
                </w:p>
              </w:tc>
              <w:tc>
                <w:tcPr/>
                <w:p>
                  <w:pPr>
                    <w:pStyle w:val="Compact"/>
                    <w:jc w:val="right"/>
                    <w:jc w:val="center"/>
                  </w:pPr>
                  <w:r>
                    <w:t xml:space="preserve">0.006</w:t>
                  </w:r>
                </w:p>
              </w:tc>
              <w:tc>
                <w:tcPr/>
                <w:p>
                  <w:pPr>
                    <w:pStyle w:val="Compact"/>
                    <w:jc w:val="right"/>
                    <w:jc w:val="center"/>
                  </w:pPr>
                  <w:r>
                    <w:t xml:space="preserve">-0.003</w:t>
                  </w:r>
                </w:p>
              </w:tc>
              <w:tc>
                <w:tcPr/>
                <w:p>
                  <w:pPr>
                    <w:pStyle w:val="Compact"/>
                    <w:jc w:val="right"/>
                    <w:jc w:val="center"/>
                  </w:pPr>
                  <w:r>
                    <w:t xml:space="preserve">0.021</w:t>
                  </w:r>
                </w:p>
              </w:tc>
            </w:tr>
            <w:tr>
              <w:tc>
                <w:tcPr/>
                <w:p>
                  <w:pPr>
                    <w:pStyle w:val="Compact"/>
                    <w:jc w:val="left"/>
                    <w:jc w:val="center"/>
                  </w:pPr>
                  <w:r>
                    <w:t xml:space="preserve">model_t2_self_esteem_z</w:t>
                  </w:r>
                </w:p>
              </w:tc>
              <w:tc>
                <w:tcPr/>
                <w:p>
                  <w:pPr>
                    <w:pStyle w:val="Compact"/>
                    <w:jc w:val="left"/>
                    <w:jc w:val="center"/>
                  </w:pPr>
                  <w:r>
                    <w:t xml:space="preserve">Self Esteem</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0.006</w:t>
                  </w:r>
                </w:p>
              </w:tc>
              <w:tc>
                <w:tcPr/>
                <w:p>
                  <w:pPr>
                    <w:pStyle w:val="Compact"/>
                    <w:jc w:val="right"/>
                    <w:jc w:val="center"/>
                  </w:pPr>
                  <w:r>
                    <w:t xml:space="preserve">0.007</w:t>
                  </w:r>
                </w:p>
              </w:tc>
              <w:tc>
                <w:tcPr/>
                <w:p>
                  <w:pPr>
                    <w:pStyle w:val="Compact"/>
                    <w:jc w:val="right"/>
                    <w:jc w:val="center"/>
                  </w:pPr>
                  <w:r>
                    <w:t xml:space="preserve">-0.008</w:t>
                  </w:r>
                </w:p>
              </w:tc>
              <w:tc>
                <w:tcPr/>
                <w:p>
                  <w:pPr>
                    <w:pStyle w:val="Compact"/>
                    <w:jc w:val="right"/>
                    <w:jc w:val="center"/>
                  </w:pPr>
                  <w:r>
                    <w:t xml:space="preserve">0.020</w:t>
                  </w:r>
                </w:p>
              </w:tc>
            </w:tr>
            <w:tr>
              <w:tc>
                <w:tcPr/>
                <w:p>
                  <w:pPr>
                    <w:pStyle w:val="Compact"/>
                    <w:jc w:val="left"/>
                    <w:jc w:val="center"/>
                  </w:pPr>
                  <w:r>
                    <w:t xml:space="preserve">model_t2_support_z</w:t>
                  </w:r>
                </w:p>
              </w:tc>
              <w:tc>
                <w:tcPr/>
                <w:p>
                  <w:pPr>
                    <w:pStyle w:val="Compact"/>
                    <w:jc w:val="left"/>
                    <w:jc w:val="center"/>
                  </w:pPr>
                  <w:r>
                    <w:t xml:space="preserve">Social Support</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0.006</w:t>
                  </w:r>
                </w:p>
              </w:tc>
              <w:tc>
                <w:tcPr/>
                <w:p>
                  <w:pPr>
                    <w:pStyle w:val="Compact"/>
                    <w:jc w:val="right"/>
                    <w:jc w:val="center"/>
                  </w:pPr>
                  <w:r>
                    <w:t xml:space="preserve">0.008</w:t>
                  </w:r>
                </w:p>
              </w:tc>
              <w:tc>
                <w:tcPr/>
                <w:p>
                  <w:pPr>
                    <w:pStyle w:val="Compact"/>
                    <w:jc w:val="right"/>
                    <w:jc w:val="center"/>
                  </w:pPr>
                  <w:r>
                    <w:t xml:space="preserve">-0.010</w:t>
                  </w:r>
                </w:p>
              </w:tc>
              <w:tc>
                <w:tcPr/>
                <w:p>
                  <w:pPr>
                    <w:pStyle w:val="Compact"/>
                    <w:jc w:val="right"/>
                    <w:jc w:val="center"/>
                  </w:pPr>
                  <w:r>
                    <w:t xml:space="preserve">0.022</w:t>
                  </w:r>
                </w:p>
              </w:tc>
            </w:tr>
            <w:tr>
              <w:tc>
                <w:tcPr/>
                <w:p>
                  <w:pPr>
                    <w:pStyle w:val="Compact"/>
                    <w:jc w:val="left"/>
                    <w:jc w:val="center"/>
                  </w:pPr>
                  <w:r>
                    <w:t xml:space="preserve">model_t2_lifesat_z</w:t>
                  </w:r>
                </w:p>
              </w:tc>
              <w:tc>
                <w:tcPr/>
                <w:p>
                  <w:pPr>
                    <w:pStyle w:val="Compact"/>
                    <w:jc w:val="left"/>
                    <w:jc w:val="center"/>
                  </w:pPr>
                  <w:r>
                    <w:t xml:space="preserve">Life Satisfaction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-0.002</w:t>
                  </w:r>
                </w:p>
              </w:tc>
              <w:tc>
                <w:tcPr/>
                <w:p>
                  <w:pPr>
                    <w:pStyle w:val="Compact"/>
                    <w:jc w:val="right"/>
                    <w:jc w:val="center"/>
                  </w:pPr>
                  <w:r>
                    <w:t xml:space="preserve">0.006</w:t>
                  </w:r>
                </w:p>
              </w:tc>
              <w:tc>
                <w:tcPr/>
                <w:p>
                  <w:pPr>
                    <w:pStyle w:val="Compact"/>
                    <w:jc w:val="right"/>
                    <w:jc w:val="center"/>
                  </w:pPr>
                  <w:r>
                    <w:t xml:space="preserve">-0.014</w:t>
                  </w:r>
                </w:p>
              </w:tc>
              <w:tc>
                <w:tcPr/>
                <w:p>
                  <w:pPr>
                    <w:pStyle w:val="Compact"/>
                    <w:jc w:val="right"/>
                    <w:jc w:val="center"/>
                  </w:pPr>
                  <w:r>
                    <w:t xml:space="preserve">0.010</w:t>
                  </w:r>
                </w:p>
              </w:tc>
            </w:tr>
            <w:tr>
              <w:tc>
                <w:tcPr/>
                <w:p>
                  <w:pPr>
                    <w:pStyle w:val="Compact"/>
                    <w:jc w:val="left"/>
                    <w:jc w:val="center"/>
                  </w:pPr>
                  <w:r>
                    <w:t xml:space="preserve">model_t2_belong_z</w:t>
                  </w:r>
                </w:p>
              </w:tc>
              <w:tc>
                <w:tcPr/>
                <w:p>
                  <w:pPr>
                    <w:pStyle w:val="Compact"/>
                    <w:jc w:val="left"/>
                    <w:jc w:val="center"/>
                  </w:pPr>
                  <w:r>
                    <w:t xml:space="preserve">Social Belonging</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-0.003</w:t>
                  </w:r>
                </w:p>
              </w:tc>
              <w:tc>
                <w:tcPr/>
                <w:p>
                  <w:pPr>
                    <w:pStyle w:val="Compact"/>
                    <w:jc w:val="right"/>
                    <w:jc w:val="center"/>
                  </w:pPr>
                  <w:r>
                    <w:t xml:space="preserve">0.007</w:t>
                  </w:r>
                </w:p>
              </w:tc>
              <w:tc>
                <w:tcPr/>
                <w:p>
                  <w:pPr>
                    <w:pStyle w:val="Compact"/>
                    <w:jc w:val="right"/>
                    <w:jc w:val="center"/>
                  </w:pPr>
                  <w:r>
                    <w:t xml:space="preserve">-0.017</w:t>
                  </w:r>
                </w:p>
              </w:tc>
              <w:tc>
                <w:tcPr/>
                <w:p>
                  <w:pPr>
                    <w:pStyle w:val="Compact"/>
                    <w:jc w:val="right"/>
                    <w:jc w:val="center"/>
                  </w:pPr>
                  <w:r>
                    <w:t xml:space="preserve">0.011</w:t>
                  </w:r>
                </w:p>
              </w:tc>
            </w:tr>
            <w:tr>
              <w:tc>
                <w:tcPr/>
                <w:p>
                  <w:pPr>
                    <w:pStyle w:val="Compact"/>
                    <w:jc w:val="left"/>
                    <w:jc w:val="center"/>
                  </w:pPr>
                  <w:r>
                    <w:t xml:space="preserve">model_t2_rumination_z</w:t>
                  </w:r>
                </w:p>
              </w:tc>
              <w:tc>
                <w:tcPr/>
                <w:p>
                  <w:pPr>
                    <w:pStyle w:val="Compact"/>
                    <w:jc w:val="left"/>
                    <w:jc w:val="center"/>
                  </w:pPr>
                  <w:r>
                    <w:t xml:space="preserve">Rumination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-0.003</w:t>
                  </w:r>
                </w:p>
              </w:tc>
              <w:tc>
                <w:tcPr/>
                <w:p>
                  <w:pPr>
                    <w:pStyle w:val="Compact"/>
                    <w:jc w:val="right"/>
                    <w:jc w:val="center"/>
                  </w:pPr>
                  <w:r>
                    <w:t xml:space="preserve">0.008</w:t>
                  </w:r>
                </w:p>
              </w:tc>
              <w:tc>
                <w:tcPr/>
                <w:p>
                  <w:pPr>
                    <w:pStyle w:val="Compact"/>
                    <w:jc w:val="right"/>
                    <w:jc w:val="center"/>
                  </w:pPr>
                  <w:r>
                    <w:t xml:space="preserve">-0.019</w:t>
                  </w:r>
                </w:p>
              </w:tc>
              <w:tc>
                <w:tcPr/>
                <w:p>
                  <w:pPr>
                    <w:pStyle w:val="Compact"/>
                    <w:jc w:val="right"/>
                    <w:jc w:val="center"/>
                  </w:pPr>
                  <w:r>
                    <w:t xml:space="preserve">0.013</w:t>
                  </w:r>
                </w:p>
              </w:tc>
            </w:tr>
            <w:tr>
              <w:tc>
                <w:tcPr/>
                <w:p>
                  <w:pPr>
                    <w:pStyle w:val="Compact"/>
                    <w:jc w:val="left"/>
                    <w:jc w:val="center"/>
                  </w:pPr>
                  <w:r>
                    <w:t xml:space="preserve">model_t2_meaning_purpose_z</w:t>
                  </w:r>
                </w:p>
              </w:tc>
              <w:tc>
                <w:tcPr/>
                <w:p>
                  <w:pPr>
                    <w:pStyle w:val="Compact"/>
                    <w:jc w:val="left"/>
                    <w:jc w:val="center"/>
                  </w:pPr>
                  <w:r>
                    <w:t xml:space="preserve">Meaning: Purpose</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-0.004</w:t>
                  </w:r>
                </w:p>
              </w:tc>
              <w:tc>
                <w:tcPr/>
                <w:p>
                  <w:pPr>
                    <w:pStyle w:val="Compact"/>
                    <w:jc w:val="right"/>
                    <w:jc w:val="center"/>
                  </w:pPr>
                  <w:r>
                    <w:t xml:space="preserve">0.009</w:t>
                  </w:r>
                </w:p>
              </w:tc>
              <w:tc>
                <w:tcPr/>
                <w:p>
                  <w:pPr>
                    <w:pStyle w:val="Compact"/>
                    <w:jc w:val="right"/>
                    <w:jc w:val="center"/>
                  </w:pPr>
                  <w:r>
                    <w:t xml:space="preserve">-0.022</w:t>
                  </w:r>
                </w:p>
              </w:tc>
              <w:tc>
                <w:tcPr/>
                <w:p>
                  <w:pPr>
                    <w:pStyle w:val="Compact"/>
                    <w:jc w:val="right"/>
                    <w:jc w:val="center"/>
                  </w:pPr>
                  <w:r>
                    <w:t xml:space="preserve">0.014</w:t>
                  </w:r>
                </w:p>
              </w:tc>
            </w:tr>
            <w:tr>
              <w:tc>
                <w:tcPr/>
                <w:p>
                  <w:pPr>
                    <w:pStyle w:val="Compact"/>
                    <w:jc w:val="left"/>
                    <w:jc w:val="center"/>
                  </w:pPr>
                  <w:r>
                    <w:t xml:space="preserve">model_t2_kessler_latent_depression_z</w:t>
                  </w:r>
                </w:p>
              </w:tc>
              <w:tc>
                <w:tcPr/>
                <w:p>
                  <w:pPr>
                    <w:pStyle w:val="Compact"/>
                    <w:jc w:val="left"/>
                    <w:jc w:val="center"/>
                  </w:pPr>
                  <w:r>
                    <w:t xml:space="preserve">Depression</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-0.008</w:t>
                  </w:r>
                </w:p>
              </w:tc>
              <w:tc>
                <w:tcPr/>
                <w:p>
                  <w:pPr>
                    <w:pStyle w:val="Compact"/>
                    <w:jc w:val="right"/>
                    <w:jc w:val="center"/>
                  </w:pPr>
                  <w:r>
                    <w:t xml:space="preserve">0.007</w:t>
                  </w:r>
                </w:p>
              </w:tc>
              <w:tc>
                <w:tcPr/>
                <w:p>
                  <w:pPr>
                    <w:pStyle w:val="Compact"/>
                    <w:jc w:val="right"/>
                    <w:jc w:val="center"/>
                  </w:pPr>
                  <w:r>
                    <w:t xml:space="preserve">-0.022</w:t>
                  </w:r>
                </w:p>
              </w:tc>
              <w:tc>
                <w:tcPr/>
                <w:p>
                  <w:pPr>
                    <w:pStyle w:val="Compact"/>
                    <w:jc w:val="right"/>
                    <w:jc w:val="center"/>
                  </w:pPr>
                  <w:r>
                    <w:t xml:space="preserve">0.006</w:t>
                  </w:r>
                </w:p>
              </w:tc>
            </w:tr>
            <w:tr>
              <w:tc>
                <w:tcPr/>
                <w:p>
                  <w:pPr>
                    <w:pStyle w:val="Compact"/>
                    <w:jc w:val="left"/>
                    <w:jc w:val="center"/>
                  </w:pPr>
                  <w:r>
                    <w:t xml:space="preserve">model_t2_neighbourhood_community_z</w:t>
                  </w:r>
                </w:p>
              </w:tc>
              <w:tc>
                <w:tcPr/>
                <w:p>
                  <w:pPr>
                    <w:pStyle w:val="Compact"/>
                    <w:jc w:val="left"/>
                    <w:jc w:val="center"/>
                  </w:pPr>
                  <w:r>
                    <w:rPr>
                      <w:b/>
                      <w:bCs/>
                    </w:rPr>
                    <w:t xml:space="preserve">Neighbourhood Community</w:t>
                  </w:r>
                </w:p>
              </w:tc>
              <w:tc>
                <w:tcPr/>
                <w:p>
                  <w:pPr>
                    <w:pStyle w:val="Compact"/>
                    <w:jc w:val="left"/>
                    <w:jc w:val="center"/>
                  </w:pPr>
                  <w:r>
                    <w:t xml:space="preserve">treat_best</w:t>
                  </w:r>
                </w:p>
              </w:tc>
              <w:tc>
                <w:tcPr/>
                <w:p>
                  <w:pPr>
                    <w:pStyle w:val="Compact"/>
                    <w:jc w:val="left"/>
                    <w:jc w:val="center"/>
                  </w:pPr>
                  <w:r>
                    <w:t xml:space="preserve">QINI</w:t>
                  </w:r>
                </w:p>
              </w:tc>
              <w:tc>
                <w:tcPr/>
                <w:p>
                  <w:pPr>
                    <w:pStyle w:val="Compact"/>
                    <w:jc w:val="right"/>
                    <w:jc w:val="center"/>
                  </w:pPr>
                  <w:r>
                    <w:t xml:space="preserve">-0.026</w:t>
                  </w:r>
                </w:p>
              </w:tc>
              <w:tc>
                <w:tcPr/>
                <w:p>
                  <w:pPr>
                    <w:pStyle w:val="Compact"/>
                    <w:jc w:val="right"/>
                    <w:jc w:val="center"/>
                  </w:pPr>
                  <w:r>
                    <w:t xml:space="preserve">0.008</w:t>
                  </w:r>
                </w:p>
              </w:tc>
              <w:tc>
                <w:tcPr/>
                <w:p>
                  <w:pPr>
                    <w:pStyle w:val="Compact"/>
                    <w:jc w:val="right"/>
                    <w:jc w:val="center"/>
                  </w:pPr>
                  <w:r>
                    <w:t xml:space="preserve">-0.042</w:t>
                  </w:r>
                </w:p>
              </w:tc>
              <w:tc>
                <w:tcPr/>
                <w:p>
                  <w:pPr>
                    <w:pStyle w:val="Compact"/>
                    <w:jc w:val="right"/>
                    <w:jc w:val="center"/>
                  </w:pPr>
                  <w:r>
                    <w:t xml:space="preserve">-0.010</w:t>
                  </w:r>
                </w:p>
              </w:tc>
            </w:tr>
          </w:tbl>
          <w:bookmarkEnd w:id="136"/>
          <w:p/>
        </w:tc>
      </w:tr>
    </w:tbl>
    <w:bookmarkEnd w:id="137"/>
    <w:bookmarkStart w:id="138" w:name="X6977e5ab32120d8caa90fd09eb2b44d707d0778"/>
    <w:p>
      <w:pPr>
        <w:pStyle w:val="Heading3"/>
      </w:pPr>
      <w:r>
        <w:t xml:space="preserve">Evidence for heterogeneous treatment effects (policy = treat best responders) using Qini</w:t>
      </w:r>
    </w:p>
    <w:p>
      <w:pPr>
        <w:pStyle w:val="FirstParagraph"/>
      </w:pPr>
      <w:r>
        <w:t xml:space="preserve">Qini uses linear weighting to balance effect size and prevalence for aggregate gain.</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0.004, 0.036))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p>
      <w:r>
        <w:br w:type="page"/>
      </w:r>
    </w:p>
    <w:bookmarkEnd w:id="138"/>
    <w:bookmarkEnd w:id="139"/>
    <w:bookmarkStart w:id="188" w:name="references"/>
    <w:p>
      <w:pPr>
        <w:pStyle w:val="Heading2"/>
      </w:pPr>
      <w:r>
        <w:t xml:space="preserve">References</w:t>
      </w:r>
    </w:p>
    <w:bookmarkStart w:id="187" w:name="refs"/>
    <w:bookmarkStart w:id="141"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40">
        <w:r>
          <w:rPr>
            <w:rStyle w:val="Hyperlink"/>
          </w:rPr>
          <w:t xml:space="preserve">https://doi.org/10.3982/ECTA15732</w:t>
        </w:r>
      </w:hyperlink>
    </w:p>
    <w:bookmarkEnd w:id="141"/>
    <w:bookmarkStart w:id="142"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40">
        <w:r>
          <w:rPr>
            <w:rStyle w:val="Hyperlink"/>
          </w:rPr>
          <w:t xml:space="preserve">https://doi.org/10.3982/ECTA15732</w:t>
        </w:r>
      </w:hyperlink>
    </w:p>
    <w:bookmarkEnd w:id="142"/>
    <w:bookmarkStart w:id="143"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43"/>
    <w:bookmarkStart w:id="145"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44">
        <w:r>
          <w:rPr>
            <w:rStyle w:val="Hyperlink"/>
          </w:rPr>
          <w:t xml:space="preserve">https://doi.org/10.5281/zenodo.10907724</w:t>
        </w:r>
      </w:hyperlink>
    </w:p>
    <w:bookmarkEnd w:id="145"/>
    <w:bookmarkStart w:id="147"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46">
        <w:r>
          <w:rPr>
            <w:rStyle w:val="Hyperlink"/>
          </w:rPr>
          <w:t xml:space="preserve">https://doi.org/10.1017/ehs.2024.33</w:t>
        </w:r>
      </w:hyperlink>
    </w:p>
    <w:bookmarkEnd w:id="147"/>
    <w:bookmarkStart w:id="148"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48"/>
    <w:bookmarkStart w:id="149"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49"/>
    <w:bookmarkStart w:id="150"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50"/>
    <w:bookmarkStart w:id="152"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51">
        <w:r>
          <w:rPr>
            <w:rStyle w:val="Hyperlink"/>
          </w:rPr>
          <w:t xml:space="preserve">https://doi.org/10.1080/00224499.2019.1687640</w:t>
        </w:r>
      </w:hyperlink>
    </w:p>
    <w:bookmarkEnd w:id="152"/>
    <w:bookmarkStart w:id="153"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53"/>
    <w:bookmarkStart w:id="155"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54">
        <w:r>
          <w:rPr>
            <w:rStyle w:val="Hyperlink"/>
          </w:rPr>
          <w:t xml:space="preserve">https://doi.org/10.1097/00006199-199501000-00003</w:t>
        </w:r>
      </w:hyperlink>
    </w:p>
    <w:bookmarkEnd w:id="155"/>
    <w:bookmarkStart w:id="156"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56"/>
    <w:bookmarkStart w:id="157"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57"/>
    <w:bookmarkStart w:id="158"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58"/>
    <w:bookmarkStart w:id="160"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59">
        <w:r>
          <w:rPr>
            <w:rStyle w:val="Hyperlink"/>
          </w:rPr>
          <w:t xml:space="preserve">https://doi.org/10.1037/0003-066X.61.7.651</w:t>
        </w:r>
      </w:hyperlink>
    </w:p>
    <w:bookmarkEnd w:id="160"/>
    <w:bookmarkStart w:id="162"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61">
        <w:r>
          <w:rPr>
            <w:rStyle w:val="Hyperlink"/>
          </w:rPr>
          <w:t xml:space="preserve">https://doi.org/10.1017/S0033291702006074</w:t>
        </w:r>
      </w:hyperlink>
    </w:p>
    <w:bookmarkEnd w:id="162"/>
    <w:bookmarkStart w:id="163"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63"/>
    <w:bookmarkStart w:id="165"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64">
        <w:r>
          <w:rPr>
            <w:rStyle w:val="Hyperlink"/>
          </w:rPr>
          <w:t xml:space="preserve">https://doi.org/10.1080/02699939308409206</w:t>
        </w:r>
      </w:hyperlink>
    </w:p>
    <w:bookmarkEnd w:id="165"/>
    <w:bookmarkStart w:id="166" w:name="ref-pearl2009a"/>
    <w:p>
      <w:pPr>
        <w:pStyle w:val="Bibliography"/>
      </w:pPr>
      <w:r>
        <w:t xml:space="preserve">Pearl, J. (2009).</w:t>
      </w:r>
      <w:r>
        <w:t xml:space="preserve"> </w:t>
      </w:r>
      <w:r>
        <w:rPr>
          <w:i/>
          <w:iCs/>
        </w:rPr>
        <w:t xml:space="preserve">Causality</w:t>
      </w:r>
      <w:r>
        <w:t xml:space="preserve">. Cambridge University Press.</w:t>
      </w:r>
    </w:p>
    <w:bookmarkEnd w:id="166"/>
    <w:bookmarkStart w:id="167"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67"/>
    <w:bookmarkStart w:id="168"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68"/>
    <w:bookmarkStart w:id="170"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69">
        <w:r>
          <w:rPr>
            <w:rStyle w:val="Hyperlink"/>
          </w:rPr>
          <w:t xml:space="preserve">https://doi.org/10.31234/osf.io/wgqvy</w:t>
        </w:r>
      </w:hyperlink>
    </w:p>
    <w:bookmarkEnd w:id="170"/>
    <w:bookmarkStart w:id="171"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71"/>
    <w:bookmarkStart w:id="173"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72">
        <w:r>
          <w:rPr>
            <w:rStyle w:val="Hyperlink"/>
          </w:rPr>
          <w:t xml:space="preserve">https://doi.org/10.1037/0022-0167.53.1.80</w:t>
        </w:r>
      </w:hyperlink>
    </w:p>
    <w:bookmarkEnd w:id="173"/>
    <w:bookmarkStart w:id="175"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74">
        <w:r>
          <w:rPr>
            <w:rStyle w:val="Hyperlink"/>
          </w:rPr>
          <w:t xml:space="preserve">https://CRAN.R-project.org/package=policytree</w:t>
        </w:r>
      </w:hyperlink>
    </w:p>
    <w:bookmarkEnd w:id="175"/>
    <w:bookmarkStart w:id="177"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76">
        <w:r>
          <w:rPr>
            <w:rStyle w:val="Hyperlink"/>
          </w:rPr>
          <w:t xml:space="preserve">https://github.com/grf-labs/grf</w:t>
        </w:r>
      </w:hyperlink>
    </w:p>
    <w:bookmarkEnd w:id="177"/>
    <w:bookmarkStart w:id="178"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78"/>
    <w:bookmarkStart w:id="180"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79">
        <w:r>
          <w:rPr>
            <w:rStyle w:val="Hyperlink"/>
          </w:rPr>
          <w:t xml:space="preserve">https://doi.org/10.7326/M16-2607</w:t>
        </w:r>
      </w:hyperlink>
    </w:p>
    <w:bookmarkEnd w:id="180"/>
    <w:bookmarkStart w:id="181"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81"/>
    <w:bookmarkStart w:id="183"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82">
        <w:r>
          <w:rPr>
            <w:rStyle w:val="Hyperlink"/>
          </w:rPr>
          <w:t xml:space="preserve">https://doi.org/10.1016/S0890-4065(97)90026-8</w:t>
        </w:r>
      </w:hyperlink>
    </w:p>
    <w:bookmarkEnd w:id="183"/>
    <w:bookmarkStart w:id="185"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84">
        <w:r>
          <w:rPr>
            <w:rStyle w:val="Hyperlink"/>
          </w:rPr>
          <w:t xml:space="preserve">https://doi.org/10.1080/01621459.2017.1319839</w:t>
        </w:r>
      </w:hyperlink>
    </w:p>
    <w:bookmarkEnd w:id="185"/>
    <w:bookmarkStart w:id="186"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86"/>
    <w:bookmarkEnd w:id="187"/>
    <w:bookmarkEnd w:id="188"/>
    <w:bookmarkEnd w:id="18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hyperlink" Id="rId174" Target="https://CRAN.R-project.org/package=policytree" TargetMode="External" /><Relationship Type="http://schemas.openxmlformats.org/officeDocument/2006/relationships/hyperlink" Id="rId182" Target="https://doi.org/10.1016/S0890-4065(97)90026-8" TargetMode="External" /><Relationship Type="http://schemas.openxmlformats.org/officeDocument/2006/relationships/hyperlink" Id="rId161" Target="https://doi.org/10.1017/S0033291702006074" TargetMode="External" /><Relationship Type="http://schemas.openxmlformats.org/officeDocument/2006/relationships/hyperlink" Id="rId146" Target="https://doi.org/10.1017/ehs.2024.33" TargetMode="External" /><Relationship Type="http://schemas.openxmlformats.org/officeDocument/2006/relationships/hyperlink" Id="rId159" Target="https://doi.org/10.1037/0003-066X.61.7.651" TargetMode="External" /><Relationship Type="http://schemas.openxmlformats.org/officeDocument/2006/relationships/hyperlink" Id="rId172" Target="https://doi.org/10.1037/0022-0167.53.1.80" TargetMode="External" /><Relationship Type="http://schemas.openxmlformats.org/officeDocument/2006/relationships/hyperlink" Id="rId151" Target="https://doi.org/10.1080/00224499.2019.1687640" TargetMode="External" /><Relationship Type="http://schemas.openxmlformats.org/officeDocument/2006/relationships/hyperlink" Id="rId184" Target="https://doi.org/10.1080/01621459.2017.1319839" TargetMode="External" /><Relationship Type="http://schemas.openxmlformats.org/officeDocument/2006/relationships/hyperlink" Id="rId164" Target="https://doi.org/10.1080/02699939308409206" TargetMode="External" /><Relationship Type="http://schemas.openxmlformats.org/officeDocument/2006/relationships/hyperlink" Id="rId15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69" Target="https://doi.org/10.31234/osf.io/wgqvy" TargetMode="External" /><Relationship Type="http://schemas.openxmlformats.org/officeDocument/2006/relationships/hyperlink" Id="rId140" Target="https://doi.org/10.3982/ECTA15732" TargetMode="External" /><Relationship Type="http://schemas.openxmlformats.org/officeDocument/2006/relationships/hyperlink" Id="rId144" Target="https://doi.org/10.5281/zenodo.10907724" TargetMode="External" /><Relationship Type="http://schemas.openxmlformats.org/officeDocument/2006/relationships/hyperlink" Id="rId179" Target="https://doi.org/10.7326/M16-2607" TargetMode="External" /><Relationship Type="http://schemas.openxmlformats.org/officeDocument/2006/relationships/hyperlink" Id="rId176" Target="https://github.com/grf-labs/grf" TargetMode="External" /><Relationship Type="http://schemas.openxmlformats.org/officeDocument/2006/relationships/hyperlink" Id="rId68"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74" Target="https://CRAN.R-project.org/package=policytree" TargetMode="External" /><Relationship Type="http://schemas.openxmlformats.org/officeDocument/2006/relationships/hyperlink" Id="rId182" Target="https://doi.org/10.1016/S0890-4065(97)90026-8" TargetMode="External" /><Relationship Type="http://schemas.openxmlformats.org/officeDocument/2006/relationships/hyperlink" Id="rId161" Target="https://doi.org/10.1017/S0033291702006074" TargetMode="External" /><Relationship Type="http://schemas.openxmlformats.org/officeDocument/2006/relationships/hyperlink" Id="rId146" Target="https://doi.org/10.1017/ehs.2024.33" TargetMode="External" /><Relationship Type="http://schemas.openxmlformats.org/officeDocument/2006/relationships/hyperlink" Id="rId159" Target="https://doi.org/10.1037/0003-066X.61.7.651" TargetMode="External" /><Relationship Type="http://schemas.openxmlformats.org/officeDocument/2006/relationships/hyperlink" Id="rId172" Target="https://doi.org/10.1037/0022-0167.53.1.80" TargetMode="External" /><Relationship Type="http://schemas.openxmlformats.org/officeDocument/2006/relationships/hyperlink" Id="rId151" Target="https://doi.org/10.1080/00224499.2019.1687640" TargetMode="External" /><Relationship Type="http://schemas.openxmlformats.org/officeDocument/2006/relationships/hyperlink" Id="rId184" Target="https://doi.org/10.1080/01621459.2017.1319839" TargetMode="External" /><Relationship Type="http://schemas.openxmlformats.org/officeDocument/2006/relationships/hyperlink" Id="rId164" Target="https://doi.org/10.1080/02699939308409206" TargetMode="External" /><Relationship Type="http://schemas.openxmlformats.org/officeDocument/2006/relationships/hyperlink" Id="rId15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69" Target="https://doi.org/10.31234/osf.io/wgqvy" TargetMode="External" /><Relationship Type="http://schemas.openxmlformats.org/officeDocument/2006/relationships/hyperlink" Id="rId140" Target="https://doi.org/10.3982/ECTA15732" TargetMode="External" /><Relationship Type="http://schemas.openxmlformats.org/officeDocument/2006/relationships/hyperlink" Id="rId144" Target="https://doi.org/10.5281/zenodo.10907724" TargetMode="External" /><Relationship Type="http://schemas.openxmlformats.org/officeDocument/2006/relationships/hyperlink" Id="rId179" Target="https://doi.org/10.7326/M16-2607" TargetMode="External" /><Relationship Type="http://schemas.openxmlformats.org/officeDocument/2006/relationships/hyperlink" Id="rId176" Target="https://github.com/grf-labs/grf" TargetMode="External" /><Relationship Type="http://schemas.openxmlformats.org/officeDocument/2006/relationships/hyperlink" Id="rId68"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Church, Cross-validation, Distress, Health, Longitudinal, Machine Learning, Religion, Semi-parametric, Targeted Learning</cp:keywords>
  <dcterms:created xsi:type="dcterms:W3CDTF">2025-05-12T09:12:25Z</dcterms:created>
  <dcterms:modified xsi:type="dcterms:W3CDTF">2025-05-12T09:12:25Z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sentences)Objectives: 1. Estimate the causal effect of YOUR EXPOSURE on YOUR OUTCOMES measured one year later. 2. Evaluate whether these effects vary across the population. 3. Provide policy guidance on which individuals might benefit most.Method: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benefits.Results: Increasing XXXXX leads to XXXXX. Heterogeneous responses to (e.g. Forgiveness, Personal Well-Being, and Life-Satisfaction…) reveal structural variability in subpopulations…Implications: (Brief few sentences) Keywords: Causal Inference; Cross-validation; Distress; Employment; Longitudinal; Machine 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2025-05-12</vt:lpwstr>
  </property>
  <property fmtid="{D5CDD505-2E9C-101B-9397-08002B2CF9AE}" pid="11" name="default">
    <vt:lpwstr>True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