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8.png" ContentType="image/png"/>
  <Override PartName="/word/media/rId62.png" ContentType="image/png"/>
  <Override PartName="/word/media/rId5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2025-05-18</w:t>
      </w:r>
    </w:p>
    <w:p>
      <w:pPr>
        <w:pStyle w:val="AbstractTitle"/>
      </w:pPr>
      <w:r>
        <w:t xml:space="preserve">Abstract</w:t>
      </w:r>
    </w:p>
    <w:p>
      <w:pPr>
        <w:pStyle w:val="Abstract"/>
      </w:pPr>
      <w:r>
        <w:rPr>
          <w:b/>
          <w:bCs/>
        </w:rPr>
        <w:t xml:space="preserve">Background</w:t>
      </w:r>
      <w:r>
        <w:t xml:space="preserve">: (Brief few sentences)</w:t>
      </w:r>
    </w:p>
    <w:p>
      <w:pPr>
        <w:pStyle w:val="Abstract"/>
      </w:pP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p>
    <w:p>
      <w:pPr>
        <w:pStyle w:val="Abstract"/>
      </w:pP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p>
    <w:p>
      <w:pPr>
        <w:pStyle w:val="Abstract"/>
      </w:pP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p>
    <w:p>
      <w:pPr>
        <w:pStyle w:val="Abstract"/>
      </w:pP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sLearning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2018 of the New Zealand Attitudes and Values Study (NZAVS) during the years 2018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2018 of the study and respond to the baseline measure of Extraversion.</w:t>
      </w:r>
    </w:p>
    <w:p>
      <w:pPr>
        <w:pStyle w:val="BodyText"/>
      </w:pPr>
      <w:r>
        <w:t xml:space="preserve">Participants may have been lost to follow-up at the end of the study if they met eligibility criteria at 2018.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&gt;4, scale range 1-7</w:t>
      </w:r>
      <w:r>
        <w:t xml:space="preserve">, compared with setting it to</w:t>
      </w:r>
      <w:r>
        <w:t xml:space="preserve"> </w:t>
      </w:r>
      <w:r>
        <w:rPr>
          <w:b/>
          <w:bCs/>
        </w:rPr>
        <w:t xml:space="preserve">&lt;=4, scale range 1-7</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1</w:t>
      </w:r>
      <w:r>
        <w:t xml:space="preserve">: Everyone receives exposure level &gt;4, scale range 1-7.</w:t>
      </w:r>
    </w:p>
    <w:p>
      <w:pPr>
        <w:pStyle w:val="Compact"/>
        <w:numPr>
          <w:ilvl w:val="0"/>
          <w:numId w:val="1001"/>
        </w:numPr>
      </w:pPr>
      <w:r>
        <w:rPr>
          <w:b/>
          <w:bCs/>
        </w:rPr>
        <w:t xml:space="preserve">0</w:t>
      </w:r>
      <w:r>
        <w:t xml:space="preserve">: Everyone receives exposure level &lt;=4, scale range 1-7.</w:t>
      </w:r>
    </w:p>
    <w:p>
      <w:pPr>
        <w:pStyle w:val="FirstParagraph"/>
      </w:pPr>
      <w:r>
        <w:t xml:space="preserve">The difference between these two population means is the</w:t>
      </w:r>
      <w:r>
        <w:t xml:space="preserve"> </w:t>
      </w:r>
      <w:r>
        <w:rPr>
          <w:b/>
          <w:bCs/>
        </w:rPr>
        <w:t xml:space="preserve">Average Treatment Effect (ATE)</w:t>
      </w:r>
      <w:r>
        <w:t xml:space="preserve">. Because we evaluate several outcomes, ATE confidence intervals were corrected for multiplicity with bonferroni at</w:t>
      </w:r>
      <w:r>
        <w:t xml:space="preserve"> </w:t>
      </w:r>
      <m:oMath>
        <m:r>
          <m:t>α</m:t>
        </m:r>
      </m:oMath>
      <w:r>
        <w:t xml:space="preserve"> </w:t>
      </w:r>
      <w:r>
        <w:t xml:space="preserve">= 0.05.</w:t>
      </w:r>
    </w:p>
    <w:p>
      <w:pPr>
        <w:pStyle w:val="BodyText"/>
      </w:pPr>
      <w:r>
        <w:t xml:space="preserve">By combining time-series data with a rich baseline covariate set, we may, under the identifications assumptions described below, separate the causal effects of the exposure from spurious associations. Measuring demographics, personality traits, and other background factors at baseline helps ensure that, conditional on those covariates, assignment to the two exposure levels is</w:t>
      </w:r>
      <w:r>
        <w:t xml:space="preserve"> </w:t>
      </w:r>
      <w:r>
        <w:t xml:space="preserve">‘as good as random.’</w:t>
      </w:r>
      <w:r>
        <w:t xml:space="preserve"> </w:t>
      </w:r>
      <w:r>
        <w:t xml:space="preserve">(See Appendix</w:t>
      </w:r>
      <w:r>
        <w:t xml:space="preserve"> </w:t>
      </w:r>
      <w:hyperlink w:anchor="appendix-assumptions_grf">
        <w:r>
          <w:rPr>
            <w:rStyle w:val="Hyperlink"/>
          </w:rPr>
          <w:t xml:space="preserve">D</w:t>
        </w:r>
      </w:hyperlink>
      <w:r>
        <w:t xml:space="preserve"> </w:t>
      </w:r>
      <w:r>
        <w:t xml:space="preserve">for a full statement of the required assumptions.)</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separate real heterogeneity from noise, we split the data into training and validation folds (70/30). A causal forest trained on the first fold produced out-of-sample CATE predictions on the second. We then computed Rank-Weighted Average Treatment Effect (RATE) metrics—AUTOC and Qini—which quantify the gain from targeting the highest-ranked individuals</w:t>
      </w:r>
      <w:r>
        <w:t xml:space="preserve"> </w:t>
      </w:r>
      <w:r>
        <w:t xml:space="preserve">(Tibshirani et al., 2024; Wager &amp; Athey, 2018)</w:t>
      </w:r>
      <w:r>
        <w:t xml:space="preserve">. Their</w:t>
      </w:r>
      <w:r>
        <w:t xml:space="preserve"> </w:t>
      </w:r>
      <w:r>
        <w:rPr>
          <w:i/>
          <w:iCs/>
        </w:rPr>
        <w:t xml:space="preserve">p</w:t>
      </w:r>
      <w:r>
        <w:t xml:space="preserve">-values were corrected with Benjamini–Hochberg false-discovery-rate adjustment at q = 0.1 to control the exploratory false-discovery rate</w:t>
      </w:r>
      <w:r>
        <w:t xml:space="preserve"> </w:t>
      </w:r>
      <w:r>
        <w:t xml:space="preserve">(Benjamini &amp; Hochberg, 1995)</w:t>
      </w:r>
      <w:r>
        <w:t xml:space="preserve">. Where heterogeneity remained reliable, we fitted depth-2 policy trees</w:t>
      </w:r>
      <w:r>
        <w:t xml:space="preserve"> </w:t>
      </w:r>
      <w:r>
        <w:t xml:space="preserve">(Athey &amp; Wager, 2021a, 2021b; Sverdrup et al., 2024)</w:t>
      </w:r>
      <w:r>
        <w:t xml:space="preserve"> </w:t>
      </w:r>
      <w:r>
        <w:t xml:space="preserve">to distil transparent</w:t>
      </w:r>
      <w:r>
        <w:t xml:space="preserve"> </w:t>
      </w:r>
      <w:r>
        <w:t xml:space="preserve">‘treat-if’</w:t>
      </w:r>
      <w:r>
        <w:t xml:space="preserve"> </w:t>
      </w:r>
      <w:r>
        <w:t xml:space="preserve">rules (e.g.,</w:t>
      </w:r>
      <w:r>
        <w:t xml:space="preserve"> </w:t>
      </w:r>
      <w:r>
        <w:rPr>
          <w:i/>
          <w:iCs/>
        </w:rPr>
        <w:t xml:space="preserve">treat if baseline score &gt; X</w:t>
      </w:r>
      <w:r>
        <w:t xml:space="preserve">).</w:t>
      </w:r>
    </w:p>
    <w:p>
      <w:pPr>
        <w:pStyle w:val="BodyText"/>
      </w:pPr>
      <w:r>
        <w:t xml:space="preserve">All heterogeneity steps—calibration tests, RATE, Qini curves, and policy-tree learning—were implemented in R with</w:t>
      </w:r>
      <w:r>
        <w:t xml:space="preserve"> </w:t>
      </w:r>
      <w:r>
        <w:rPr>
          <w:b/>
          <w:bCs/>
        </w:rPr>
        <w:t xml:space="preserve">grf</w:t>
      </w:r>
      <w:r>
        <w:t xml:space="preserve"> </w:t>
      </w:r>
      <w:r>
        <w:t xml:space="preserve">(Tibshirani et al., 2024)</w:t>
      </w:r>
      <w:r>
        <w:t xml:space="preserve">,</w:t>
      </w:r>
      <w:r>
        <w:t xml:space="preserve"> </w:t>
      </w:r>
      <w:r>
        <w:rPr>
          <w:b/>
          <w:bCs/>
        </w:rPr>
        <w:t xml:space="preserve">policytree</w:t>
      </w:r>
      <w:r>
        <w:t xml:space="preserve"> </w:t>
      </w:r>
      <w:r>
        <w:t xml:space="preserve">(Sverdrup et al., 2024)</w:t>
      </w:r>
      <w:r>
        <w:t xml:space="preserve">, using graphical and summary functions from</w:t>
      </w:r>
      <w:r>
        <w:t xml:space="preserve"> </w:t>
      </w:r>
      <w:r>
        <w:rPr>
          <w:b/>
          <w:bCs/>
        </w:rPr>
        <w:t xml:space="preserve">margot</w:t>
      </w:r>
      <w:r>
        <w:t xml:space="preserve"> </w:t>
      </w:r>
      <w:r>
        <w:t xml:space="preserve">(Bulbulia, 2024a)</w:t>
      </w:r>
      <w:r>
        <w:t xml:space="preserve">. This workflow identifies individualised effects, quantifies the policy value of targeting, and delivers practical decision rules. See</w:t>
      </w:r>
      <w:r>
        <w:t xml:space="preserve"> </w:t>
      </w:r>
      <w:hyperlink w:anchor="appendix-explain-grf">
        <w:r>
          <w:rPr>
            <w:rStyle w:val="Hyperlink"/>
          </w:rPr>
          <w:t xml:space="preserve">Appendix D</w:t>
        </w:r>
      </w:hyperlink>
      <w:r>
        <w:t xml:space="preserve"> </w:t>
      </w:r>
      <w:r>
        <w:t xml:space="preserve">for full methodological details.</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2"/>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2"/>
        </w:numPr>
      </w:pPr>
      <w:r>
        <w:rPr>
          <w:b/>
          <w:bCs/>
        </w:rPr>
        <w:t xml:space="preserve">No unmeasured confounding</w:t>
      </w:r>
      <w:r>
        <w:t xml:space="preserve">: all variables that affect both Extraversion and the outcome have been measured and accounted for in the analysis.</w:t>
      </w:r>
    </w:p>
    <w:p>
      <w:pPr>
        <w:numPr>
          <w:ilvl w:val="0"/>
          <w:numId w:val="1002"/>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E</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3"/>
        </w:numPr>
      </w:pPr>
      <w:r>
        <w:rPr>
          <w:b/>
          <w:bCs/>
        </w:rPr>
        <w:t xml:space="preserve">Identified all common causes</w:t>
      </w:r>
      <w:r>
        <w:t xml:space="preserve"> </w:t>
      </w:r>
      <w:r>
        <w:t xml:space="preserve">of both the treatment and outcomes.</w:t>
      </w:r>
    </w:p>
    <w:p>
      <w:pPr>
        <w:pStyle w:val="Compact"/>
        <w:numPr>
          <w:ilvl w:val="0"/>
          <w:numId w:val="1003"/>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3"/>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3"/>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D</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risk-ratio scale) that an unmeasured confounder would need with both exposure and outcome—after adjusting for measured covariates—to explain away the observed association</w:t>
      </w:r>
      <w:r>
        <w:t xml:space="preserve"> </w:t>
      </w:r>
      <w:r>
        <w:t xml:space="preserve">(Linden et al., 2020; VanderWeele et al., 2020)</w:t>
      </w:r>
      <w:r>
        <w:t xml:space="preserve">. Confidence intervals for each E-value were derived from the multiplicity-adjusted confidence intervals of the corresponding coefficient estimates (bonferroni, α = 0.05), so the sensitivity analysis obeys the same error-control framework as the main results.</w:t>
      </w:r>
    </w:p>
    <w:p>
      <w:r>
        <w:br w:type="page"/>
      </w:r>
    </w:p>
    <w:bookmarkEnd w:id="31"/>
    <w:bookmarkEnd w:id="32"/>
    <w:bookmarkStart w:id="69"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31"/>
              <w:gridCol w:w="1001"/>
              <w:gridCol w:w="1001"/>
              <w:gridCol w:w="1001"/>
              <w:gridCol w:w="910"/>
              <w:gridCol w:w="1274"/>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0.125</w:t>
                  </w:r>
                </w:p>
              </w:tc>
              <w:tc>
                <w:tcPr/>
                <w:p>
                  <w:pPr>
                    <w:pStyle w:val="Compact"/>
                    <w:jc w:val="left"/>
                    <w:jc w:val="center"/>
                  </w:pPr>
                  <w:r>
                    <w:rPr>
                      <w:b/>
                      <w:bCs/>
                    </w:rPr>
                    <w:t xml:space="preserve">0.083</w:t>
                  </w:r>
                </w:p>
              </w:tc>
              <w:tc>
                <w:tcPr/>
                <w:p>
                  <w:pPr>
                    <w:pStyle w:val="Compact"/>
                    <w:jc w:val="left"/>
                    <w:jc w:val="center"/>
                  </w:pPr>
                  <w:r>
                    <w:rPr>
                      <w:b/>
                      <w:bCs/>
                    </w:rPr>
                    <w:t xml:space="preserve">0.167</w:t>
                  </w:r>
                </w:p>
              </w:tc>
              <w:tc>
                <w:tcPr/>
                <w:p>
                  <w:pPr>
                    <w:pStyle w:val="Compact"/>
                    <w:jc w:val="left"/>
                    <w:jc w:val="center"/>
                  </w:pPr>
                  <w:r>
                    <w:rPr>
                      <w:b/>
                      <w:bCs/>
                    </w:rPr>
                    <w:t xml:space="preserve">1.488</w:t>
                  </w:r>
                </w:p>
              </w:tc>
              <w:tc>
                <w:tcPr/>
                <w:p>
                  <w:pPr>
                    <w:pStyle w:val="Compact"/>
                    <w:jc w:val="left"/>
                    <w:jc w:val="center"/>
                  </w:pPr>
                  <w:r>
                    <w:rPr>
                      <w:b/>
                      <w:bCs/>
                    </w:rPr>
                    <w:t xml:space="preserve">1.372</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0.119</w:t>
                  </w:r>
                </w:p>
              </w:tc>
              <w:tc>
                <w:tcPr/>
                <w:p>
                  <w:pPr>
                    <w:pStyle w:val="Compact"/>
                    <w:jc w:val="left"/>
                    <w:jc w:val="center"/>
                  </w:pPr>
                  <w:r>
                    <w:rPr>
                      <w:b/>
                      <w:bCs/>
                    </w:rPr>
                    <w:t xml:space="preserve">0.073</w:t>
                  </w:r>
                </w:p>
              </w:tc>
              <w:tc>
                <w:tcPr/>
                <w:p>
                  <w:pPr>
                    <w:pStyle w:val="Compact"/>
                    <w:jc w:val="left"/>
                    <w:jc w:val="center"/>
                  </w:pPr>
                  <w:r>
                    <w:rPr>
                      <w:b/>
                      <w:bCs/>
                    </w:rPr>
                    <w:t xml:space="preserve">0.165</w:t>
                  </w:r>
                </w:p>
              </w:tc>
              <w:tc>
                <w:tcPr/>
                <w:p>
                  <w:pPr>
                    <w:pStyle w:val="Compact"/>
                    <w:jc w:val="left"/>
                    <w:jc w:val="center"/>
                  </w:pPr>
                  <w:r>
                    <w:rPr>
                      <w:b/>
                      <w:bCs/>
                    </w:rPr>
                    <w:t xml:space="preserve">1.471</w:t>
                  </w:r>
                </w:p>
              </w:tc>
              <w:tc>
                <w:tcPr/>
                <w:p>
                  <w:pPr>
                    <w:pStyle w:val="Compact"/>
                    <w:jc w:val="left"/>
                    <w:jc w:val="center"/>
                  </w:pPr>
                  <w:r>
                    <w:rPr>
                      <w:b/>
                      <w:bCs/>
                    </w:rPr>
                    <w:t xml:space="preserve">1.343</w:t>
                  </w:r>
                </w:p>
              </w:tc>
            </w:tr>
            <w:tr>
              <w:tc>
                <w:tcPr/>
                <w:p>
                  <w:pPr>
                    <w:pStyle w:val="Compact"/>
                    <w:jc w:val="left"/>
                    <w:jc w:val="center"/>
                  </w:pPr>
                  <w:r>
                    <w:rPr>
                      <w:b/>
                      <w:bCs/>
                    </w:rPr>
                    <w:t xml:space="preserve">Social Support</w:t>
                  </w:r>
                </w:p>
              </w:tc>
              <w:tc>
                <w:tcPr/>
                <w:p>
                  <w:pPr>
                    <w:pStyle w:val="Compact"/>
                    <w:jc w:val="left"/>
                    <w:jc w:val="center"/>
                  </w:pPr>
                  <w:r>
                    <w:rPr>
                      <w:b/>
                      <w:bCs/>
                    </w:rPr>
                    <w:t xml:space="preserve">0.096</w:t>
                  </w:r>
                </w:p>
              </w:tc>
              <w:tc>
                <w:tcPr/>
                <w:p>
                  <w:pPr>
                    <w:pStyle w:val="Compact"/>
                    <w:jc w:val="left"/>
                    <w:jc w:val="center"/>
                  </w:pPr>
                  <w:r>
                    <w:rPr>
                      <w:b/>
                      <w:bCs/>
                    </w:rPr>
                    <w:t xml:space="preserve">0.052</w:t>
                  </w:r>
                </w:p>
              </w:tc>
              <w:tc>
                <w:tcPr/>
                <w:p>
                  <w:pPr>
                    <w:pStyle w:val="Compact"/>
                    <w:jc w:val="left"/>
                    <w:jc w:val="center"/>
                  </w:pPr>
                  <w:r>
                    <w:rPr>
                      <w:b/>
                      <w:bCs/>
                    </w:rPr>
                    <w:t xml:space="preserve">0.14</w:t>
                  </w:r>
                </w:p>
              </w:tc>
              <w:tc>
                <w:tcPr/>
                <w:p>
                  <w:pPr>
                    <w:pStyle w:val="Compact"/>
                    <w:jc w:val="left"/>
                    <w:jc w:val="center"/>
                  </w:pPr>
                  <w:r>
                    <w:rPr>
                      <w:b/>
                      <w:bCs/>
                    </w:rPr>
                    <w:t xml:space="preserve">1.407</w:t>
                  </w:r>
                </w:p>
              </w:tc>
              <w:tc>
                <w:tcPr/>
                <w:p>
                  <w:pPr>
                    <w:pStyle w:val="Compact"/>
                    <w:jc w:val="left"/>
                    <w:jc w:val="center"/>
                  </w:pPr>
                  <w:r>
                    <w:rPr>
                      <w:b/>
                      <w:bCs/>
                    </w:rPr>
                    <w:t xml:space="preserve">1.277</w:t>
                  </w:r>
                </w:p>
              </w:tc>
            </w:tr>
            <w:tr>
              <w:tc>
                <w:tcPr/>
                <w:p>
                  <w:pPr>
                    <w:pStyle w:val="Compact"/>
                    <w:jc w:val="left"/>
                    <w:jc w:val="center"/>
                  </w:pPr>
                  <w:r>
                    <w:rPr>
                      <w:b/>
                      <w:bCs/>
                    </w:rPr>
                    <w:t xml:space="preserve">Self Esteem</w:t>
                  </w:r>
                </w:p>
              </w:tc>
              <w:tc>
                <w:tcPr/>
                <w:p>
                  <w:pPr>
                    <w:pStyle w:val="Compact"/>
                    <w:jc w:val="left"/>
                    <w:jc w:val="center"/>
                  </w:pPr>
                  <w:r>
                    <w:rPr>
                      <w:b/>
                      <w:bCs/>
                    </w:rPr>
                    <w:t xml:space="preserve">0.087</w:t>
                  </w:r>
                </w:p>
              </w:tc>
              <w:tc>
                <w:tcPr/>
                <w:p>
                  <w:pPr>
                    <w:pStyle w:val="Compact"/>
                    <w:jc w:val="left"/>
                    <w:jc w:val="center"/>
                  </w:pPr>
                  <w:r>
                    <w:rPr>
                      <w:b/>
                      <w:bCs/>
                    </w:rPr>
                    <w:t xml:space="preserve">0.047</w:t>
                  </w:r>
                </w:p>
              </w:tc>
              <w:tc>
                <w:tcPr/>
                <w:p>
                  <w:pPr>
                    <w:pStyle w:val="Compact"/>
                    <w:jc w:val="left"/>
                    <w:jc w:val="center"/>
                  </w:pPr>
                  <w:r>
                    <w:rPr>
                      <w:b/>
                      <w:bCs/>
                    </w:rPr>
                    <w:t xml:space="preserve">0.127</w:t>
                  </w:r>
                </w:p>
              </w:tc>
              <w:tc>
                <w:tcPr/>
                <w:p>
                  <w:pPr>
                    <w:pStyle w:val="Compact"/>
                    <w:jc w:val="left"/>
                    <w:jc w:val="center"/>
                  </w:pPr>
                  <w:r>
                    <w:rPr>
                      <w:b/>
                      <w:bCs/>
                    </w:rPr>
                    <w:t xml:space="preserve">1.381</w:t>
                  </w:r>
                </w:p>
              </w:tc>
              <w:tc>
                <w:tcPr/>
                <w:p>
                  <w:pPr>
                    <w:pStyle w:val="Compact"/>
                    <w:jc w:val="left"/>
                    <w:jc w:val="center"/>
                  </w:pPr>
                  <w:r>
                    <w:rPr>
                      <w:b/>
                      <w:bCs/>
                    </w:rPr>
                    <w:t xml:space="preserve">1.26</w:t>
                  </w:r>
                </w:p>
              </w:tc>
            </w:tr>
            <w:tr>
              <w:tc>
                <w:tcPr/>
                <w:p>
                  <w:pPr>
                    <w:pStyle w:val="Compact"/>
                    <w:jc w:val="left"/>
                    <w:jc w:val="center"/>
                  </w:pPr>
                  <w:r>
                    <w:rPr>
                      <w:b/>
                      <w:bCs/>
                    </w:rPr>
                    <w:t xml:space="preserve">Meaning: Purpose</w:t>
                  </w:r>
                </w:p>
              </w:tc>
              <w:tc>
                <w:tcPr/>
                <w:p>
                  <w:pPr>
                    <w:pStyle w:val="Compact"/>
                    <w:jc w:val="left"/>
                    <w:jc w:val="center"/>
                  </w:pPr>
                  <w:r>
                    <w:rPr>
                      <w:b/>
                      <w:bCs/>
                    </w:rPr>
                    <w:t xml:space="preserve">0.095</w:t>
                  </w:r>
                </w:p>
              </w:tc>
              <w:tc>
                <w:tcPr/>
                <w:p>
                  <w:pPr>
                    <w:pStyle w:val="Compact"/>
                    <w:jc w:val="left"/>
                    <w:jc w:val="center"/>
                  </w:pPr>
                  <w:r>
                    <w:rPr>
                      <w:b/>
                      <w:bCs/>
                    </w:rPr>
                    <w:t xml:space="preserve">0.043</w:t>
                  </w:r>
                </w:p>
              </w:tc>
              <w:tc>
                <w:tcPr/>
                <w:p>
                  <w:pPr>
                    <w:pStyle w:val="Compact"/>
                    <w:jc w:val="left"/>
                    <w:jc w:val="center"/>
                  </w:pPr>
                  <w:r>
                    <w:rPr>
                      <w:b/>
                      <w:bCs/>
                    </w:rPr>
                    <w:t xml:space="preserve">0.147</w:t>
                  </w:r>
                </w:p>
              </w:tc>
              <w:tc>
                <w:tcPr/>
                <w:p>
                  <w:pPr>
                    <w:pStyle w:val="Compact"/>
                    <w:jc w:val="left"/>
                    <w:jc w:val="center"/>
                  </w:pPr>
                  <w:r>
                    <w:rPr>
                      <w:b/>
                      <w:bCs/>
                    </w:rPr>
                    <w:t xml:space="preserve">1.404</w:t>
                  </w:r>
                </w:p>
              </w:tc>
              <w:tc>
                <w:tcPr/>
                <w:p>
                  <w:pPr>
                    <w:pStyle w:val="Compact"/>
                    <w:jc w:val="left"/>
                    <w:jc w:val="center"/>
                  </w:pPr>
                  <w:r>
                    <w:rPr>
                      <w:b/>
                      <w:bCs/>
                    </w:rPr>
                    <w:t xml:space="preserve">1.241</w:t>
                  </w:r>
                </w:p>
              </w:tc>
            </w:tr>
            <w:tr>
              <w:tc>
                <w:tcPr/>
                <w:p>
                  <w:pPr>
                    <w:pStyle w:val="Compact"/>
                    <w:jc w:val="left"/>
                    <w:jc w:val="center"/>
                  </w:pPr>
                  <w:r>
                    <w:rPr>
                      <w:b/>
                      <w:bCs/>
                    </w:rPr>
                    <w:t xml:space="preserve">Meaning: Sense</w:t>
                  </w:r>
                </w:p>
              </w:tc>
              <w:tc>
                <w:tcPr/>
                <w:p>
                  <w:pPr>
                    <w:pStyle w:val="Compact"/>
                    <w:jc w:val="left"/>
                    <w:jc w:val="center"/>
                  </w:pPr>
                  <w:r>
                    <w:rPr>
                      <w:b/>
                      <w:bCs/>
                    </w:rPr>
                    <w:t xml:space="preserve">0.086</w:t>
                  </w:r>
                </w:p>
              </w:tc>
              <w:tc>
                <w:tcPr/>
                <w:p>
                  <w:pPr>
                    <w:pStyle w:val="Compact"/>
                    <w:jc w:val="left"/>
                    <w:jc w:val="center"/>
                  </w:pPr>
                  <w:r>
                    <w:rPr>
                      <w:b/>
                      <w:bCs/>
                    </w:rPr>
                    <w:t xml:space="preserve">0.033</w:t>
                  </w:r>
                </w:p>
              </w:tc>
              <w:tc>
                <w:tcPr/>
                <w:p>
                  <w:pPr>
                    <w:pStyle w:val="Compact"/>
                    <w:jc w:val="left"/>
                    <w:jc w:val="center"/>
                  </w:pPr>
                  <w:r>
                    <w:rPr>
                      <w:b/>
                      <w:bCs/>
                    </w:rPr>
                    <w:t xml:space="preserve">0.138</w:t>
                  </w:r>
                </w:p>
              </w:tc>
              <w:tc>
                <w:tcPr/>
                <w:p>
                  <w:pPr>
                    <w:pStyle w:val="Compact"/>
                    <w:jc w:val="left"/>
                    <w:jc w:val="center"/>
                  </w:pPr>
                  <w:r>
                    <w:rPr>
                      <w:b/>
                      <w:bCs/>
                    </w:rPr>
                    <w:t xml:space="preserve">1.378</w:t>
                  </w:r>
                </w:p>
              </w:tc>
              <w:tc>
                <w:tcPr/>
                <w:p>
                  <w:pPr>
                    <w:pStyle w:val="Compact"/>
                    <w:jc w:val="left"/>
                    <w:jc w:val="center"/>
                  </w:pPr>
                  <w:r>
                    <w:rPr>
                      <w:b/>
                      <w:bCs/>
                    </w:rPr>
                    <w:t xml:space="preserve">1.208</w:t>
                  </w:r>
                </w:p>
              </w:tc>
            </w:tr>
            <w:tr>
              <w:tc>
                <w:tcPr/>
                <w:p>
                  <w:pPr>
                    <w:pStyle w:val="Compact"/>
                    <w:jc w:val="left"/>
                    <w:jc w:val="center"/>
                  </w:pPr>
                  <w:r>
                    <w:rPr>
                      <w:b/>
                      <w:bCs/>
                    </w:rPr>
                    <w:t xml:space="preserve">Anxiety</w:t>
                  </w:r>
                </w:p>
              </w:tc>
              <w:tc>
                <w:tcPr/>
                <w:p>
                  <w:pPr>
                    <w:pStyle w:val="Compact"/>
                    <w:jc w:val="left"/>
                    <w:jc w:val="center"/>
                  </w:pPr>
                  <w:r>
                    <w:rPr>
                      <w:b/>
                      <w:bCs/>
                    </w:rPr>
                    <w:t xml:space="preserve">-0.064</w:t>
                  </w:r>
                </w:p>
              </w:tc>
              <w:tc>
                <w:tcPr/>
                <w:p>
                  <w:pPr>
                    <w:pStyle w:val="Compact"/>
                    <w:jc w:val="left"/>
                    <w:jc w:val="center"/>
                  </w:pPr>
                  <w:r>
                    <w:rPr>
                      <w:b/>
                      <w:bCs/>
                    </w:rPr>
                    <w:t xml:space="preserve">-0.107</w:t>
                  </w:r>
                </w:p>
              </w:tc>
              <w:tc>
                <w:tcPr/>
                <w:p>
                  <w:pPr>
                    <w:pStyle w:val="Compact"/>
                    <w:jc w:val="left"/>
                    <w:jc w:val="center"/>
                  </w:pPr>
                  <w:r>
                    <w:rPr>
                      <w:b/>
                      <w:bCs/>
                    </w:rPr>
                    <w:t xml:space="preserve">-0.02</w:t>
                  </w:r>
                </w:p>
              </w:tc>
              <w:tc>
                <w:tcPr/>
                <w:p>
                  <w:pPr>
                    <w:pStyle w:val="Compact"/>
                    <w:jc w:val="left"/>
                    <w:jc w:val="center"/>
                  </w:pPr>
                  <w:r>
                    <w:rPr>
                      <w:b/>
                      <w:bCs/>
                    </w:rPr>
                    <w:t xml:space="preserve">1.312</w:t>
                  </w:r>
                </w:p>
              </w:tc>
              <w:tc>
                <w:tcPr/>
                <w:p>
                  <w:pPr>
                    <w:pStyle w:val="Compact"/>
                    <w:jc w:val="left"/>
                    <w:jc w:val="center"/>
                  </w:pPr>
                  <w:r>
                    <w:rPr>
                      <w:b/>
                      <w:bCs/>
                    </w:rPr>
                    <w:t xml:space="preserve">1.159</w:t>
                  </w:r>
                </w:p>
              </w:tc>
            </w:tr>
            <w:tr>
              <w:tc>
                <w:tcPr/>
                <w:p>
                  <w:pPr>
                    <w:pStyle w:val="Compact"/>
                    <w:jc w:val="left"/>
                    <w:jc w:val="center"/>
                  </w:pPr>
                  <w:r>
                    <w:rPr>
                      <w:b/>
                      <w:bCs/>
                    </w:rPr>
                    <w:t xml:space="preserve">Depression</w:t>
                  </w:r>
                </w:p>
              </w:tc>
              <w:tc>
                <w:tcPr/>
                <w:p>
                  <w:pPr>
                    <w:pStyle w:val="Compact"/>
                    <w:jc w:val="left"/>
                    <w:jc w:val="center"/>
                  </w:pPr>
                  <w:r>
                    <w:rPr>
                      <w:b/>
                      <w:bCs/>
                    </w:rPr>
                    <w:t xml:space="preserve">-0.057</w:t>
                  </w:r>
                </w:p>
              </w:tc>
              <w:tc>
                <w:tcPr/>
                <w:p>
                  <w:pPr>
                    <w:pStyle w:val="Compact"/>
                    <w:jc w:val="left"/>
                    <w:jc w:val="center"/>
                  </w:pPr>
                  <w:r>
                    <w:rPr>
                      <w:b/>
                      <w:bCs/>
                    </w:rPr>
                    <w:t xml:space="preserve">-0.103</w:t>
                  </w:r>
                </w:p>
              </w:tc>
              <w:tc>
                <w:tcPr/>
                <w:p>
                  <w:pPr>
                    <w:pStyle w:val="Compact"/>
                    <w:jc w:val="left"/>
                    <w:jc w:val="center"/>
                  </w:pPr>
                  <w:r>
                    <w:rPr>
                      <w:b/>
                      <w:bCs/>
                    </w:rPr>
                    <w:t xml:space="preserve">-0.011</w:t>
                  </w:r>
                </w:p>
              </w:tc>
              <w:tc>
                <w:tcPr/>
                <w:p>
                  <w:pPr>
                    <w:pStyle w:val="Compact"/>
                    <w:jc w:val="left"/>
                    <w:jc w:val="center"/>
                  </w:pPr>
                  <w:r>
                    <w:rPr>
                      <w:b/>
                      <w:bCs/>
                    </w:rPr>
                    <w:t xml:space="preserve">1.29</w:t>
                  </w:r>
                </w:p>
              </w:tc>
              <w:tc>
                <w:tcPr/>
                <w:p>
                  <w:pPr>
                    <w:pStyle w:val="Compact"/>
                    <w:jc w:val="left"/>
                    <w:jc w:val="center"/>
                  </w:pPr>
                  <w:r>
                    <w:rPr>
                      <w:b/>
                      <w:bCs/>
                    </w:rPr>
                    <w:t xml:space="preserve">1.116</w:t>
                  </w:r>
                </w:p>
              </w:tc>
            </w:tr>
            <w:tr>
              <w:tc>
                <w:tcPr/>
                <w:p>
                  <w:pPr>
                    <w:pStyle w:val="Compact"/>
                    <w:jc w:val="left"/>
                    <w:jc w:val="center"/>
                  </w:pPr>
                  <w:r>
                    <w:rPr>
                      <w:b/>
                      <w:bCs/>
                    </w:rPr>
                    <w:t xml:space="preserve">Personal Well-being Index</w:t>
                  </w:r>
                </w:p>
              </w:tc>
              <w:tc>
                <w:tcPr/>
                <w:p>
                  <w:pPr>
                    <w:pStyle w:val="Compact"/>
                    <w:jc w:val="left"/>
                    <w:jc w:val="center"/>
                  </w:pPr>
                  <w:r>
                    <w:rPr>
                      <w:b/>
                      <w:bCs/>
                    </w:rPr>
                    <w:t xml:space="preserve">0.052</w:t>
                  </w:r>
                </w:p>
              </w:tc>
              <w:tc>
                <w:tcPr/>
                <w:p>
                  <w:pPr>
                    <w:pStyle w:val="Compact"/>
                    <w:jc w:val="left"/>
                    <w:jc w:val="center"/>
                  </w:pPr>
                  <w:r>
                    <w:rPr>
                      <w:b/>
                      <w:bCs/>
                    </w:rPr>
                    <w:t xml:space="preserve">0.011</w:t>
                  </w:r>
                </w:p>
              </w:tc>
              <w:tc>
                <w:tcPr/>
                <w:p>
                  <w:pPr>
                    <w:pStyle w:val="Compact"/>
                    <w:jc w:val="left"/>
                    <w:jc w:val="center"/>
                  </w:pPr>
                  <w:r>
                    <w:rPr>
                      <w:b/>
                      <w:bCs/>
                    </w:rPr>
                    <w:t xml:space="preserve">0.094</w:t>
                  </w:r>
                </w:p>
              </w:tc>
              <w:tc>
                <w:tcPr/>
                <w:p>
                  <w:pPr>
                    <w:pStyle w:val="Compact"/>
                    <w:jc w:val="left"/>
                    <w:jc w:val="center"/>
                  </w:pPr>
                  <w:r>
                    <w:rPr>
                      <w:b/>
                      <w:bCs/>
                    </w:rPr>
                    <w:t xml:space="preserve">1.274</w:t>
                  </w:r>
                </w:p>
              </w:tc>
              <w:tc>
                <w:tcPr/>
                <w:p>
                  <w:pPr>
                    <w:pStyle w:val="Compact"/>
                    <w:jc w:val="left"/>
                    <w:jc w:val="center"/>
                  </w:pPr>
                  <w:r>
                    <w:rPr>
                      <w:b/>
                      <w:bCs/>
                    </w:rPr>
                    <w:t xml:space="preserve">1.11</w:t>
                  </w:r>
                </w:p>
              </w:tc>
            </w:tr>
            <w:tr>
              <w:tc>
                <w:tcPr/>
                <w:p>
                  <w:pPr>
                    <w:pStyle w:val="Compact"/>
                    <w:jc w:val="left"/>
                    <w:jc w:val="center"/>
                  </w:pPr>
                  <w:r>
                    <w:t xml:space="preserve">Rumination</w:t>
                  </w:r>
                </w:p>
              </w:tc>
              <w:tc>
                <w:tcPr/>
                <w:p>
                  <w:pPr>
                    <w:pStyle w:val="Compact"/>
                    <w:jc w:val="left"/>
                    <w:jc w:val="center"/>
                  </w:pPr>
                  <w:r>
                    <w:t xml:space="preserve">-0.04</w:t>
                  </w:r>
                </w:p>
              </w:tc>
              <w:tc>
                <w:tcPr/>
                <w:p>
                  <w:pPr>
                    <w:pStyle w:val="Compact"/>
                    <w:jc w:val="left"/>
                    <w:jc w:val="center"/>
                  </w:pPr>
                  <w:r>
                    <w:t xml:space="preserve">-0.091</w:t>
                  </w:r>
                </w:p>
              </w:tc>
              <w:tc>
                <w:tcPr/>
                <w:p>
                  <w:pPr>
                    <w:pStyle w:val="Compact"/>
                    <w:jc w:val="left"/>
                    <w:jc w:val="center"/>
                  </w:pPr>
                  <w:r>
                    <w:t xml:space="preserve">0.01</w:t>
                  </w:r>
                </w:p>
              </w:tc>
              <w:tc>
                <w:tcPr/>
                <w:p>
                  <w:pPr>
                    <w:pStyle w:val="Compact"/>
                    <w:jc w:val="left"/>
                    <w:jc w:val="center"/>
                  </w:pPr>
                  <w:r>
                    <w:t xml:space="preserve">1.233</w:t>
                  </w:r>
                </w:p>
              </w:tc>
              <w:tc>
                <w:tcPr/>
                <w:p>
                  <w:pPr>
                    <w:pStyle w:val="Compact"/>
                    <w:jc w:val="left"/>
                    <w:jc w:val="center"/>
                  </w:pPr>
                  <w:r>
                    <w:t xml:space="preserve">1</w:t>
                  </w:r>
                </w:p>
              </w:tc>
            </w:tr>
            <w:tr>
              <w:tc>
                <w:tcPr/>
                <w:p>
                  <w:pPr>
                    <w:pStyle w:val="Compact"/>
                    <w:jc w:val="left"/>
                    <w:jc w:val="center"/>
                  </w:pPr>
                  <w:r>
                    <w:t xml:space="preserve">Hours of Exercise (log)</w:t>
                  </w:r>
                </w:p>
              </w:tc>
              <w:tc>
                <w:tcPr/>
                <w:p>
                  <w:pPr>
                    <w:pStyle w:val="Compact"/>
                    <w:jc w:val="left"/>
                    <w:jc w:val="center"/>
                  </w:pPr>
                  <w:r>
                    <w:t xml:space="preserve">-0.032</w:t>
                  </w:r>
                </w:p>
              </w:tc>
              <w:tc>
                <w:tcPr/>
                <w:p>
                  <w:pPr>
                    <w:pStyle w:val="Compact"/>
                    <w:jc w:val="left"/>
                    <w:jc w:val="center"/>
                  </w:pPr>
                  <w:r>
                    <w:t xml:space="preserve">-0.088</w:t>
                  </w:r>
                </w:p>
              </w:tc>
              <w:tc>
                <w:tcPr/>
                <w:p>
                  <w:pPr>
                    <w:pStyle w:val="Compact"/>
                    <w:jc w:val="left"/>
                    <w:jc w:val="center"/>
                  </w:pPr>
                  <w:r>
                    <w:t xml:space="preserve">0.024</w:t>
                  </w:r>
                </w:p>
              </w:tc>
              <w:tc>
                <w:tcPr/>
                <w:p>
                  <w:pPr>
                    <w:pStyle w:val="Compact"/>
                    <w:jc w:val="left"/>
                    <w:jc w:val="center"/>
                  </w:pPr>
                  <w:r>
                    <w:t xml:space="preserve">1.204</w:t>
                  </w:r>
                </w:p>
              </w:tc>
              <w:tc>
                <w:tcPr/>
                <w:p>
                  <w:pPr>
                    <w:pStyle w:val="Compact"/>
                    <w:jc w:val="left"/>
                    <w:jc w:val="center"/>
                  </w:pPr>
                  <w:r>
                    <w:t xml:space="preserve">1</w:t>
                  </w:r>
                </w:p>
              </w:tc>
            </w:tr>
            <w:tr>
              <w:tc>
                <w:tcPr/>
                <w:p>
                  <w:pPr>
                    <w:pStyle w:val="Compact"/>
                    <w:jc w:val="left"/>
                    <w:jc w:val="center"/>
                  </w:pPr>
                  <w:r>
                    <w:t xml:space="preserve">Life Satisfaction</w:t>
                  </w:r>
                </w:p>
              </w:tc>
              <w:tc>
                <w:tcPr/>
                <w:p>
                  <w:pPr>
                    <w:pStyle w:val="Compact"/>
                    <w:jc w:val="left"/>
                    <w:jc w:val="center"/>
                  </w:pPr>
                  <w:r>
                    <w:t xml:space="preserve">0.044</w:t>
                  </w:r>
                </w:p>
              </w:tc>
              <w:tc>
                <w:tcPr/>
                <w:p>
                  <w:pPr>
                    <w:pStyle w:val="Compact"/>
                    <w:jc w:val="left"/>
                    <w:jc w:val="center"/>
                  </w:pPr>
                  <w:r>
                    <w:t xml:space="preserve">0</w:t>
                  </w:r>
                </w:p>
              </w:tc>
              <w:tc>
                <w:tcPr/>
                <w:p>
                  <w:pPr>
                    <w:pStyle w:val="Compact"/>
                    <w:jc w:val="left"/>
                    <w:jc w:val="center"/>
                  </w:pPr>
                  <w:r>
                    <w:t xml:space="preserve">0.088</w:t>
                  </w:r>
                </w:p>
              </w:tc>
              <w:tc>
                <w:tcPr/>
                <w:p>
                  <w:pPr>
                    <w:pStyle w:val="Compact"/>
                    <w:jc w:val="left"/>
                    <w:jc w:val="center"/>
                  </w:pPr>
                  <w:r>
                    <w:t xml:space="preserve">1.247</w:t>
                  </w:r>
                </w:p>
              </w:tc>
              <w:tc>
                <w:tcPr/>
                <w:p>
                  <w:pPr>
                    <w:pStyle w:val="Compact"/>
                    <w:jc w:val="left"/>
                    <w:jc w:val="center"/>
                  </w:pPr>
                  <w:r>
                    <w:t xml:space="preserve">1</w:t>
                  </w:r>
                </w:p>
              </w:tc>
            </w:tr>
          </w:tbl>
          <w:bookmarkEnd w:id="37"/>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r>
        <w:t xml:space="preserve"> </w:t>
      </w:r>
      <w:r>
        <w:t xml:space="preserve">- Social Belonging: 0.125(0.064,0.186); on the original scale, 0.136 (0.07,0.203). E‑value bound = 1.311</w:t>
      </w:r>
      <w:r>
        <w:t xml:space="preserve"> </w:t>
      </w:r>
      <w:r>
        <w:t xml:space="preserve">- Neighbourhood Community: 0.119(0.052,0.186); on the original scale, 0.187 (0.082,0.292). E‑value bound = 1.273</w:t>
      </w:r>
      <w:r>
        <w:t xml:space="preserve"> </w:t>
      </w:r>
      <w:r>
        <w:t xml:space="preserve">- Social Support: 0.096(0.032,0.16); on the original scale, 0.107 (0.036,0.179). E‑value bound = 1.203</w:t>
      </w:r>
    </w:p>
    <w:p>
      <w:r>
        <w:br w:type="page"/>
      </w:r>
    </w:p>
    <w:bookmarkEnd w:id="38"/>
    <w:bookmarkStart w:id="41" w:name="heterogeneous-treatment-effects"/>
    <w:p>
      <w:pPr>
        <w:pStyle w:val="Heading3"/>
      </w:pPr>
      <w:r>
        <w:t xml:space="preserve">Heterogeneous Treatment Effects</w:t>
      </w:r>
    </w:p>
    <w:bookmarkStart w:id="39" w:name="rate-autoc-and-rate-qini"/>
    <w:p>
      <w:pPr>
        <w:pStyle w:val="Heading4"/>
      </w:pPr>
      <w:r>
        <w:t xml:space="preserve">RATE AUTOC and RATE Qini</w:t>
      </w:r>
    </w:p>
    <w:bookmarkEnd w:id="39"/>
    <w:bookmarkStart w:id="40" w:name="rate-test"/>
    <w:p>
      <w:pPr>
        <w:pStyle w:val="Heading4"/>
      </w:pPr>
      <w:r>
        <w:t xml:space="preserve">Rate Test</w:t>
      </w:r>
    </w:p>
    <w:p>
      <w:pPr>
        <w:pStyle w:val="FirstParagraph"/>
      </w:pPr>
      <w:r>
        <w:t xml:space="preserve">The RATE metric shows how much extra gain (or avoided loss) we achieve by</w:t>
      </w:r>
      <w:r>
        <w:t xml:space="preserve"> </w:t>
      </w:r>
      <w:r>
        <w:rPr>
          <w:b/>
          <w:bCs/>
        </w:rPr>
        <w:t xml:space="preserve">targeting</w:t>
      </w:r>
      <w:r>
        <w:t xml:space="preserve"> </w:t>
      </w:r>
      <w:r>
        <w:t xml:space="preserve">instead of treating everyone identically.</w:t>
      </w:r>
    </w:p>
    <w:p>
      <w:pPr>
        <w:pStyle w:val="BodyText"/>
      </w:pPr>
      <w:r>
        <w:rPr>
          <w:b/>
          <w:bCs/>
        </w:rPr>
        <w:t xml:space="preserve">Technical note</w:t>
      </w:r>
      <w:r>
        <w:t xml:space="preserve">: In code we always set</w:t>
      </w:r>
      <w:r>
        <w:t xml:space="preserve"> </w:t>
      </w:r>
      <w:r>
        <w:rPr>
          <w:rStyle w:val="VerbatimChar"/>
        </w:rPr>
        <w:t xml:space="preserve">policy = "treat_best"</w:t>
      </w:r>
      <w:r>
        <w:t xml:space="preserve">; for harmful exposures this is interpreted as</w:t>
      </w:r>
      <w:r>
        <w:t xml:space="preserve"> </w:t>
      </w:r>
      <w:r>
        <w:rPr>
          <w:i/>
          <w:iCs/>
        </w:rPr>
        <w:t xml:space="preserve">‘treat-those-most-sensitive’</w:t>
      </w:r>
      <w:r>
        <w:t xml:space="preserve"> </w:t>
      </w:r>
      <w:r>
        <w:t xml:space="preserve">(i.e., prioritise protection or withholding).</w:t>
      </w:r>
    </w:p>
    <w:p>
      <w:pPr>
        <w:pStyle w:val="Compact"/>
        <w:numPr>
          <w:ilvl w:val="0"/>
          <w:numId w:val="1004"/>
        </w:numPr>
      </w:pPr>
      <w:r>
        <w:rPr>
          <w:b/>
          <w:bCs/>
        </w:rPr>
        <w:t xml:space="preserve">Beneficial exposure:</w:t>
      </w:r>
      <w:r>
        <w:t xml:space="preserve"> </w:t>
      </w:r>
      <w:r>
        <w:t xml:space="preserve">we rank by positive CATEs and deliver the exposure to those predicted to</w:t>
      </w:r>
      <w:r>
        <w:t xml:space="preserve"> </w:t>
      </w:r>
      <w:r>
        <w:rPr>
          <w:b/>
          <w:bCs/>
        </w:rPr>
        <w:t xml:space="preserve">benefit most</w:t>
      </w:r>
      <w:r>
        <w:t xml:space="preserve">.</w:t>
      </w:r>
    </w:p>
    <w:p>
      <w:pPr>
        <w:pStyle w:val="Compact"/>
        <w:numPr>
          <w:ilvl w:val="0"/>
          <w:numId w:val="1004"/>
        </w:numPr>
      </w:pPr>
      <w:r>
        <w:rPr>
          <w:b/>
          <w:bCs/>
        </w:rPr>
        <w:t xml:space="preserve">Detrimental exposure:</w:t>
      </w:r>
      <w:r>
        <w:t xml:space="preserve"> </w:t>
      </w:r>
      <w:r>
        <w:t xml:space="preserve">we rank by increasingly</w:t>
      </w:r>
      <w:r>
        <w:t xml:space="preserve"> </w:t>
      </w:r>
      <w:r>
        <w:rPr>
          <w:b/>
          <w:bCs/>
        </w:rPr>
        <w:t xml:space="preserve">positive</w:t>
      </w:r>
      <w:r>
        <w:t xml:space="preserve"> </w:t>
      </w:r>
      <w:r>
        <w:t xml:space="preserve">CATEs (more predicted harm) and identify those who should be protected or withheld from the exposure.</w:t>
      </w:r>
    </w:p>
    <w:p>
      <w:pPr>
        <w:pStyle w:val="FirstParagraph"/>
      </w:pPr>
      <w:r>
        <w:t xml:space="preserve">Either way, a larger</w:t>
      </w:r>
      <w:r>
        <w:t xml:space="preserve"> </w:t>
      </w:r>
      <w:r>
        <w:rPr>
          <w:b/>
          <w:bCs/>
        </w:rPr>
        <w:t xml:space="preserve">absolute</w:t>
      </w:r>
      <w:r>
        <w:t xml:space="preserve"> </w:t>
      </w:r>
      <w:r>
        <w:t xml:space="preserve">RATE shows that a CATE-based targeting rule</w:t>
      </w:r>
      <w:r>
        <w:t xml:space="preserve"> </w:t>
      </w:r>
      <w:r>
        <w:t xml:space="preserve">‘outperforms’</w:t>
      </w:r>
      <w:r>
        <w:t xml:space="preserve"> </w:t>
      </w:r>
      <w:r>
        <w:t xml:space="preserve">a one-size-fits-all policy—by boosting outcomes for beneficial exposures or – in the case where we are explore sensitivity to harm – evaluating increasing harms for detrimental ones.</w:t>
      </w:r>
    </w:p>
    <w:p>
      <w:pPr>
        <w:pStyle w:val="BodyText"/>
      </w:pPr>
      <w:r>
        <w:t xml:space="preserve">Recall we flipped Anxiety, Depression, Rumination so</w:t>
      </w:r>
      <w:r>
        <w:t xml:space="preserve"> </w:t>
      </w:r>
      <w:r>
        <w:rPr>
          <w:b/>
          <w:bCs/>
        </w:rPr>
        <w:t xml:space="preserve">‘higher’</w:t>
      </w:r>
      <w:r>
        <w:rPr>
          <w:b/>
          <w:bCs/>
        </w:rPr>
        <w:t xml:space="preserve"> </w:t>
      </w:r>
      <w:r>
        <w:rPr>
          <w:b/>
          <w:bCs/>
        </w:rPr>
        <w:t xml:space="preserve">always tracks the analysis goal: higher = more benefit for beneficial exposures, higher = more harm for detrimental exposures.</w:t>
      </w:r>
    </w:p>
    <w:p>
      <w:pPr>
        <w:pStyle w:val="BodyText"/>
      </w:pPr>
      <w:r>
        <w:t xml:space="preserve">Because we test several outcomes, RATE</w:t>
      </w:r>
      <w:r>
        <w:t xml:space="preserve"> </w:t>
      </w:r>
      <w:r>
        <w:rPr>
          <w:i/>
          <w:iCs/>
        </w:rPr>
        <w:t xml:space="preserve">p</w:t>
      </w:r>
      <w:r>
        <w:t xml:space="preserve">-values are adjusted with Benjamini–Hochberg false-discovery-rate adjustment (q = 0.1) before we decide whether heterogeneity is actionable.</w:t>
      </w:r>
    </w:p>
    <w:bookmarkEnd w:id="40"/>
    <w:bookmarkEnd w:id="41"/>
    <w:bookmarkStart w:id="43"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w:r>
        <w:t xml:space="preserve">(x) 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We treated the RATE analysis as exploratory. All 12 outcomes were prespecified. To flag promising signals we controlled the false discovery rate at q=0.20.</w:t>
      </w:r>
    </w:p>
    <w:p>
      <w:pPr>
        <w:pStyle w:val="BodyText"/>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p>
      <w:pPr>
        <w:pStyle w:val="BodyText"/>
      </w:pPr>
      <w:r>
        <w:t xml:space="preserve">Refer to</w:t>
      </w:r>
      <w:r>
        <w:t xml:space="preserve"> </w:t>
      </w:r>
      <w:hyperlink w:anchor="appendix-cate-validation">
        <w:r>
          <w:rPr>
            <w:rStyle w:val="Hyperlink"/>
          </w:rPr>
          <w:t xml:space="preserve">Appendix E</w:t>
        </w:r>
      </w:hyperlink>
      <w:r>
        <w:t xml:space="preserve"> </w:t>
      </w:r>
      <w:r>
        <w:t xml:space="preserve">for details.</w:t>
      </w:r>
    </w:p>
    <w:bookmarkStart w:id="42" w:name="rate-autoc-results"/>
    <w:p>
      <w:pPr>
        <w:pStyle w:val="Heading5"/>
      </w:pPr>
      <w:r>
        <w:t xml:space="preserve">RATE AUTOC Results</w:t>
      </w:r>
    </w:p>
    <w:bookmarkEnd w:id="42"/>
    <w:bookmarkEnd w:id="43"/>
    <w:bookmarkStart w:id="49"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 We treated the RATE analysis as exploratory. All 12 outcomes were prespecified. To flag promising signals we controlled the false discovery rate at q=0.20.</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0.018, 0.112)) show robust heterogeneity.</w:t>
      </w:r>
    </w:p>
    <w:p>
      <w:pPr>
        <w:pStyle w:val="BodyText"/>
      </w:pPr>
      <w:r>
        <w:t xml:space="preserve">For outcomes with adjusted p-values not meeting the FDR threshold of q = 0.20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47" w:name="fig-rate-1"/>
          <w:p>
            <w:pPr>
              <w:pStyle w:val="Compact"/>
              <w:jc w:val="center"/>
            </w:pPr>
            <w:r>
              <w:drawing>
                <wp:inline>
                  <wp:extent cx="5334000" cy="9482666"/>
                  <wp:effectExtent b="0" l="0" r="0" t="0"/>
                  <wp:docPr descr="" title="" id="45" name="Picture"/>
                  <a:graphic>
                    <a:graphicData uri="http://schemas.openxmlformats.org/drawingml/2006/picture">
                      <pic:pic>
                        <pic:nvPicPr>
                          <pic:cNvPr descr="initial_quarto_document_files/figure-docx/fig-rate-1-1.png" id="46" name="Picture"/>
                          <pic:cNvPicPr>
                            <a:picLocks noChangeArrowheads="1" noChangeAspect="1"/>
                          </pic:cNvPicPr>
                        </pic:nvPicPr>
                        <pic:blipFill>
                          <a:blip r:embed="rId44"/>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RATE AUTOC Graphs</w:t>
            </w:r>
          </w:p>
          <w:bookmarkEnd w:id="47"/>
        </w:tc>
      </w:tr>
    </w:tbl>
    <w:p>
      <w:pPr>
        <w:pStyle w:val="BodyText"/>
      </w:pPr>
      <w:hyperlink w:anchor="fig-rate-1">
        <w:r>
          <w:rPr>
            <w:rStyle w:val="Hyperlink"/>
          </w:rPr>
          <w:t xml:space="preserve">Figure 2</w:t>
        </w:r>
      </w:hyperlink>
      <w:r>
        <w:t xml:space="preserve"> </w:t>
      </w:r>
      <w:r>
        <w:t xml:space="preserve">presents the RATE AUTOC curve for Hours of Exercise (log)</w:t>
      </w:r>
    </w:p>
    <w:bookmarkStart w:id="48" w:name="rate-qini-results"/>
    <w:p>
      <w:pPr>
        <w:pStyle w:val="Heading5"/>
      </w:pPr>
      <w:r>
        <w:t xml:space="preserve">RATE Qini Results</w:t>
      </w:r>
    </w:p>
    <w:bookmarkEnd w:id="48"/>
    <w:bookmarkEnd w:id="49"/>
    <w:bookmarkStart w:id="67"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 We treated the RATE analysis as exploratory. All 12 outcomes were prespecified. To flag promising signals we controlled the false discovery rate at q=0.20.</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0.002, 0.038)) show robust heterogeneity.</w:t>
      </w:r>
    </w:p>
    <w:p>
      <w:pPr>
        <w:pStyle w:val="BodyText"/>
      </w:pPr>
      <w:r>
        <w:t xml:space="preserve">Negative RATE estimates for: Neighbourhood Community.</w:t>
      </w:r>
    </w:p>
    <w:p>
      <w:pPr>
        <w:pStyle w:val="BodyText"/>
      </w:pPr>
      <w:r>
        <w:t xml:space="preserve">Estimates (Neighbourhood Community: -0.026 (95% CI -0.042, -0.010)) caution against CATE prioritisation.</w:t>
      </w:r>
    </w:p>
    <w:p>
      <w:pPr>
        <w:pStyle w:val="BodyText"/>
      </w:pPr>
      <w:r>
        <w:t xml:space="preserve">For outcomes with adjusted p-values not meeting the FDR threshold of q = 0.20 (Hours of Exercise (log), Personal Well-being Index, Anxiety, Self Esteem, Social Support, Life Satisfaction, Social Belonging, Rumination, Meaning: Purpose, Depression), evidence is inconclusive.</w:t>
      </w:r>
    </w:p>
    <w:bookmarkStart w:id="50" w:name="qini-curve-analysis"/>
    <w:p>
      <w:pPr>
        <w:pStyle w:val="Heading4"/>
      </w:pPr>
      <w:r>
        <w:t xml:space="preserve">QINI Curve Analysis</w:t>
      </w:r>
    </w:p>
    <w:bookmarkEnd w:id="50"/>
    <w:bookmarkStart w:id="56" w:name="qini-curves"/>
    <w:p>
      <w:pPr>
        <w:pStyle w:val="Heading4"/>
      </w:pPr>
      <w:r>
        <w:t xml:space="preserve">Qini Curves</w:t>
      </w:r>
    </w:p>
    <w:p>
      <w:pPr>
        <w:pStyle w:val="FirstParagraph"/>
      </w:pPr>
      <w:r>
        <w:t xml:space="preserve">The Qini curve shows the cumulative</w:t>
      </w:r>
      <w:r>
        <w:t xml:space="preserve"> </w:t>
      </w:r>
      <w:r>
        <w:rPr>
          <w:b/>
          <w:bCs/>
        </w:rPr>
        <w:t xml:space="preserve">gain</w:t>
      </w:r>
      <w:r>
        <w:t xml:space="preserve"> </w:t>
      </w:r>
      <w:r>
        <w:t xml:space="preserve">as we expand a targeting rule down the CATE ranking.</w:t>
      </w:r>
    </w:p>
    <w:p>
      <w:pPr>
        <w:pStyle w:val="Compact"/>
        <w:numPr>
          <w:ilvl w:val="0"/>
          <w:numId w:val="1006"/>
        </w:numPr>
      </w:pPr>
      <w:r>
        <w:rPr>
          <w:b/>
          <w:bCs/>
        </w:rPr>
        <w:t xml:space="preserve">Beneficial exposure:</w:t>
      </w:r>
      <w:r>
        <w:t xml:space="preserve"> </w:t>
      </w:r>
      <w:r>
        <w:t xml:space="preserve">we add individuals from the top positive CATEs downward; the baseline is</w:t>
      </w:r>
      <w:r>
        <w:t xml:space="preserve"> </w:t>
      </w:r>
      <w:r>
        <w:t xml:space="preserve">‘expose everyone.’</w:t>
      </w:r>
    </w:p>
    <w:p>
      <w:pPr>
        <w:pStyle w:val="Compact"/>
        <w:numPr>
          <w:ilvl w:val="0"/>
          <w:numId w:val="1006"/>
        </w:numPr>
      </w:pPr>
      <w:r>
        <w:rPr>
          <w:b/>
          <w:bCs/>
        </w:rPr>
        <w:t xml:space="preserve">Detrimental exposure:</w:t>
      </w:r>
      <w:r>
        <w:t xml:space="preserve"> </w:t>
      </w:r>
      <w:r>
        <w:t xml:space="preserve">we first flip outcome direction (so higher values represent</w:t>
      </w:r>
      <w:r>
        <w:t xml:space="preserve"> </w:t>
      </w:r>
      <w:r>
        <w:rPr>
          <w:b/>
          <w:bCs/>
        </w:rPr>
        <w:t xml:space="preserve">more harm</w:t>
      </w:r>
      <w:r>
        <w:t xml:space="preserve">; see Anxiety, Depression, Rumination), then</w:t>
      </w:r>
      <w:r>
        <w:t xml:space="preserve"> </w:t>
      </w:r>
      <w:r>
        <w:rPr>
          <w:i/>
          <w:iCs/>
        </w:rPr>
        <w:t xml:space="preserve">add</w:t>
      </w:r>
      <w:r>
        <w:t xml:space="preserve"> </w:t>
      </w:r>
      <w:r>
        <w:t xml:space="preserve">the exposure starting with individuals whose CATEs show the</w:t>
      </w:r>
      <w:r>
        <w:t xml:space="preserve"> </w:t>
      </w:r>
      <w:r>
        <w:rPr>
          <w:b/>
          <w:bCs/>
        </w:rPr>
        <w:t xml:space="preserve">greated harm</w:t>
      </w:r>
      <w:r>
        <w:t xml:space="preserve">, gradually including those predicted to be more resistant to harm; the baseline is</w:t>
      </w:r>
      <w:r>
        <w:t xml:space="preserve"> </w:t>
      </w:r>
      <w:r>
        <w:t xml:space="preserve">‘expose everyone.’</w:t>
      </w:r>
      <w:r>
        <w:t xml:space="preserve"> </w:t>
      </w:r>
      <w:r>
        <w:t xml:space="preserve">The curve therefore quantifies the harm by when those most suceptible to harm are exposed.</w:t>
      </w:r>
    </w:p>
    <w:p>
      <w:pPr>
        <w:pStyle w:val="FirstParagraph"/>
      </w:pPr>
      <w:r>
        <w:t xml:space="preserve">If the Qini curve stays above its baseline, a targeted policy increases the outcome more than a one-size-fits-all alternative. (Outcome directions were flipped where needed—Anxiety, Depression, Rumination—so the positively valenced exposures always have positively valanced outcomes and negative exposures always have negatively valenced outcomes.)</w:t>
      </w:r>
    </w:p>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Meaning Sense</w:t>
      </w:r>
      <w:r>
        <w:t xml:space="preserve"> </w:t>
      </w:r>
      <w:r>
        <w:t xml:space="preserve">At 20% spend: CATE prioritisation is beneficial (diff: 0.04 [95% CI: 0.01, 0.07]). At 50 % spend: No reliable benefits from CATE prioritisation.</w:t>
      </w:r>
    </w:p>
    <w:p>
      <w:pPr>
        <w:pStyle w:val="BodyText"/>
      </w:pPr>
      <w:hyperlink w:anchor="tbl-qini">
        <w:r>
          <w:rPr>
            <w:rStyle w:val="Hyperlink"/>
          </w:rPr>
          <w:t xml:space="preserve">Table 2</w:t>
        </w:r>
      </w:hyperlink>
      <w:r>
        <w:t xml:space="preserve"> </w:t>
      </w:r>
      <w:r>
        <w:t xml:space="preserve">presents results for our Qini curve analysis at different spend rates.</w:t>
      </w:r>
    </w:p>
    <w:tbl>
      <w:tblPr>
        <w:tblStyle w:val="Table"/>
        <w:tblW w:type="pct" w:w="5000"/>
        <w:tblLayout w:type="fixed"/>
        <w:tblLook w:firstRow="0" w:lastRow="0" w:firstColumn="0" w:lastColumn="0" w:noHBand="0" w:noVBand="0" w:val="0000"/>
      </w:tblPr>
      <w:tblGrid>
        <w:gridCol w:w="7920"/>
      </w:tblGrid>
      <w:tr>
        <w:tc>
          <w:tcPr/>
          <w:bookmarkStart w:id="51" w:name="tbl-qini"/>
          <w:p>
            <w:pPr>
              <w:jc w:val="center"/>
            </w:pPr>
            <w:pPr>
              <w:jc w:val="start"/>
              <w:spacing w:before="200"/>
              <w:pStyle w:val="ImageCaption"/>
            </w:pPr>
            <w:r>
              <w:t xml:space="preserve">Table 2: Qini Curve Results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Model</w:t>
                  </w:r>
                </w:p>
              </w:tc>
              <w:tc>
                <w:tcPr/>
                <w:p>
                  <w:pPr>
                    <w:pStyle w:val="Compact"/>
                    <w:jc w:val="left"/>
                    <w:jc w:val="center"/>
                  </w:pPr>
                  <w:r>
                    <w:t xml:space="preserve">Spend 20%</w:t>
                  </w:r>
                </w:p>
              </w:tc>
              <w:tc>
                <w:tcPr/>
                <w:p>
                  <w:pPr>
                    <w:pStyle w:val="Compact"/>
                    <w:jc w:val="left"/>
                    <w:jc w:val="center"/>
                  </w:pPr>
                  <w:r>
                    <w:t xml:space="preserve">Spend 50%</w:t>
                  </w:r>
                </w:p>
              </w:tc>
            </w:tr>
            <w:tr>
              <w:tc>
                <w:tcPr/>
                <w:p>
                  <w:pPr>
                    <w:pStyle w:val="Compact"/>
                    <w:jc w:val="left"/>
                    <w:jc w:val="center"/>
                  </w:pPr>
                  <w:r>
                    <w:t xml:space="preserve">Meaning Sense</w:t>
                  </w:r>
                </w:p>
              </w:tc>
              <w:tc>
                <w:tcPr/>
                <w:p>
                  <w:pPr>
                    <w:pStyle w:val="Compact"/>
                    <w:jc w:val="left"/>
                    <w:jc w:val="center"/>
                  </w:pPr>
                  <w:r>
                    <w:rPr>
                      <w:b/>
                      <w:bCs/>
                    </w:rPr>
                    <w:t xml:space="preserve">0.04 [0.01, 0.07]</w:t>
                  </w:r>
                </w:p>
              </w:tc>
              <w:tc>
                <w:tcPr/>
                <w:p>
                  <w:pPr>
                    <w:pStyle w:val="Compact"/>
                    <w:jc w:val="left"/>
                    <w:jc w:val="center"/>
                  </w:pPr>
                  <w:r>
                    <w:t xml:space="preserve">-0.00 [-0.06, 0.05]</w:t>
                  </w:r>
                </w:p>
              </w:tc>
            </w:tr>
          </w:tbl>
          <w:bookmarkEnd w:id="51"/>
          <w:p/>
        </w:tc>
      </w:tr>
    </w:tbl>
    <w:p>
      <w:pPr>
        <w:pStyle w:val="BodyText"/>
      </w:pPr>
      <w:hyperlink w:anchor="fig-qini-1">
        <w:r>
          <w:rPr>
            <w:rStyle w:val="Hyperlink"/>
          </w:rPr>
          <w:t xml:space="preserve">Figure 3</w:t>
        </w:r>
      </w:hyperlink>
      <w:r>
        <w:t xml:space="preserve"> </w:t>
      </w:r>
      <w:r>
        <w:t xml:space="preserve">presents the Qini curve for Meaning: Sense</w:t>
      </w:r>
    </w:p>
    <w:tbl>
      <w:tblPr>
        <w:tblStyle w:val="Table"/>
        <w:tblW w:type="pct" w:w="5000"/>
        <w:tblLayout w:type="fixed"/>
        <w:tblLook w:firstRow="0" w:lastRow="0" w:firstColumn="0" w:lastColumn="0" w:noHBand="0" w:noVBand="0" w:val="0000"/>
      </w:tblPr>
      <w:tblGrid>
        <w:gridCol w:w="7920"/>
      </w:tblGrid>
      <w:tr>
        <w:tc>
          <w:tcPr/>
          <w:bookmarkStart w:id="55" w:name="fig-qini-1"/>
          <w:p>
            <w:pPr>
              <w:pStyle w:val="Compact"/>
              <w:jc w:val="center"/>
            </w:pPr>
            <w:r>
              <w:drawing>
                <wp:inline>
                  <wp:extent cx="5334000" cy="9482666"/>
                  <wp:effectExtent b="0" l="0" r="0" t="0"/>
                  <wp:docPr descr="" title="" id="53" name="Picture"/>
                  <a:graphic>
                    <a:graphicData uri="http://schemas.openxmlformats.org/drawingml/2006/picture">
                      <pic:pic>
                        <pic:nvPicPr>
                          <pic:cNvPr descr="initial_quarto_document_files/figure-docx/fig-qini-1-1.png" id="54" name="Picture"/>
                          <pic:cNvPicPr>
                            <a:picLocks noChangeArrowheads="1" noChangeAspect="1"/>
                          </pic:cNvPicPr>
                        </pic:nvPicPr>
                        <pic:blipFill>
                          <a:blip r:embed="rId5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Qini Graph</w:t>
            </w:r>
          </w:p>
          <w:bookmarkEnd w:id="55"/>
        </w:tc>
      </w:tr>
    </w:tbl>
    <w:p>
      <w:r>
        <w:br w:type="page"/>
      </w:r>
    </w:p>
    <w:bookmarkEnd w:id="56"/>
    <w:bookmarkStart w:id="57" w:name="X2724de7677123d268621246473763e63da6ebb4"/>
    <w:p>
      <w:pPr>
        <w:pStyle w:val="Heading4"/>
      </w:pPr>
      <w:r>
        <w:t xml:space="preserve">Decision Rules (Who is Most Sensitive to Treatment?)</w:t>
      </w:r>
    </w:p>
    <w:bookmarkEnd w:id="57"/>
    <w:bookmarkStart w:id="66" w:name="policy-trees"/>
    <w:p>
      <w:pPr>
        <w:pStyle w:val="Heading4"/>
      </w:pPr>
      <w:r>
        <w:t xml:space="preserve">Policy Trees</w:t>
      </w:r>
    </w:p>
    <w:p>
      <w:pPr>
        <w:pStyle w:val="FirstParagraph"/>
      </w:pPr>
      <w:r>
        <w:t xml:space="preserve">We used policy trees</w:t>
      </w:r>
      <w:r>
        <w:t xml:space="preserve"> </w:t>
      </w:r>
      <w:r>
        <w:t xml:space="preserve">(Athey &amp; Wager, 2021a, 2021b; Sverdrup et al., 2024)</w:t>
      </w:r>
      <w:r>
        <w:t xml:space="preserve"> </w:t>
      </w:r>
      <w:r>
        <w:t xml:space="preserve">to find straightforward</w:t>
      </w:r>
      <w:r>
        <w:t xml:space="preserve"> </w:t>
      </w:r>
      <w:r>
        <w:t xml:space="preserve">‘if-then’</w:t>
      </w:r>
      <w:r>
        <w:t xml:space="preserve"> </w:t>
      </w:r>
      <w:r>
        <w:t xml:space="preserve">rules for who benefits most from treatment, based on participant characteristics. Because we flipped some measures, a higher predicted effect always means greater improvement. Policy trees can uncover small but important subgroups whose treatment responses stand out, even when the overall differences might be modest.</w:t>
      </w:r>
    </w:p>
    <w:tbl>
      <w:tblPr>
        <w:tblStyle w:val="Table"/>
        <w:tblW w:type="pct" w:w="5000"/>
        <w:tblLayout w:type="fixed"/>
        <w:tblLook w:firstRow="0" w:lastRow="0" w:firstColumn="0" w:lastColumn="0" w:noHBand="0" w:noVBand="0" w:val="0000"/>
      </w:tblPr>
      <w:tblGrid>
        <w:gridCol w:w="7920"/>
      </w:tblGrid>
      <w:tr>
        <w:tc>
          <w:tcPr/>
          <w:bookmarkStart w:id="61" w:name="fig-policy-1"/>
          <w:p>
            <w:pPr>
              <w:pStyle w:val="Compact"/>
              <w:jc w:val="center"/>
            </w:pPr>
            <w:r>
              <w:drawing>
                <wp:inline>
                  <wp:extent cx="5334000" cy="9482666"/>
                  <wp:effectExtent b="0" l="0" r="0" t="0"/>
                  <wp:docPr descr="" title="" id="59" name="Picture"/>
                  <a:graphic>
                    <a:graphicData uri="http://schemas.openxmlformats.org/drawingml/2006/picture">
                      <pic:pic>
                        <pic:nvPicPr>
                          <pic:cNvPr descr="initial_quarto_document_files/figure-docx/fig-policy-1-1.png" id="60" name="Picture"/>
                          <pic:cNvPicPr>
                            <a:picLocks noChangeArrowheads="1" noChangeAspect="1"/>
                          </pic:cNvPicPr>
                        </pic:nvPicPr>
                        <pic:blipFill>
                          <a:blip r:embed="rId58"/>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Decision Tree: {glued_name_policy_1}</w:t>
            </w:r>
          </w:p>
          <w:bookmarkEnd w:id="61"/>
        </w:tc>
      </w:tr>
    </w:tbl>
    <w:tbl>
      <w:tblPr>
        <w:tblStyle w:val="Table"/>
        <w:tblW w:type="pct" w:w="5000"/>
        <w:tblLayout w:type="fixed"/>
        <w:tblLook w:firstRow="0" w:lastRow="0" w:firstColumn="0" w:lastColumn="0" w:noHBand="0" w:noVBand="0" w:val="0000"/>
      </w:tblPr>
      <w:tblGrid>
        <w:gridCol w:w="7920"/>
      </w:tblGrid>
      <w:tr>
        <w:tc>
          <w:tcPr/>
          <w:bookmarkStart w:id="65" w:name="fig-policy-2"/>
          <w:p>
            <w:pPr>
              <w:pStyle w:val="Compact"/>
              <w:jc w:val="center"/>
            </w:pPr>
            <w:r>
              <w:drawing>
                <wp:inline>
                  <wp:extent cx="5334000" cy="9482666"/>
                  <wp:effectExtent b="0" l="0" r="0" t="0"/>
                  <wp:docPr descr="" title="" id="63" name="Picture"/>
                  <a:graphic>
                    <a:graphicData uri="http://schemas.openxmlformats.org/drawingml/2006/picture">
                      <pic:pic>
                        <pic:nvPicPr>
                          <pic:cNvPr descr="initial_quarto_document_files/figure-docx/fig-policy-2-1.png" id="64" name="Picture"/>
                          <pic:cNvPicPr>
                            <a:picLocks noChangeArrowheads="1" noChangeAspect="1"/>
                          </pic:cNvPicPr>
                        </pic:nvPicPr>
                        <pic:blipFill>
                          <a:blip r:embed="rId6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Decision Tree: {glued_name_policy_2}</w:t>
            </w:r>
          </w:p>
          <w:bookmarkEnd w:id="65"/>
        </w:tc>
      </w:tr>
    </w:tbl>
    <w:bookmarkEnd w:id="66"/>
    <w:bookmarkEnd w:id="67"/>
    <w:bookmarkStart w:id="68"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Meaning Sense:</w:t>
      </w:r>
    </w:p>
    <w:p>
      <w:pPr>
        <w:pStyle w:val="BodyText"/>
      </w:pPr>
      <w:r>
        <w:t xml:space="preserve">Split 1: Alcohol Intensity ≤ -0.313. Within that subgroup, split 2a: log Hours Commute ≤ -0.496, →</w:t>
      </w:r>
      <w:r>
        <w:t xml:space="preserve"> </w:t>
      </w:r>
      <w:r>
        <w:rPr>
          <w:b/>
          <w:bCs/>
        </w:rPr>
        <w:t xml:space="preserve">Control</w:t>
      </w:r>
      <w:r>
        <w:t xml:space="preserve">; log Hours Commute &gt; -0.496 →</w:t>
      </w:r>
      <w:r>
        <w:t xml:space="preserve"> </w:t>
      </w:r>
      <w:r>
        <w:rPr>
          <w:b/>
          <w:bCs/>
        </w:rPr>
        <w:t xml:space="preserve">Treated</w:t>
      </w:r>
      <w:r>
        <w:t xml:space="preserve">.</w:t>
      </w:r>
    </w:p>
    <w:p>
      <w:pPr>
        <w:pStyle w:val="BodyText"/>
      </w:pPr>
      <w:r>
        <w:t xml:space="preserve">Split 2: Alcohol Intensity &gt; -0.313. Within that subgroup, split 2b: Age ≤ 0.612, →</w:t>
      </w:r>
      <w:r>
        <w:t xml:space="preserve"> </w:t>
      </w:r>
      <w:r>
        <w:rPr>
          <w:b/>
          <w:bCs/>
        </w:rPr>
        <w:t xml:space="preserve">Treated</w:t>
      </w:r>
      <w:r>
        <w:t xml:space="preserve">; Age &gt; 0.612 →</w:t>
      </w:r>
      <w:r>
        <w:t xml:space="preserve"> </w:t>
      </w:r>
      <w:r>
        <w:rPr>
          <w:b/>
          <w:bCs/>
        </w:rPr>
        <w:t xml:space="preserve">Control</w:t>
      </w:r>
      <w:r>
        <w:t xml:space="preserve">.</w:t>
      </w:r>
    </w:p>
    <w:bookmarkEnd w:id="68"/>
    <w:bookmarkEnd w:id="69"/>
    <w:bookmarkStart w:id="75" w:name="discussion"/>
    <w:p>
      <w:pPr>
        <w:pStyle w:val="Heading2"/>
      </w:pPr>
      <w:r>
        <w:t xml:space="preserve">Discussion</w:t>
      </w:r>
    </w:p>
    <w:bookmarkStart w:id="70"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70"/>
    <w:bookmarkStart w:id="71" w:name="author-statement"/>
    <w:p>
      <w:pPr>
        <w:pStyle w:val="Heading3"/>
      </w:pPr>
      <w:r>
        <w:t xml:space="preserve">Author Statement</w:t>
      </w:r>
    </w:p>
    <w:bookmarkEnd w:id="71"/>
    <w:bookmarkStart w:id="72"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72"/>
    <w:bookmarkStart w:id="74"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73">
        <w:r>
          <w:rPr>
            <w:rStyle w:val="Hyperlink"/>
          </w:rPr>
          <w:t xml:space="preserve">OSF link</w:t>
        </w:r>
      </w:hyperlink>
      <w:r>
        <w:t xml:space="preserve">.</w:t>
      </w:r>
    </w:p>
    <w:p>
      <w:r>
        <w:br w:type="page"/>
      </w:r>
    </w:p>
    <w:bookmarkEnd w:id="74"/>
    <w:bookmarkEnd w:id="75"/>
    <w:bookmarkStart w:id="126" w:name="appendix-measures"/>
    <w:p>
      <w:pPr>
        <w:pStyle w:val="Heading2"/>
      </w:pPr>
      <w:r>
        <w:t xml:space="preserve">Appendix A: Measures</w:t>
      </w:r>
    </w:p>
    <w:bookmarkStart w:id="77" w:name="measures"/>
    <w:p>
      <w:pPr>
        <w:pStyle w:val="Heading3"/>
      </w:pPr>
      <w:r>
        <w:t xml:space="preserve">Measures</w:t>
      </w:r>
    </w:p>
    <w:bookmarkStart w:id="76" w:name="baseline-covariate-measures"/>
    <w:p>
      <w:pPr>
        <w:pStyle w:val="Heading4"/>
      </w:pPr>
      <w:r>
        <w:t xml:space="preserve">Baseline Covariate Measures</w:t>
      </w:r>
    </w:p>
    <w:bookmarkEnd w:id="76"/>
    <w:bookmarkEnd w:id="77"/>
    <w:bookmarkStart w:id="109" w:name="baseline-covariates"/>
    <w:p>
      <w:pPr>
        <w:pStyle w:val="Heading3"/>
      </w:pPr>
      <w:r>
        <w:t xml:space="preserve">Baseline Covariates</w:t>
      </w:r>
    </w:p>
    <w:bookmarkStart w:id="78"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78"/>
    <w:bookmarkStart w:id="79"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9"/>
    <w:bookmarkStart w:id="80"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80"/>
    <w:bookmarkStart w:id="81"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81"/>
    <w:bookmarkStart w:id="82"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82"/>
    <w:bookmarkStart w:id="83"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83"/>
    <w:bookmarkStart w:id="84"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84"/>
    <w:bookmarkStart w:id="85"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85"/>
    <w:bookmarkStart w:id="86"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86"/>
    <w:bookmarkStart w:id="87"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87"/>
    <w:bookmarkStart w:id="88"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8"/>
    <w:bookmarkStart w:id="89"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9"/>
    <w:bookmarkStart w:id="90"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90"/>
    <w:bookmarkStart w:id="91"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91"/>
    <w:bookmarkStart w:id="92"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92"/>
    <w:bookmarkStart w:id="93"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93"/>
    <w:bookmarkStart w:id="94"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94"/>
    <w:bookmarkStart w:id="95"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95"/>
    <w:bookmarkStart w:id="96"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96"/>
    <w:bookmarkStart w:id="97"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97"/>
    <w:bookmarkStart w:id="98"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8"/>
    <w:bookmarkStart w:id="99"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9"/>
    <w:bookmarkStart w:id="100"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100"/>
    <w:bookmarkStart w:id="101"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101"/>
    <w:bookmarkStart w:id="102"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102"/>
    <w:bookmarkStart w:id="103"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103"/>
    <w:bookmarkStart w:id="104"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104"/>
    <w:bookmarkStart w:id="105"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105"/>
    <w:bookmarkStart w:id="106"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106"/>
    <w:bookmarkStart w:id="107"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107"/>
    <w:bookmarkStart w:id="108" w:name="exposure-measures"/>
    <w:p>
      <w:pPr>
        <w:pStyle w:val="Heading4"/>
      </w:pPr>
      <w:r>
        <w:t xml:space="preserve">Exposure Measures</w:t>
      </w:r>
    </w:p>
    <w:bookmarkEnd w:id="108"/>
    <w:bookmarkEnd w:id="109"/>
    <w:bookmarkStart w:id="112" w:name="exposure-variable"/>
    <w:p>
      <w:pPr>
        <w:pStyle w:val="Heading3"/>
      </w:pPr>
      <w:r>
        <w:t xml:space="preserve">Exposure Variable</w:t>
      </w:r>
    </w:p>
    <w:bookmarkStart w:id="110"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10"/>
    <w:bookmarkStart w:id="111" w:name="outcome-measures"/>
    <w:p>
      <w:pPr>
        <w:pStyle w:val="Heading4"/>
      </w:pPr>
      <w:r>
        <w:t xml:space="preserve">Outcome Measures</w:t>
      </w:r>
    </w:p>
    <w:bookmarkEnd w:id="111"/>
    <w:bookmarkEnd w:id="112"/>
    <w:bookmarkStart w:id="125" w:name="outcome-variables"/>
    <w:p>
      <w:pPr>
        <w:pStyle w:val="Heading3"/>
      </w:pPr>
      <w:r>
        <w:t xml:space="preserve">Outcome Variables</w:t>
      </w:r>
    </w:p>
    <w:bookmarkStart w:id="113"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13"/>
    <w:bookmarkStart w:id="114"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4"/>
    <w:bookmarkStart w:id="115"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5"/>
    <w:bookmarkStart w:id="116"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16"/>
    <w:bookmarkStart w:id="117"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7"/>
    <w:bookmarkStart w:id="118"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8"/>
    <w:bookmarkStart w:id="119"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9"/>
    <w:bookmarkStart w:id="120"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20"/>
    <w:bookmarkStart w:id="121" w:name="personal-well-being-index"/>
    <w:p>
      <w:pPr>
        <w:pStyle w:val="Heading4"/>
      </w:pPr>
      <w:r>
        <w:t xml:space="preserve">Personal Well Being Index</w:t>
      </w:r>
    </w:p>
    <w:p>
      <w:pPr>
        <w:pStyle w:val="FirstParagraph"/>
      </w:pPr>
      <w:r>
        <w:t xml:space="preserve">no information available for this variable.</w:t>
      </w:r>
    </w:p>
    <w:bookmarkEnd w:id="121"/>
    <w:bookmarkStart w:id="122"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22"/>
    <w:bookmarkStart w:id="123"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23"/>
    <w:bookmarkStart w:id="124"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p>
      <w:r>
        <w:br w:type="page"/>
      </w:r>
    </w:p>
    <w:bookmarkEnd w:id="124"/>
    <w:bookmarkEnd w:id="125"/>
    <w:bookmarkEnd w:id="126"/>
    <w:bookmarkStart w:id="133" w:name="appendix-sample"/>
    <w:p>
      <w:pPr>
        <w:pStyle w:val="Heading2"/>
      </w:pPr>
      <w:r>
        <w:t xml:space="preserve">Appendix B: Sample Characteristics</w:t>
      </w:r>
    </w:p>
    <w:bookmarkStart w:id="128" w:name="sample-statistics-baseline-covariates"/>
    <w:p>
      <w:pPr>
        <w:pStyle w:val="Heading4"/>
      </w:pPr>
      <w:r>
        <w:t xml:space="preserve">Sample Statistics: Baseline Covariates</w:t>
      </w:r>
    </w:p>
    <w:p>
      <w:pPr>
        <w:pStyle w:val="FirstParagraph"/>
      </w:pPr>
      <w:hyperlink w:anchor="tbl-appendix-baseline">
        <w:r>
          <w:rPr>
            <w:rStyle w:val="Hyperlink"/>
          </w:rPr>
          <w:t xml:space="preserve">Table 3</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7" w:name="tbl-appendix-baseline"/>
          <w:p>
            <w:pPr>
              <w:jc w:val="center"/>
            </w:pPr>
            <w:pPr>
              <w:jc w:val="start"/>
              <w:spacing w:before="200"/>
              <w:pStyle w:val="ImageCaption"/>
            </w:pPr>
            <w:r>
              <w:t xml:space="preserve">Table 3: Demographic statistics for New Zealand Attitudes and Values Cohort: {baseline_wave_glued}.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7"/>
          <w:p/>
        </w:tc>
      </w:tr>
    </w:tbl>
    <w:bookmarkEnd w:id="128"/>
    <w:bookmarkStart w:id="130" w:name="appendix-exposure"/>
    <w:p>
      <w:pPr>
        <w:pStyle w:val="Heading3"/>
      </w:pPr>
      <w:r>
        <w:t xml:space="preserve">Sample Statistics: Exposure Variable</w:t>
      </w:r>
    </w:p>
    <w:tbl>
      <w:tblPr>
        <w:tblStyle w:val="Table"/>
        <w:tblW w:type="pct" w:w="5000"/>
        <w:tblLayout w:type="fixed"/>
        <w:tblLook w:firstRow="0" w:lastRow="0" w:firstColumn="0" w:lastColumn="0" w:noHBand="0" w:noVBand="0" w:val="0000"/>
      </w:tblPr>
      <w:tblGrid>
        <w:gridCol w:w="7920"/>
      </w:tblGrid>
      <w:tr>
        <w:tc>
          <w:tcPr/>
          <w:bookmarkStart w:id="129" w:name="tbl-appendix-exposures"/>
          <w:p>
            <w:pPr>
              <w:jc w:val="center"/>
            </w:pPr>
            <w:pPr>
              <w:jc w:val="start"/>
              <w:spacing w:before="200"/>
              <w:pStyle w:val="ImageCaption"/>
            </w:pPr>
            <w:r>
              <w:t xml:space="preserve">Table 4: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9"/>
          <w:p/>
        </w:tc>
      </w:tr>
    </w:tbl>
    <w:p>
      <w:r>
        <w:br w:type="page"/>
      </w:r>
    </w:p>
    <w:bookmarkEnd w:id="130"/>
    <w:bookmarkStart w:id="132" w:name="appendix-outcomes"/>
    <w:p>
      <w:pPr>
        <w:pStyle w:val="Heading3"/>
      </w:pPr>
      <w:r>
        <w:t xml:space="preserve">Sample Statistics: Outcome Variables</w:t>
      </w:r>
    </w:p>
    <w:tbl>
      <w:tblPr>
        <w:tblStyle w:val="Table"/>
        <w:tblW w:type="pct" w:w="5000"/>
        <w:tblLayout w:type="fixed"/>
        <w:tblLook w:firstRow="0" w:lastRow="0" w:firstColumn="0" w:lastColumn="0" w:noHBand="0" w:noVBand="0" w:val="0000"/>
      </w:tblPr>
      <w:tblGrid>
        <w:gridCol w:w="7920"/>
      </w:tblGrid>
      <w:tr>
        <w:tc>
          <w:tcPr/>
          <w:bookmarkStart w:id="131" w:name="tbl-appendix-outcomes"/>
          <w:p>
            <w:pPr>
              <w:jc w:val="center"/>
            </w:pPr>
            <w:pPr>
              <w:jc w:val="start"/>
              <w:spacing w:before="200"/>
              <w:pStyle w:val="ImageCaption"/>
            </w:pPr>
            <w:r>
              <w:t xml:space="preserve">Table 5: Outcome variables measured at</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31"/>
          <w:p/>
        </w:tc>
      </w:tr>
    </w:tbl>
    <w:p>
      <w:r>
        <w:br w:type="page"/>
      </w:r>
    </w:p>
    <w:bookmarkEnd w:id="132"/>
    <w:bookmarkEnd w:id="133"/>
    <w:bookmarkStart w:id="135" w:name="appendix-transition"/>
    <w:p>
      <w:pPr>
        <w:pStyle w:val="Heading2"/>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34" w:name="tbl-transition"/>
          <w:p>
            <w:pPr>
              <w:jc w:val="center"/>
            </w:pPr>
            <w:pPr>
              <w:jc w:val="start"/>
              <w:spacing w:before="200"/>
              <w:pStyle w:val="ImageCaption"/>
            </w:pPr>
            <w:r>
              <w:t xml:space="preserve">Table 6: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34"/>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35"/>
    <w:bookmarkStart w:id="136" w:name="appendix-cate-validation"/>
    <w:p>
      <w:pPr>
        <w:pStyle w:val="Heading2"/>
      </w:pPr>
      <w:r>
        <w:t xml:space="preserve">Appendix D: Approach to Heterogeneity</w:t>
      </w:r>
    </w:p>
    <w:bookmarkEnd w:id="136"/>
    <w:bookmarkStart w:id="148" w:name="X62351408d2378fa6efef10f54e1ac3a8a436327"/>
    <w:p>
      <w:pPr>
        <w:pStyle w:val="Heading2"/>
      </w:pPr>
      <w:r>
        <w:t xml:space="preserve">Appendix X. Estimating and Interpreting Heterogeneous Treatment Effects with</w:t>
      </w:r>
      <w:r>
        <w:t xml:space="preserve"> </w:t>
      </w:r>
      <w:r>
        <w:rPr>
          <w:b/>
          <w:bCs/>
        </w:rPr>
        <w:t xml:space="preserve">grf</w:t>
      </w:r>
    </w:p>
    <w:p>
      <w:pPr>
        <w:pStyle w:val="FirstParagraph"/>
      </w:pPr>
      <w:r>
        <w:t xml:space="preserve">Here we explain a heterogeneous‐treatment‐effect (HTE) analysis using causal forests</w:t>
      </w:r>
      <w:r>
        <w:t xml:space="preserve"> </w:t>
      </w:r>
      <w:r>
        <w:t xml:space="preserve">(Tibshirani et al., 2024)</w:t>
      </w:r>
      <w:r>
        <w:t xml:space="preserve">. In our workflow, we move from the average treatment effect (ATE) to individualised effects, quantify the practical value of targeting, and finish with interpretable decision rules.</w:t>
      </w:r>
    </w:p>
    <w:bookmarkStart w:id="137" w:name="average-treatment-effect-ate"/>
    <w:p>
      <w:pPr>
        <w:pStyle w:val="Heading3"/>
      </w:pPr>
      <w:r>
        <w:t xml:space="preserve">1 Average Treatment Effect (ATE)</w:t>
      </w:r>
    </w:p>
    <w:p>
      <w:pPr>
        <w:pStyle w:val="FirstParagraph"/>
      </w:pPr>
      <w:r>
        <w:t xml:space="preserve">The ATE answers:</w:t>
      </w:r>
      <w:r>
        <w:t xml:space="preserve"> </w:t>
      </w:r>
      <w:r>
        <w:rPr>
          <w:i/>
          <w:iCs/>
        </w:rPr>
        <w:t xml:space="preserve">‘What would happen, on average, if everyone received treatment versus no one?’</w:t>
      </w:r>
    </w:p>
    <w:p>
      <w:pPr>
        <w:pStyle w:val="BodyText"/>
      </w:pPr>
      <m:oMathPara>
        <m:oMathParaPr>
          <m:jc m:val="center"/>
        </m:oMathParaPr>
        <m:oMath>
          <m:r>
            <m:rPr>
              <m:nor/>
              <m:sty m:val="p"/>
            </m:rPr>
            <m:t>ATE</m:t>
          </m:r>
          <m:r>
            <m:rPr>
              <m:sty m:val="p"/>
            </m:rPr>
            <m:t>=</m:t>
          </m:r>
          <m:r>
            <m:t>E</m:t>
          </m:r>
          <m:d>
            <m:dPr>
              <m:begChr m:val="["/>
              <m:sepChr m:val=""/>
              <m:endChr m:val="]"/>
              <m:grow/>
            </m:dPr>
            <m:e>
              <m:r>
                <m:t>Y</m:t>
              </m:r>
              <m:d>
                <m:dPr>
                  <m:begChr m:val="("/>
                  <m:sepChr m:val=""/>
                  <m:endChr m:val=")"/>
                  <m:grow/>
                </m:dPr>
                <m:e>
                  <m:r>
                    <m:t>1</m:t>
                  </m:r>
                </m:e>
              </m:d>
              <m:r>
                <m:rPr>
                  <m:sty m:val="p"/>
                </m:rPr>
                <m:t>−</m:t>
              </m:r>
              <m:r>
                <m:t>Y</m:t>
              </m:r>
              <m:d>
                <m:dPr>
                  <m:begChr m:val="("/>
                  <m:sepChr m:val=""/>
                  <m:endChr m:val=")"/>
                  <m:grow/>
                </m:dPr>
                <m:e>
                  <m:r>
                    <m:t>0</m:t>
                  </m:r>
                </m:e>
              </m:d>
            </m:e>
          </m:d>
          <m:r>
            <m:rPr>
              <m:sty m:val="p"/>
            </m:rPr>
            <m:t>.</m:t>
          </m:r>
        </m:oMath>
      </m:oMathPara>
    </w:p>
    <w:p>
      <w:pPr>
        <w:pStyle w:val="FirstParagraph"/>
      </w:pPr>
      <w:r>
        <w:t xml:space="preserve">Using the</w:t>
      </w:r>
      <w:r>
        <w:t xml:space="preserve"> </w:t>
      </w:r>
      <w:r>
        <w:rPr>
          <w:rStyle w:val="VerbatimChar"/>
        </w:rPr>
        <w:t xml:space="preserve">grf</w:t>
      </w:r>
      <w:r>
        <w:t xml:space="preserve"> </w:t>
      </w:r>
      <w:r>
        <w:t xml:space="preserve">package, we estimate the ATE doubly-robustly. Because we analyse several outcomes, we adjust ATE</w:t>
      </w:r>
      <w:r>
        <w:t xml:space="preserve"> </w:t>
      </w:r>
      <w:r>
        <w:rPr>
          <w:i/>
          <w:iCs/>
        </w:rPr>
        <w:t xml:space="preserve">p</w:t>
      </w:r>
      <w:r>
        <w:t xml:space="preserve">-values with bonferroni (</w:t>
      </w:r>
      <m:oMath>
        <m:r>
          <m:t>α</m:t>
        </m:r>
      </m:oMath>
      <w:r>
        <w:t xml:space="preserve"> </w:t>
      </w:r>
      <w:r>
        <w:t xml:space="preserve">= 0.05) to control the family-wise error rate.</w:t>
      </w:r>
    </w:p>
    <w:bookmarkEnd w:id="137"/>
    <w:bookmarkStart w:id="138" w:name="X74051c5f78b7bb9c75ea4ed040dc30ae9074046"/>
    <w:p>
      <w:pPr>
        <w:pStyle w:val="Heading3"/>
      </w:pPr>
      <w:r>
        <w:t xml:space="preserve">2 Do Effects Vary? Formal Test of Heterogeneity</w:t>
      </w:r>
    </w:p>
    <w:p>
      <w:pPr>
        <w:pStyle w:val="FirstParagraph"/>
      </w:pPr>
      <w:r>
        <w:t xml:space="preserve">Define the conditional average treatment effect (CATE)</w:t>
      </w:r>
    </w:p>
    <w:p>
      <w:pPr>
        <w:pStyle w:val="BodyText"/>
      </w:pPr>
      <m:oMathPara>
        <m:oMathParaPr>
          <m:jc m:val="center"/>
        </m:oMathParaPr>
        <m:oMath>
          <m:r>
            <m:t>τ</m:t>
          </m:r>
          <m:d>
            <m:dPr>
              <m:begChr m:val="("/>
              <m:sepChr m:val=""/>
              <m:endChr m:val=")"/>
              <m:grow/>
            </m:dPr>
            <m:e>
              <m:r>
                <m:t>x</m:t>
              </m:r>
            </m:e>
          </m:d>
          <m:r>
            <m:rPr>
              <m:sty m:val="p"/>
            </m:rPr>
            <m:t>=</m:t>
          </m:r>
          <m:r>
            <m:t>E</m:t>
          </m:r>
          <m:d>
            <m:dPr>
              <m:begChr m:val="["/>
              <m:sepChr m:val=""/>
              <m:endChr m:val="]"/>
              <m:grow/>
            </m:dPr>
            <m:e>
              <m:r>
                <m:t>Y</m:t>
              </m:r>
              <m:d>
                <m:dPr>
                  <m:begChr m:val="("/>
                  <m:sepChr m:val=""/>
                  <m:endChr m:val=")"/>
                  <m:grow/>
                </m:dPr>
                <m:e>
                  <m:r>
                    <m:t>1</m:t>
                  </m:r>
                </m:e>
              </m:d>
              <m:r>
                <m:rPr>
                  <m:sty m:val="p"/>
                </m:rPr>
                <m:t>−</m:t>
              </m:r>
              <m:r>
                <m:t>Y</m:t>
              </m:r>
              <m:d>
                <m:dPr>
                  <m:begChr m:val="("/>
                  <m:sepChr m:val=""/>
                  <m:endChr m:val=")"/>
                  <m:grow/>
                </m:dPr>
                <m:e>
                  <m:r>
                    <m:t>0</m:t>
                  </m:r>
                </m:e>
              </m:d>
              <m:r>
                <m:rPr>
                  <m:sty m:val="p"/>
                </m:rPr>
                <m:t>∣</m:t>
              </m:r>
              <m:r>
                <m:t>X</m:t>
              </m:r>
              <m:r>
                <m:rPr>
                  <m:sty m:val="p"/>
                </m:rPr>
                <m:t>=</m:t>
              </m:r>
              <m:r>
                <m:t>x</m:t>
              </m:r>
            </m:e>
          </m:d>
          <m:r>
            <m:rPr>
              <m:sty m:val="p"/>
            </m:rPr>
            <m:t>.</m:t>
          </m:r>
        </m:oMath>
      </m:oMathPara>
    </w:p>
    <w:p>
      <w:pPr>
        <w:pStyle w:val="FirstParagraph"/>
      </w:pPr>
      <w:r>
        <w:t xml:space="preserve">If</w:t>
      </w:r>
      <w:r>
        <w:t xml:space="preserve"> </w:t>
      </w:r>
      <m:oMath>
        <m:r>
          <m:t>τ</m:t>
        </m:r>
        <m:d>
          <m:dPr>
            <m:begChr m:val="("/>
            <m:sepChr m:val=""/>
            <m:endChr m:val=")"/>
            <m:grow/>
          </m:dPr>
          <m:e>
            <m:r>
              <m:t>x</m:t>
            </m:r>
          </m:e>
        </m:d>
      </m:oMath>
      <w:r>
        <w:t xml:space="preserve"> </w:t>
      </w:r>
      <w:r>
        <w:t xml:space="preserve">is constant, effects are homogeneous; otherwise they vary. Classical interaction models impose strong forms;</w:t>
      </w:r>
      <w:r>
        <w:t xml:space="preserve"> </w:t>
      </w:r>
      <w:r>
        <w:rPr>
          <w:b/>
          <w:bCs/>
        </w:rPr>
        <w:t xml:space="preserve">grf</w:t>
      </w:r>
      <w:r>
        <w:t xml:space="preserve"> </w:t>
      </w:r>
      <w:r>
        <w:t xml:space="preserve">uses</w:t>
      </w:r>
      <w:r>
        <w:t xml:space="preserve"> </w:t>
      </w:r>
      <w:r>
        <w:rPr>
          <w:i/>
          <w:iCs/>
        </w:rPr>
        <w:t xml:space="preserve">causal forests</w:t>
      </w:r>
      <w:r>
        <w:t xml:space="preserve"> </w:t>
      </w:r>
      <w:r>
        <w:t xml:space="preserve">to discover complex, nonlinear heterogeneity</w:t>
      </w:r>
      <w:r>
        <w:t xml:space="preserve"> </w:t>
      </w:r>
      <w:r>
        <w:t xml:space="preserve">(Wager &amp; Athey, 2018)</w:t>
      </w:r>
      <w:r>
        <w:t xml:space="preserve">. We assess heterogeneity with RATE</w:t>
      </w:r>
      <w:r>
        <w:t xml:space="preserve"> </w:t>
      </w:r>
      <w:r>
        <w:rPr>
          <w:i/>
          <w:iCs/>
        </w:rPr>
        <w:t xml:space="preserve">p</w:t>
      </w:r>
      <w:r>
        <w:t xml:space="preserve">-values corrected via Benjamini–Hochberg false-discovery-rate adjustment (q = 0.1), controlling the false-discovery rate</w:t>
      </w:r>
      <w:r>
        <w:t xml:space="preserve"> </w:t>
      </w:r>
      <w:r>
        <w:t xml:space="preserve">(Benjamini &amp; Hochberg, 1995)</w:t>
      </w:r>
      <w:r>
        <w:t xml:space="preserve">.</w:t>
      </w:r>
    </w:p>
    <w:bookmarkEnd w:id="138"/>
    <w:bookmarkStart w:id="139" w:name="X0386d5c3cf4574d7ef57137e403b19093ef6893"/>
    <w:p>
      <w:pPr>
        <w:pStyle w:val="Heading3"/>
      </w:pPr>
      <w:r>
        <w:t xml:space="preserve">3 Causal Forests for Individualised Estimates</w:t>
      </w:r>
    </w:p>
    <w:p>
      <w:pPr>
        <w:pStyle w:val="FirstParagraph"/>
      </w:pPr>
      <w:r>
        <w:t xml:space="preserve">A causal forest is an ensemble of</w:t>
      </w:r>
      <w:r>
        <w:t xml:space="preserve"> </w:t>
      </w:r>
      <w:r>
        <w:t xml:space="preserve">‘honest’</w:t>
      </w:r>
      <w:r>
        <w:t xml:space="preserve"> </w:t>
      </w:r>
      <w:r>
        <w:t xml:space="preserve">causal trees that split on covariates to maximise treated–control contrasts. For each unit</w:t>
      </w:r>
      <w:r>
        <w:t xml:space="preserve"> </w:t>
      </w:r>
      <m:oMath>
        <m:r>
          <m:t>i</m:t>
        </m:r>
      </m:oMath>
      <w:r>
        <w:t xml:space="preserve"> </w:t>
      </w:r>
      <w:r>
        <w:t xml:space="preserve">we obtain</w:t>
      </w:r>
    </w:p>
    <w:p>
      <w:pPr>
        <w:pStyle w:val="BodyText"/>
      </w:pPr>
      <m:oMathPara>
        <m:oMathParaPr>
          <m:jc m:val="center"/>
        </m:oMathParaPr>
        <m:oMath>
          <m:acc>
            <m:accPr>
              <m:chr m:val="̂"/>
            </m:accPr>
            <m:e>
              <m:r>
                <m:t>τ</m:t>
              </m:r>
            </m:e>
          </m:acc>
          <m:d>
            <m:dPr>
              <m:begChr m:val="("/>
              <m:sepChr m:val=""/>
              <m:endChr m:val=")"/>
              <m:grow/>
            </m:dPr>
            <m:e>
              <m:sSub>
                <m:e>
                  <m:r>
                    <m:t>x</m:t>
                  </m:r>
                </m:e>
                <m:sub>
                  <m:r>
                    <m:t>i</m:t>
                  </m:r>
                </m:sub>
              </m:sSub>
            </m:e>
          </m:d>
        </m:oMath>
      </m:oMathPara>
    </w:p>
    <w:p>
      <w:pPr>
        <w:pStyle w:val="FirstParagraph"/>
      </w:pPr>
      <w:r>
        <w:t xml:space="preserve">Strengths are flexibility, orthogonalisation, and per-person estimates.</w:t>
      </w:r>
    </w:p>
    <w:bookmarkEnd w:id="139"/>
    <w:bookmarkStart w:id="140" w:name="built-in-protection-against-over-fitting"/>
    <w:p>
      <w:pPr>
        <w:pStyle w:val="Heading3"/>
      </w:pPr>
      <w:r>
        <w:t xml:space="preserve">4 Built-in Protection Against Over-fitting</w:t>
      </w:r>
    </w:p>
    <w:p>
      <w:pPr>
        <w:pStyle w:val="FirstParagraph"/>
      </w:pPr>
      <w:r>
        <w:t xml:space="preserve">Honesty (split half/estimate half) plus out-of-bag (OOB) predictions yield unbiased</w:t>
      </w:r>
      <w:r>
        <w:t xml:space="preserve"> </w:t>
      </w:r>
      <m:oMath>
        <m:acc>
          <m:accPr>
            <m:chr m:val="̂"/>
          </m:accPr>
          <m:e>
            <m:r>
              <m:t>τ</m:t>
            </m:r>
          </m:e>
        </m:acc>
        <m:d>
          <m:dPr>
            <m:begChr m:val="("/>
            <m:sepChr m:val=""/>
            <m:endChr m:val=")"/>
            <m:grow/>
          </m:dPr>
          <m:e>
            <m:r>
              <m:t>x</m:t>
            </m:r>
          </m:e>
        </m:d>
      </m:oMath>
      <w:r>
        <w:t xml:space="preserve"> </w:t>
      </w:r>
      <w:r>
        <w:t xml:space="preserve">and standard errors without manual hyper-tuning.</w:t>
      </w:r>
    </w:p>
    <w:bookmarkEnd w:id="140"/>
    <w:bookmarkStart w:id="141" w:name="missing-data-handling"/>
    <w:p>
      <w:pPr>
        <w:pStyle w:val="Heading3"/>
      </w:pPr>
      <w:r>
        <w:t xml:space="preserve">5 Missing Data Handling</w:t>
      </w:r>
    </w:p>
    <w:p>
      <w:pPr>
        <w:pStyle w:val="FirstParagraph"/>
      </w:pPr>
      <w:r>
        <w:rPr>
          <w:b/>
          <w:bCs/>
        </w:rPr>
        <w:t xml:space="preserve">grf</w:t>
      </w:r>
      <w:r>
        <w:t xml:space="preserve"> </w:t>
      </w:r>
      <w:r>
        <w:t xml:space="preserve">deploys</w:t>
      </w:r>
      <w:r>
        <w:t xml:space="preserve"> </w:t>
      </w:r>
      <w:r>
        <w:t xml:space="preserve">‘Missing Incorporated in Attributes’</w:t>
      </w:r>
      <w:r>
        <w:t xml:space="preserve"> </w:t>
      </w:r>
      <w:r>
        <w:t xml:space="preserve">(MIA): missingness is a valid split, so cases stay in the analysis – no ad-hoc imputation required.</w:t>
      </w:r>
    </w:p>
    <w:bookmarkEnd w:id="141"/>
    <w:bookmarkStart w:id="142" w:name="X44186ac508152e84a7a3a5e621543dec6ed55f4"/>
    <w:p>
      <w:pPr>
        <w:pStyle w:val="Heading3"/>
      </w:pPr>
      <w:r>
        <w:t xml:space="preserve">6 Testing for</w:t>
      </w:r>
      <w:r>
        <w:t xml:space="preserve"> </w:t>
      </w:r>
      <w:r>
        <w:rPr>
          <w:b/>
          <w:bCs/>
        </w:rPr>
        <w:t xml:space="preserve">Actionable</w:t>
      </w:r>
      <w:r>
        <w:t xml:space="preserve"> </w:t>
      </w:r>
      <w:r>
        <w:t xml:space="preserve">Heterogeneity: the TOC &amp; RATE Metrics</w:t>
      </w:r>
    </w:p>
    <w:p>
      <w:pPr>
        <w:pStyle w:val="FirstParagraph"/>
      </w:pPr>
      <w:r>
        <w:t xml:space="preserve">Ranking units by</w:t>
      </w:r>
      <w:r>
        <w:t xml:space="preserve"> </w:t>
      </w:r>
      <m:oMath>
        <m:acc>
          <m:accPr>
            <m:chr m:val="̂"/>
          </m:accPr>
          <m:e>
            <m:r>
              <m:t>τ</m:t>
            </m:r>
          </m:e>
        </m:acc>
      </m:oMath>
      <w:r>
        <w:t xml:space="preserve"> </w:t>
      </w:r>
      <w:r>
        <w:t xml:space="preserve">defines a</w:t>
      </w:r>
      <w:r>
        <w:t xml:space="preserve"> </w:t>
      </w:r>
      <w:r>
        <w:rPr>
          <w:b/>
          <w:bCs/>
        </w:rPr>
        <w:t xml:space="preserve">Targeting Operator Characteristic</w:t>
      </w:r>
      <w:r>
        <w:t xml:space="preserve"> </w:t>
      </w:r>
      <w:r>
        <w:t xml:space="preserve">(TOC) curve: the cumulative gain from treating the top fraction</w:t>
      </w:r>
      <w:r>
        <w:t xml:space="preserve"> </w:t>
      </w:r>
      <m:oMath>
        <m:r>
          <m:t>q</m:t>
        </m:r>
      </m:oMath>
      <w:r>
        <w:t xml:space="preserve"> </w:t>
      </w:r>
      <w:r>
        <w:t xml:space="preserve">of predicted responders. Two scalar summaries:</w:t>
      </w:r>
    </w:p>
    <w:p>
      <w:pPr>
        <w:pStyle w:val="Compact"/>
        <w:numPr>
          <w:ilvl w:val="0"/>
          <w:numId w:val="1007"/>
        </w:numPr>
      </w:pPr>
      <w:r>
        <w:rPr>
          <w:b/>
          <w:bCs/>
        </w:rPr>
        <w:t xml:space="preserve">RATE AUTOC</w:t>
      </w:r>
      <w:r>
        <w:t xml:space="preserve"> </w:t>
      </w:r>
      <w:r>
        <w:t xml:space="preserve">– area under the entire TOC; emphasises the very highest responders.</w:t>
      </w:r>
    </w:p>
    <w:p>
      <w:pPr>
        <w:pStyle w:val="Compact"/>
        <w:numPr>
          <w:ilvl w:val="0"/>
          <w:numId w:val="1007"/>
        </w:numPr>
      </w:pPr>
      <w:r>
        <w:rPr>
          <w:b/>
          <w:bCs/>
        </w:rPr>
        <w:t xml:space="preserve">RATE Qini</w:t>
      </w:r>
      <w:r>
        <w:t xml:space="preserve"> </w:t>
      </w:r>
      <w:r>
        <w:t xml:space="preserve">– weighted area with weight</w:t>
      </w:r>
      <w:r>
        <w:t xml:space="preserve"> </w:t>
      </w:r>
      <m:oMath>
        <m:r>
          <m:t>q</m:t>
        </m:r>
      </m:oMath>
      <w:r>
        <w:t xml:space="preserve">; rewards sustained gains across larger coverage</w:t>
      </w:r>
      <w:r>
        <w:t xml:space="preserve"> </w:t>
      </w:r>
      <w:r>
        <w:t xml:space="preserve">(Yadlowsky et al., 2021)</w:t>
      </w:r>
      <w:r>
        <w:t xml:space="preserve">.</w:t>
      </w:r>
    </w:p>
    <w:p>
      <w:pPr>
        <w:pStyle w:val="FirstParagraph"/>
      </w:pPr>
      <w:r>
        <w:t xml:space="preserve">Under</w:t>
      </w:r>
      <w:r>
        <w:t xml:space="preserve"> </w:t>
      </w:r>
      <m:oMath>
        <m:sSub>
          <m:e>
            <m:r>
              <m:t>H</m:t>
            </m:r>
          </m:e>
          <m:sub>
            <m:r>
              <m:t>0</m:t>
            </m:r>
          </m:sub>
        </m:sSub>
        <m:r>
          <m:rPr>
            <m:sty m:val="p"/>
          </m:rPr>
          <m:t>:</m:t>
        </m:r>
        <m:r>
          <m:t>τ</m:t>
        </m:r>
        <m:d>
          <m:dPr>
            <m:begChr m:val="("/>
            <m:sepChr m:val=""/>
            <m:endChr m:val=")"/>
            <m:grow/>
          </m:dPr>
          <m:e>
            <m:r>
              <m:t>x</m:t>
            </m:r>
          </m:e>
        </m:d>
      </m:oMath>
      <w:r>
        <w:t xml:space="preserve"> </w:t>
      </w:r>
      <w:r>
        <w:t xml:space="preserve">constant, both equal 0.</w:t>
      </w:r>
      <w:r>
        <w:t xml:space="preserve"> </w:t>
      </w:r>
      <w:r>
        <w:rPr>
          <w:rStyle w:val="VerbatimChar"/>
        </w:rPr>
        <w:t xml:space="preserve">grf::rank_average_treatment_effect()</w:t>
      </w:r>
      <w:r>
        <w:t xml:space="preserve"> </w:t>
      </w:r>
      <w:r>
        <w:t xml:space="preserve">supplies point estimates, standard errors, and</w:t>
      </w:r>
      <w:r>
        <w:t xml:space="preserve"> </w:t>
      </w:r>
      <m:oMath>
        <m:r>
          <m:t>t</m:t>
        </m:r>
      </m:oMath>
      <w:r>
        <w:t xml:space="preserve">-tests.</w:t>
      </w:r>
    </w:p>
    <w:p>
      <w:pPr>
        <w:pStyle w:val="BodyText"/>
      </w:pPr>
      <w:r>
        <w:rPr>
          <w:b/>
          <w:bCs/>
        </w:rPr>
        <w:t xml:space="preserve">Multiplicity control</w:t>
      </w:r>
      <w:r>
        <w:t xml:space="preserve">: We adjust AUTOC and Qini</w:t>
      </w:r>
      <w:r>
        <w:t xml:space="preserve"> </w:t>
      </w:r>
      <w:r>
        <w:rPr>
          <w:i/>
          <w:iCs/>
        </w:rPr>
        <w:t xml:space="preserve">p</w:t>
      </w:r>
      <w:r>
        <w:t xml:space="preserve">-values with Benjamini–Hochberg false-discovery-rate adjustment (q = 0.1) before declaring actionable heterogeneity.</w:t>
      </w:r>
    </w:p>
    <w:p>
      <w:pPr>
        <w:pStyle w:val="BodyText"/>
      </w:pPr>
      <w:r>
        <w:t xml:space="preserve">Here is an</w:t>
      </w:r>
      <w:r>
        <w:t xml:space="preserve"> </w:t>
      </w:r>
      <w:r>
        <w:rPr>
          <w:b/>
          <w:bCs/>
        </w:rPr>
        <w:t xml:space="preserve">interpretation tip</w:t>
      </w:r>
      <w:r>
        <w:t xml:space="preserve">:</w:t>
      </w:r>
    </w:p>
    <w:p>
      <w:pPr>
        <w:pStyle w:val="Compact"/>
        <w:numPr>
          <w:ilvl w:val="0"/>
          <w:numId w:val="1008"/>
        </w:numPr>
      </w:pPr>
      <w:r>
        <w:t xml:space="preserve">AUTOC answers</w:t>
      </w:r>
      <w:r>
        <w:t xml:space="preserve"> </w:t>
      </w:r>
      <w:r>
        <w:rPr>
          <w:i/>
          <w:iCs/>
        </w:rPr>
        <w:t xml:space="preserve">‘How sharply can we prioritise?’</w:t>
      </w:r>
    </w:p>
    <w:p>
      <w:pPr>
        <w:pStyle w:val="Compact"/>
        <w:numPr>
          <w:ilvl w:val="0"/>
          <w:numId w:val="1008"/>
        </w:numPr>
      </w:pPr>
      <w:r>
        <w:t xml:space="preserve">Qini answers</w:t>
      </w:r>
      <w:r>
        <w:t xml:space="preserve"> </w:t>
      </w:r>
      <w:r>
        <w:rPr>
          <w:i/>
          <w:iCs/>
        </w:rPr>
        <w:t xml:space="preserve">‘How valuable is targeting when budgets are modest but not tiny?’</w:t>
      </w:r>
    </w:p>
    <w:bookmarkEnd w:id="142"/>
    <w:bookmarkStart w:id="143" w:name="visualising-policy-value-the-qini-curve"/>
    <w:p>
      <w:pPr>
        <w:pStyle w:val="Heading3"/>
      </w:pPr>
      <w:r>
        <w:t xml:space="preserve">7 Visualising Policy Value: the Qini Curve</w:t>
      </w:r>
    </w:p>
    <w:p>
      <w:pPr>
        <w:pStyle w:val="FirstParagraph"/>
      </w:pPr>
      <w:r>
        <w:t xml:space="preserve">Plotting the Qini curve (cumulative gain vs</w:t>
      </w:r>
      <w:r>
        <w:t xml:space="preserve"> </w:t>
      </w:r>
      <m:oMath>
        <m:r>
          <m:t>q</m:t>
        </m:r>
      </m:oMath>
      <w:r>
        <w:t xml:space="preserve">) reveals where returns plateau. Investigators (and policy audiences) can see at a glance whether benefits concentrate in, say, the top 20 % or persist up to 50 %.</w:t>
      </w:r>
    </w:p>
    <w:bookmarkEnd w:id="143"/>
    <w:bookmarkStart w:id="144" w:name="valid-inference-for-rate-qini"/>
    <w:p>
      <w:pPr>
        <w:pStyle w:val="Heading3"/>
      </w:pPr>
      <w:r>
        <w:t xml:space="preserve">8 Valid Inference for RATE / Qini</w:t>
      </w:r>
    </w:p>
    <w:p>
      <w:pPr>
        <w:pStyle w:val="FirstParagraph"/>
      </w:pPr>
      <w:r>
        <w:t xml:space="preserve">Although OOB predictions are out-of-sample per tree, they inherit forest-level dependence. We use an explicit</w:t>
      </w:r>
      <w:r>
        <w:t xml:space="preserve"> </w:t>
      </w:r>
      <w:r>
        <w:rPr>
          <w:b/>
          <w:bCs/>
        </w:rPr>
        <w:t xml:space="preserve">sample split</w:t>
      </w:r>
      <w:r>
        <w:t xml:space="preserve">:</w:t>
      </w:r>
    </w:p>
    <w:p>
      <w:pPr>
        <w:pStyle w:val="Compact"/>
        <w:numPr>
          <w:ilvl w:val="0"/>
          <w:numId w:val="1009"/>
        </w:numPr>
      </w:pPr>
      <w:r>
        <w:rPr>
          <w:b/>
          <w:bCs/>
        </w:rPr>
        <w:t xml:space="preserve">Train set</w:t>
      </w:r>
      <w:r>
        <w:t xml:space="preserve">: fit the causal forest and compute</w:t>
      </w:r>
      <w:r>
        <w:t xml:space="preserve"> </w:t>
      </w:r>
      <m:oMath>
        <m:acc>
          <m:accPr>
            <m:chr m:val="̂"/>
          </m:accPr>
          <m:e>
            <m:r>
              <m:t>τ</m:t>
            </m:r>
          </m:e>
        </m:acc>
        <m:d>
          <m:dPr>
            <m:begChr m:val="("/>
            <m:sepChr m:val=""/>
            <m:endChr m:val=")"/>
            <m:grow/>
          </m:dPr>
          <m:e>
            <m:r>
              <m:t>x</m:t>
            </m:r>
          </m:e>
        </m:d>
      </m:oMath>
      <w:r>
        <w:t xml:space="preserve">.</w:t>
      </w:r>
    </w:p>
    <w:p>
      <w:pPr>
        <w:pStyle w:val="Compact"/>
        <w:numPr>
          <w:ilvl w:val="0"/>
          <w:numId w:val="1009"/>
        </w:numPr>
      </w:pPr>
      <w:r>
        <w:rPr>
          <w:b/>
          <w:bCs/>
        </w:rPr>
        <w:t xml:space="preserve">Test set</w:t>
      </w:r>
      <w:r>
        <w:t xml:space="preserve">: compute RATE AUTOC/Qini and run</w:t>
      </w:r>
      <w:r>
        <w:t xml:space="preserve"> </w:t>
      </w:r>
      <m:oMath>
        <m:sSub>
          <m:e>
            <m:r>
              <m:t>H</m:t>
            </m:r>
          </m:e>
          <m:sub>
            <m:r>
              <m:t>0</m:t>
            </m:r>
          </m:sub>
        </m:sSub>
      </m:oMath>
      <w:r>
        <w:t xml:space="preserve"> </w:t>
      </w:r>
      <w:r>
        <w:t xml:space="preserve">tests.</w:t>
      </w:r>
    </w:p>
    <w:p>
      <w:pPr>
        <w:pStyle w:val="FirstParagraph"/>
      </w:pPr>
      <w:r>
        <w:t xml:space="preserve">This second split yields honest policy evaluation and guards against optimistic bias</w:t>
      </w:r>
      <w:r>
        <w:t xml:space="preserve"> </w:t>
      </w:r>
      <w:r>
        <w:t xml:space="preserve">(Tibshirani et al., 2024)</w:t>
      </w:r>
      <w:r>
        <w:t xml:space="preserve">.</w:t>
      </w:r>
    </w:p>
    <w:bookmarkEnd w:id="144"/>
    <w:bookmarkStart w:id="145" w:name="Xa3515f238901b7f13c0bde499a8c079b9e5eb32"/>
    <w:p>
      <w:pPr>
        <w:pStyle w:val="Heading3"/>
      </w:pPr>
      <w:r>
        <w:t xml:space="preserve">9 From Black Box to Simple Rules: Policy Trees</w:t>
      </w:r>
    </w:p>
    <w:p>
      <w:pPr>
        <w:pStyle w:val="FirstParagraph"/>
      </w:pPr>
      <w:r>
        <w:t xml:space="preserve">Stakeholders value transparent criteria. The</w:t>
      </w:r>
      <w:r>
        <w:t xml:space="preserve"> </w:t>
      </w:r>
      <w:r>
        <w:rPr>
          <w:b/>
          <w:bCs/>
        </w:rPr>
        <w:t xml:space="preserve">policytree</w:t>
      </w:r>
      <w:r>
        <w:t xml:space="preserve"> </w:t>
      </w:r>
      <w:r>
        <w:t xml:space="preserve">algorithm takes</w:t>
      </w:r>
      <w:r>
        <w:t xml:space="preserve"> </w:t>
      </w:r>
      <m:oMath>
        <m:acc>
          <m:accPr>
            <m:chr m:val="̂"/>
          </m:accPr>
          <m:e>
            <m:r>
              <m:t>τ</m:t>
            </m:r>
          </m:e>
        </m:acc>
        <m:d>
          <m:dPr>
            <m:begChr m:val="("/>
            <m:sepChr m:val=""/>
            <m:endChr m:val=")"/>
            <m:grow/>
          </m:dPr>
          <m:e>
            <m:r>
              <m:t>x</m:t>
            </m:r>
          </m:e>
        </m:d>
      </m:oMath>
      <w:r>
        <w:t xml:space="preserve"> </w:t>
      </w:r>
      <w:r>
        <w:t xml:space="preserve">or doubly-robust scores and learns a shallow decision tree that maximises expected welfare</w:t>
      </w:r>
      <w:r>
        <w:t xml:space="preserve"> </w:t>
      </w:r>
      <w:r>
        <w:t xml:space="preserve">(Sverdrup et al., 2024)</w:t>
      </w:r>
      <w:r>
        <w:t xml:space="preserve">.</w:t>
      </w:r>
    </w:p>
    <w:p>
      <w:pPr>
        <w:pStyle w:val="BodyText"/>
      </w:pPr>
      <w:r>
        <w:rPr>
          <w:i/>
          <w:iCs/>
        </w:rPr>
        <w:t xml:space="preserve">Advantages</w:t>
      </w:r>
      <w:r>
        <w:t xml:space="preserve">: interpretability, the possibility of fairness constraints, and easy communication (e.g.,</w:t>
      </w:r>
      <w:r>
        <w:t xml:space="preserve"> </w:t>
      </w:r>
      <w:r>
        <w:rPr>
          <w:i/>
          <w:iCs/>
        </w:rPr>
        <w:t xml:space="preserve">‘treat if age &lt; 25 and baseline severity high’</w:t>
      </w:r>
      <w:r>
        <w:t xml:space="preserve">).</w:t>
      </w:r>
    </w:p>
    <w:p>
      <w:pPr>
        <w:pStyle w:val="BodyText"/>
      </w:pPr>
      <w:r>
        <w:t xml:space="preserve">Training mirrors the split above: learn the tree on one fold, evaluate welfare on another.</w:t>
      </w:r>
    </w:p>
    <w:p>
      <w:pPr>
        <w:pStyle w:val="BlockText"/>
      </w:pPr>
      <w:r>
        <w:rPr>
          <w:b/>
          <w:bCs/>
        </w:rPr>
        <w:t xml:space="preserve">Caveat</w:t>
      </w:r>
      <w:r>
        <w:t xml:space="preserve"> </w:t>
      </w:r>
      <w:r>
        <w:t xml:space="preserve">Splits identify predictors of</w:t>
      </w:r>
      <w:r>
        <w:t xml:space="preserve"> </w:t>
      </w:r>
      <w:r>
        <w:rPr>
          <w:i/>
          <w:iCs/>
        </w:rPr>
        <w:t xml:space="preserve">effect variation</w:t>
      </w:r>
      <w:r>
        <w:t xml:space="preserve">, not causal levers. Changing a covariate in the tree does</w:t>
      </w:r>
      <w:r>
        <w:t xml:space="preserve"> </w:t>
      </w:r>
      <w:r>
        <w:rPr>
          <w:b/>
          <w:bCs/>
        </w:rPr>
        <w:t xml:space="preserve">not</w:t>
      </w:r>
      <w:r>
        <w:t xml:space="preserve"> </w:t>
      </w:r>
      <w:r>
        <w:t xml:space="preserve">guarantee an effect on</w:t>
      </w:r>
      <w:r>
        <w:t xml:space="preserve"> </w:t>
      </w:r>
      <m:oMath>
        <m:r>
          <m:t>τ</m:t>
        </m:r>
        <m:d>
          <m:dPr>
            <m:begChr m:val="("/>
            <m:sepChr m:val=""/>
            <m:endChr m:val=")"/>
            <m:grow/>
          </m:dPr>
          <m:e>
            <m:r>
              <m:t>x</m:t>
            </m:r>
          </m:e>
        </m:d>
      </m:oMath>
      <w:r>
        <w:t xml:space="preserve">.</w:t>
      </w:r>
    </w:p>
    <w:bookmarkEnd w:id="145"/>
    <w:bookmarkStart w:id="146" w:name="ethical-and-practical-considerations"/>
    <w:p>
      <w:pPr>
        <w:pStyle w:val="Heading3"/>
      </w:pPr>
      <w:r>
        <w:t xml:space="preserve">10 Ethical and Practical Considerations</w:t>
      </w:r>
    </w:p>
    <w:p>
      <w:pPr>
        <w:pStyle w:val="FirstParagraph"/>
      </w:pPr>
      <w:r>
        <w:t xml:space="preserve">Statistical optimisation rarely aligns perfectly with equity or political feasibility. Decisions about who</w:t>
      </w:r>
      <w:r>
        <w:t xml:space="preserve"> </w:t>
      </w:r>
      <w:r>
        <w:rPr>
          <w:i/>
          <w:iCs/>
        </w:rPr>
        <w:t xml:space="preserve">should</w:t>
      </w:r>
      <w:r>
        <w:t xml:space="preserve"> </w:t>
      </w:r>
      <w:r>
        <w:t xml:space="preserve">receive treatment belong to democratic processes that weigh fairness, cost, and broader social values.</w:t>
      </w:r>
    </w:p>
    <w:bookmarkEnd w:id="146"/>
    <w:bookmarkStart w:id="147" w:name="summary-checklist"/>
    <w:p>
      <w:pPr>
        <w:pStyle w:val="Heading3"/>
      </w:pPr>
      <w:r>
        <w:t xml:space="preserve">Summary Checklist</w:t>
      </w:r>
    </w:p>
    <w:p>
      <w:pPr>
        <w:pStyle w:val="TableCaption"/>
      </w:pPr>
      <w:r>
        <w:t xml:space="preserve">This workflow delivers both rigorous inference and clear guidance for applied researchers:</w:t>
      </w:r>
      <w:r>
        <w:t xml:space="preserve"> </w:t>
      </w:r>
      <w:r>
        <w:rPr>
          <w:i/>
          <w:iCs/>
        </w:rPr>
        <w:t xml:space="preserve">How large is heterogeneity? When does targeting pay off? And can we express a good policy in a few, defensible rules?</w:t>
      </w:r>
    </w:p>
    <w:tbl>
      <w:tblPr>
        <w:tblStyle w:val="Table"/>
        <w:tblW w:type="pct" w:w="5000"/>
        <w:tblLayout w:type="fixed"/>
        <w:tblLook w:firstRow="1" w:lastRow="0" w:firstColumn="0" w:lastColumn="0" w:noHBand="0" w:noVBand="0" w:val="0020"/>
        <w:tblCaption w:val="This workflow delivers both rigorous inference and clear guidance for applied researchers: How large is heterogeneity? When does targeting pay off? And can we express a good policy in a few, defensible rules?"/>
      </w:tblPr>
      <w:tblGrid>
        <w:gridCol w:w="1498"/>
        <w:gridCol w:w="1284"/>
        <w:gridCol w:w="2568"/>
        <w:gridCol w:w="2568"/>
      </w:tblGrid>
      <w:tr>
        <w:trPr>
          <w:tblHeader w:val="on"/>
        </w:trPr>
        <w:tc>
          <w:tcPr/>
          <w:p>
            <w:pPr>
              <w:pStyle w:val="Compact"/>
            </w:pPr>
            <w:r>
              <w:t xml:space="preserve">Stage</w:t>
            </w:r>
          </w:p>
        </w:tc>
        <w:tc>
          <w:tcPr/>
          <w:p>
            <w:pPr>
              <w:pStyle w:val="Compact"/>
            </w:pPr>
            <w:r>
              <w:t xml:space="preserve">Tool</w:t>
            </w:r>
          </w:p>
        </w:tc>
        <w:tc>
          <w:tcPr/>
          <w:p>
            <w:pPr>
              <w:pStyle w:val="Compact"/>
            </w:pPr>
            <w:r>
              <w:t xml:space="preserve">Key Output</w:t>
            </w:r>
          </w:p>
        </w:tc>
        <w:tc>
          <w:tcPr/>
          <w:p>
            <w:pPr>
              <w:pStyle w:val="Compact"/>
            </w:pPr>
            <w:r>
              <w:t xml:space="preserve">Guard-rail</w:t>
            </w:r>
          </w:p>
        </w:tc>
      </w:tr>
      <w:tr>
        <w:tc>
          <w:tcPr/>
          <w:p>
            <w:pPr>
              <w:pStyle w:val="Compact"/>
            </w:pPr>
            <w:r>
              <w:t xml:space="preserve">1 ATE</w:t>
            </w:r>
          </w:p>
        </w:tc>
        <w:tc>
          <w:tcPr/>
          <w:p>
            <w:pPr>
              <w:pStyle w:val="Compact"/>
            </w:pPr>
            <w:r>
              <w:rPr>
                <w:rStyle w:val="VerbatimChar"/>
              </w:rPr>
              <w:t xml:space="preserve">average_treatment_effect</w:t>
            </w:r>
          </w:p>
        </w:tc>
        <w:tc>
          <w:tcPr/>
          <w:p>
            <w:pPr>
              <w:pStyle w:val="Compact"/>
            </w:pPr>
            <m:oMath>
              <m:acc>
                <m:accPr>
                  <m:chr m:val="̂"/>
                </m:accPr>
                <m:e>
                  <m:r>
                    <m:rPr>
                      <m:nor/>
                      <m:sty m:val="p"/>
                    </m:rPr>
                    <m:t>ATE</m:t>
                  </m:r>
                </m:e>
              </m:acc>
            </m:oMath>
          </w:p>
        </w:tc>
        <w:tc>
          <w:tcPr/>
          <w:p>
            <w:pPr>
              <w:pStyle w:val="Compact"/>
            </w:pPr>
            <w:r>
              <w:t xml:space="preserve">Doubly-robust</w:t>
            </w:r>
          </w:p>
        </w:tc>
      </w:tr>
      <w:tr>
        <w:tc>
          <w:tcPr/>
          <w:p>
            <w:pPr>
              <w:pStyle w:val="Compact"/>
            </w:pPr>
            <w:r>
              <w:t xml:space="preserve">2 – 3 CATE</w:t>
            </w:r>
          </w:p>
        </w:tc>
        <w:tc>
          <w:tcPr/>
          <w:p>
            <w:pPr>
              <w:pStyle w:val="Compact"/>
            </w:pPr>
            <w:r>
              <w:rPr>
                <w:rStyle w:val="VerbatimChar"/>
              </w:rPr>
              <w:t xml:space="preserve">causal_forest</w:t>
            </w:r>
          </w:p>
        </w:tc>
        <w:tc>
          <w:tcPr/>
          <w:p>
            <w:pPr>
              <w:pStyle w:val="Compact"/>
            </w:pPr>
            <m:oMath>
              <m:acc>
                <m:accPr>
                  <m:chr m:val="̂"/>
                </m:accPr>
                <m:e>
                  <m:r>
                    <m:t>τ</m:t>
                  </m:r>
                </m:e>
              </m:acc>
              <m:d>
                <m:dPr>
                  <m:begChr m:val="("/>
                  <m:sepChr m:val=""/>
                  <m:endChr m:val=")"/>
                  <m:grow/>
                </m:dPr>
                <m:e>
                  <m:r>
                    <m:t>x</m:t>
                  </m:r>
                </m:e>
              </m:d>
            </m:oMath>
          </w:p>
        </w:tc>
        <w:tc>
          <w:tcPr/>
          <w:p>
            <w:pPr>
              <w:pStyle w:val="Compact"/>
            </w:pPr>
            <w:r>
              <w:t xml:space="preserve">Honest trees</w:t>
            </w:r>
          </w:p>
        </w:tc>
      </w:tr>
      <w:tr>
        <w:tc>
          <w:tcPr/>
          <w:p>
            <w:pPr>
              <w:pStyle w:val="Compact"/>
            </w:pPr>
            <w:r>
              <w:t xml:space="preserve">6 Heterogeneity test</w:t>
            </w:r>
          </w:p>
        </w:tc>
        <w:tc>
          <w:tcPr/>
          <w:p>
            <w:pPr>
              <w:pStyle w:val="Compact"/>
            </w:pPr>
            <w:r>
              <w:rPr>
                <w:rStyle w:val="VerbatimChar"/>
              </w:rPr>
              <w:t xml:space="preserve">rank_average_treatment_effect</w:t>
            </w:r>
          </w:p>
        </w:tc>
        <w:tc>
          <w:tcPr/>
          <w:p>
            <w:pPr>
              <w:pStyle w:val="Compact"/>
            </w:pPr>
            <w:r>
              <w:t xml:space="preserve">AUTOC, Qini +</w:t>
            </w:r>
            <w:r>
              <w:t xml:space="preserve"> </w:t>
            </w:r>
            <m:oMath>
              <m:r>
                <m:t>p</m:t>
              </m:r>
            </m:oMath>
          </w:p>
        </w:tc>
        <w:tc>
          <w:tcPr/>
          <w:p>
            <w:pPr>
              <w:pStyle w:val="Compact"/>
            </w:pPr>
            <w:r>
              <w:t xml:space="preserve">Sample split</w:t>
            </w:r>
          </w:p>
        </w:tc>
      </w:tr>
      <w:tr>
        <w:tc>
          <w:tcPr/>
          <w:p>
            <w:pPr>
              <w:pStyle w:val="Compact"/>
            </w:pPr>
            <w:r>
              <w:t xml:space="preserve">7 Visualise</w:t>
            </w:r>
          </w:p>
        </w:tc>
        <w:tc>
          <w:tcPr/>
          <w:p>
            <w:pPr>
              <w:pStyle w:val="Compact"/>
            </w:pPr>
            <w:r>
              <w:t xml:space="preserve">Qini curve</w:t>
            </w:r>
          </w:p>
        </w:tc>
        <w:tc>
          <w:tcPr/>
          <w:p>
            <w:pPr>
              <w:pStyle w:val="Compact"/>
            </w:pPr>
            <w:r>
              <w:t xml:space="preserve">Gain vs</w:t>
            </w:r>
            <w:r>
              <w:t xml:space="preserve"> </w:t>
            </w:r>
            <m:oMath>
              <m:r>
                <m:t>q</m:t>
              </m:r>
            </m:oMath>
          </w:p>
        </w:tc>
        <w:tc>
          <w:tcPr/>
          <w:p>
            <w:pPr>
              <w:pStyle w:val="Compact"/>
            </w:pPr>
            <w:r>
              <w:t xml:space="preserve">Same test fold</w:t>
            </w:r>
          </w:p>
        </w:tc>
      </w:tr>
      <w:tr>
        <w:tc>
          <w:tcPr/>
          <w:p>
            <w:pPr>
              <w:pStyle w:val="Compact"/>
            </w:pPr>
            <w:r>
              <w:t xml:space="preserve">9 Policy tree</w:t>
            </w:r>
          </w:p>
        </w:tc>
        <w:tc>
          <w:tcPr/>
          <w:p>
            <w:pPr>
              <w:pStyle w:val="Compact"/>
            </w:pPr>
            <w:r>
              <w:rPr>
                <w:rStyle w:val="VerbatimChar"/>
              </w:rPr>
              <w:t xml:space="preserve">policy_tree</w:t>
            </w:r>
          </w:p>
        </w:tc>
        <w:tc>
          <w:tcPr/>
          <w:p>
            <w:pPr>
              <w:pStyle w:val="Compact"/>
            </w:pPr>
            <w:r>
              <w:t xml:space="preserve">Decision rule</w:t>
            </w:r>
          </w:p>
        </w:tc>
        <w:tc>
          <w:tcPr/>
          <w:p>
            <w:pPr>
              <w:pStyle w:val="Compact"/>
            </w:pPr>
            <w:r>
              <w:t xml:space="preserve">Cross-validation + test fold</w:t>
            </w:r>
          </w:p>
        </w:tc>
      </w:tr>
    </w:tbl>
    <w:p>
      <w:r>
        <w:br w:type="page"/>
      </w:r>
    </w:p>
    <w:bookmarkEnd w:id="147"/>
    <w:bookmarkEnd w:id="148"/>
    <w:bookmarkStart w:id="200" w:name="references"/>
    <w:p>
      <w:pPr>
        <w:pStyle w:val="Heading2"/>
      </w:pPr>
      <w:r>
        <w:t xml:space="preserve">References</w:t>
      </w:r>
    </w:p>
    <w:bookmarkStart w:id="199" w:name="refs"/>
    <w:bookmarkStart w:id="150"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49">
        <w:r>
          <w:rPr>
            <w:rStyle w:val="Hyperlink"/>
          </w:rPr>
          <w:t xml:space="preserve">https://doi.org/10.3982/ECTA15732</w:t>
        </w:r>
      </w:hyperlink>
    </w:p>
    <w:bookmarkEnd w:id="150"/>
    <w:bookmarkStart w:id="151"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49">
        <w:r>
          <w:rPr>
            <w:rStyle w:val="Hyperlink"/>
          </w:rPr>
          <w:t xml:space="preserve">https://doi.org/10.3982/ECTA15732</w:t>
        </w:r>
      </w:hyperlink>
    </w:p>
    <w:bookmarkEnd w:id="151"/>
    <w:bookmarkStart w:id="152"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52"/>
    <w:bookmarkStart w:id="153" w:name="ref-benjamini1995controlling"/>
    <w:p>
      <w:pPr>
        <w:pStyle w:val="Bibliography"/>
      </w:pPr>
      <w:r>
        <w:t xml:space="preserve">Benjamini, Y., &amp; Hochberg, Y. (1995). Controlling the false discovery rate: A practical and powerful approach to multiple testing.</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p>
    <w:bookmarkEnd w:id="153"/>
    <w:bookmarkStart w:id="155"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54">
        <w:r>
          <w:rPr>
            <w:rStyle w:val="Hyperlink"/>
          </w:rPr>
          <w:t xml:space="preserve">https://doi.org/10.5281/zenodo.10907724</w:t>
        </w:r>
      </w:hyperlink>
    </w:p>
    <w:bookmarkEnd w:id="155"/>
    <w:bookmarkStart w:id="157"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56">
        <w:r>
          <w:rPr>
            <w:rStyle w:val="Hyperlink"/>
          </w:rPr>
          <w:t xml:space="preserve">https://doi.org/10.1017/ehs.2024.33</w:t>
        </w:r>
      </w:hyperlink>
    </w:p>
    <w:bookmarkEnd w:id="157"/>
    <w:bookmarkStart w:id="158"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58"/>
    <w:bookmarkStart w:id="159"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59"/>
    <w:bookmarkStart w:id="160"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60"/>
    <w:bookmarkStart w:id="162"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61">
        <w:r>
          <w:rPr>
            <w:rStyle w:val="Hyperlink"/>
          </w:rPr>
          <w:t xml:space="preserve">https://doi.org/10.1080/00224499.2019.1687640</w:t>
        </w:r>
      </w:hyperlink>
    </w:p>
    <w:bookmarkEnd w:id="162"/>
    <w:bookmarkStart w:id="163"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63"/>
    <w:bookmarkStart w:id="165"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64">
        <w:r>
          <w:rPr>
            <w:rStyle w:val="Hyperlink"/>
          </w:rPr>
          <w:t xml:space="preserve">https://doi.org/10.1097/00006199-199501000-00003</w:t>
        </w:r>
      </w:hyperlink>
    </w:p>
    <w:bookmarkEnd w:id="165"/>
    <w:bookmarkStart w:id="166"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66"/>
    <w:bookmarkStart w:id="167"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67"/>
    <w:bookmarkStart w:id="168"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68"/>
    <w:bookmarkStart w:id="170"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69">
        <w:r>
          <w:rPr>
            <w:rStyle w:val="Hyperlink"/>
          </w:rPr>
          <w:t xml:space="preserve">https://doi.org/10.1037/0003-066X.61.7.651</w:t>
        </w:r>
      </w:hyperlink>
    </w:p>
    <w:bookmarkEnd w:id="170"/>
    <w:bookmarkStart w:id="172"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71">
        <w:r>
          <w:rPr>
            <w:rStyle w:val="Hyperlink"/>
          </w:rPr>
          <w:t xml:space="preserve">https://doi.org/10.1017/S0033291702006074</w:t>
        </w:r>
      </w:hyperlink>
    </w:p>
    <w:bookmarkEnd w:id="172"/>
    <w:bookmarkStart w:id="173"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73"/>
    <w:bookmarkStart w:id="175"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74">
        <w:r>
          <w:rPr>
            <w:rStyle w:val="Hyperlink"/>
          </w:rPr>
          <w:t xml:space="preserve">https://doi.org/10.1080/02699939308409206</w:t>
        </w:r>
      </w:hyperlink>
    </w:p>
    <w:bookmarkEnd w:id="175"/>
    <w:bookmarkStart w:id="176" w:name="ref-pearl2009a"/>
    <w:p>
      <w:pPr>
        <w:pStyle w:val="Bibliography"/>
      </w:pPr>
      <w:r>
        <w:t xml:space="preserve">Pearl, J. (2009).</w:t>
      </w:r>
      <w:r>
        <w:t xml:space="preserve"> </w:t>
      </w:r>
      <w:r>
        <w:rPr>
          <w:i/>
          <w:iCs/>
        </w:rPr>
        <w:t xml:space="preserve">Causality</w:t>
      </w:r>
      <w:r>
        <w:t xml:space="preserve">. Cambridge University Press.</w:t>
      </w:r>
    </w:p>
    <w:bookmarkEnd w:id="176"/>
    <w:bookmarkStart w:id="177"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77"/>
    <w:bookmarkStart w:id="178"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78"/>
    <w:bookmarkStart w:id="180"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79">
        <w:r>
          <w:rPr>
            <w:rStyle w:val="Hyperlink"/>
          </w:rPr>
          <w:t xml:space="preserve">https://doi.org/10.31234/osf.io/wgqvy</w:t>
        </w:r>
      </w:hyperlink>
    </w:p>
    <w:bookmarkEnd w:id="180"/>
    <w:bookmarkStart w:id="181"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81"/>
    <w:bookmarkStart w:id="183"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82">
        <w:r>
          <w:rPr>
            <w:rStyle w:val="Hyperlink"/>
          </w:rPr>
          <w:t xml:space="preserve">https://doi.org/10.1037/0022-0167.53.1.80</w:t>
        </w:r>
      </w:hyperlink>
    </w:p>
    <w:bookmarkEnd w:id="183"/>
    <w:bookmarkStart w:id="185"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84">
        <w:r>
          <w:rPr>
            <w:rStyle w:val="Hyperlink"/>
          </w:rPr>
          <w:t xml:space="preserve">https://CRAN.R-project.org/package=policytree</w:t>
        </w:r>
      </w:hyperlink>
    </w:p>
    <w:bookmarkEnd w:id="185"/>
    <w:bookmarkStart w:id="187"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86">
        <w:r>
          <w:rPr>
            <w:rStyle w:val="Hyperlink"/>
          </w:rPr>
          <w:t xml:space="preserve">https://github.com/grf-labs/grf</w:t>
        </w:r>
      </w:hyperlink>
    </w:p>
    <w:bookmarkEnd w:id="187"/>
    <w:bookmarkStart w:id="188"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88"/>
    <w:bookmarkStart w:id="190"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89">
        <w:r>
          <w:rPr>
            <w:rStyle w:val="Hyperlink"/>
          </w:rPr>
          <w:t xml:space="preserve">https://doi.org/10.7326/M16-2607</w:t>
        </w:r>
      </w:hyperlink>
    </w:p>
    <w:bookmarkEnd w:id="190"/>
    <w:bookmarkStart w:id="191"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91"/>
    <w:bookmarkStart w:id="193"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92">
        <w:r>
          <w:rPr>
            <w:rStyle w:val="Hyperlink"/>
          </w:rPr>
          <w:t xml:space="preserve">https://doi.org/10.1016/S0890-4065(97)90026-8</w:t>
        </w:r>
      </w:hyperlink>
    </w:p>
    <w:bookmarkEnd w:id="193"/>
    <w:bookmarkStart w:id="195"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94">
        <w:r>
          <w:rPr>
            <w:rStyle w:val="Hyperlink"/>
          </w:rPr>
          <w:t xml:space="preserve">https://doi.org/10.1080/01621459.2017.1319839</w:t>
        </w:r>
      </w:hyperlink>
    </w:p>
    <w:bookmarkEnd w:id="195"/>
    <w:bookmarkStart w:id="196"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96"/>
    <w:bookmarkStart w:id="198" w:name="ref-yadlowsky2021evaluating"/>
    <w:p>
      <w:pPr>
        <w:pStyle w:val="Bibliography"/>
      </w:pPr>
      <w:r>
        <w:t xml:space="preserve">Yadlowsky, S., Fleming, S., Shah, N., Brunskill, E., &amp; Wager, S. (2021). Evaluating treatment prioritization rules via rank-weighted average treatment effects.</w:t>
      </w:r>
      <w:r>
        <w:t xml:space="preserve"> </w:t>
      </w:r>
      <w:r>
        <w:rPr>
          <w:i/>
          <w:iCs/>
        </w:rPr>
        <w:t xml:space="preserve">arXiv Preprint arXiv:2111.07966</w:t>
      </w:r>
      <w:r>
        <w:t xml:space="preserve">.</w:t>
      </w:r>
      <w:r>
        <w:t xml:space="preserve"> </w:t>
      </w:r>
      <w:hyperlink r:id="rId197">
        <w:r>
          <w:rPr>
            <w:rStyle w:val="Hyperlink"/>
          </w:rPr>
          <w:t xml:space="preserve">https://doi.org/10.48550/arXiv.2111.07966</w:t>
        </w:r>
      </w:hyperlink>
    </w:p>
    <w:bookmarkEnd w:id="198"/>
    <w:bookmarkEnd w:id="199"/>
    <w:bookmarkEnd w:id="2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hyperlink" Id="rId184" Target="https://CRAN.R-project.org/package=policytree" TargetMode="External" /><Relationship Type="http://schemas.openxmlformats.org/officeDocument/2006/relationships/hyperlink" Id="rId192" Target="https://doi.org/10.1016/S0890-4065(97)90026-8" TargetMode="External" /><Relationship Type="http://schemas.openxmlformats.org/officeDocument/2006/relationships/hyperlink" Id="rId171" Target="https://doi.org/10.1017/S0033291702006074" TargetMode="External" /><Relationship Type="http://schemas.openxmlformats.org/officeDocument/2006/relationships/hyperlink" Id="rId156" Target="https://doi.org/10.1017/ehs.2024.33" TargetMode="External" /><Relationship Type="http://schemas.openxmlformats.org/officeDocument/2006/relationships/hyperlink" Id="rId169" Target="https://doi.org/10.1037/0003-066X.61.7.651" TargetMode="External" /><Relationship Type="http://schemas.openxmlformats.org/officeDocument/2006/relationships/hyperlink" Id="rId182" Target="https://doi.org/10.1037/0022-0167.53.1.80" TargetMode="External" /><Relationship Type="http://schemas.openxmlformats.org/officeDocument/2006/relationships/hyperlink" Id="rId161" Target="https://doi.org/10.1080/00224499.2019.1687640" TargetMode="External" /><Relationship Type="http://schemas.openxmlformats.org/officeDocument/2006/relationships/hyperlink" Id="rId194" Target="https://doi.org/10.1080/01621459.2017.1319839" TargetMode="External" /><Relationship Type="http://schemas.openxmlformats.org/officeDocument/2006/relationships/hyperlink" Id="rId174" Target="https://doi.org/10.1080/02699939308409206" TargetMode="External" /><Relationship Type="http://schemas.openxmlformats.org/officeDocument/2006/relationships/hyperlink" Id="rId16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79" Target="https://doi.org/10.31234/osf.io/wgqvy" TargetMode="External" /><Relationship Type="http://schemas.openxmlformats.org/officeDocument/2006/relationships/hyperlink" Id="rId149" Target="https://doi.org/10.3982/ECTA15732" TargetMode="External" /><Relationship Type="http://schemas.openxmlformats.org/officeDocument/2006/relationships/hyperlink" Id="rId197" Target="https://doi.org/10.48550/arXiv.2111.07966" TargetMode="External" /><Relationship Type="http://schemas.openxmlformats.org/officeDocument/2006/relationships/hyperlink" Id="rId154" Target="https://doi.org/10.5281/zenodo.10907724" TargetMode="External" /><Relationship Type="http://schemas.openxmlformats.org/officeDocument/2006/relationships/hyperlink" Id="rId189" Target="https://doi.org/10.7326/M16-2607" TargetMode="External" /><Relationship Type="http://schemas.openxmlformats.org/officeDocument/2006/relationships/hyperlink" Id="rId186" Target="https://github.com/grf-labs/grf" TargetMode="External" /><Relationship Type="http://schemas.openxmlformats.org/officeDocument/2006/relationships/hyperlink" Id="rId73"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84" Target="https://CRAN.R-project.org/package=policytree" TargetMode="External" /><Relationship Type="http://schemas.openxmlformats.org/officeDocument/2006/relationships/hyperlink" Id="rId192" Target="https://doi.org/10.1016/S0890-4065(97)90026-8" TargetMode="External" /><Relationship Type="http://schemas.openxmlformats.org/officeDocument/2006/relationships/hyperlink" Id="rId171" Target="https://doi.org/10.1017/S0033291702006074" TargetMode="External" /><Relationship Type="http://schemas.openxmlformats.org/officeDocument/2006/relationships/hyperlink" Id="rId156" Target="https://doi.org/10.1017/ehs.2024.33" TargetMode="External" /><Relationship Type="http://schemas.openxmlformats.org/officeDocument/2006/relationships/hyperlink" Id="rId169" Target="https://doi.org/10.1037/0003-066X.61.7.651" TargetMode="External" /><Relationship Type="http://schemas.openxmlformats.org/officeDocument/2006/relationships/hyperlink" Id="rId182" Target="https://doi.org/10.1037/0022-0167.53.1.80" TargetMode="External" /><Relationship Type="http://schemas.openxmlformats.org/officeDocument/2006/relationships/hyperlink" Id="rId161" Target="https://doi.org/10.1080/00224499.2019.1687640" TargetMode="External" /><Relationship Type="http://schemas.openxmlformats.org/officeDocument/2006/relationships/hyperlink" Id="rId194" Target="https://doi.org/10.1080/01621459.2017.1319839" TargetMode="External" /><Relationship Type="http://schemas.openxmlformats.org/officeDocument/2006/relationships/hyperlink" Id="rId174" Target="https://doi.org/10.1080/02699939308409206" TargetMode="External" /><Relationship Type="http://schemas.openxmlformats.org/officeDocument/2006/relationships/hyperlink" Id="rId16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79" Target="https://doi.org/10.31234/osf.io/wgqvy" TargetMode="External" /><Relationship Type="http://schemas.openxmlformats.org/officeDocument/2006/relationships/hyperlink" Id="rId149" Target="https://doi.org/10.3982/ECTA15732" TargetMode="External" /><Relationship Type="http://schemas.openxmlformats.org/officeDocument/2006/relationships/hyperlink" Id="rId197" Target="https://doi.org/10.48550/arXiv.2111.07966" TargetMode="External" /><Relationship Type="http://schemas.openxmlformats.org/officeDocument/2006/relationships/hyperlink" Id="rId154" Target="https://doi.org/10.5281/zenodo.10907724" TargetMode="External" /><Relationship Type="http://schemas.openxmlformats.org/officeDocument/2006/relationships/hyperlink" Id="rId189" Target="https://doi.org/10.7326/M16-2607" TargetMode="External" /><Relationship Type="http://schemas.openxmlformats.org/officeDocument/2006/relationships/hyperlink" Id="rId186" Target="https://github.com/grf-labs/grf" TargetMode="External" /><Relationship Type="http://schemas.openxmlformats.org/officeDocument/2006/relationships/hyperlink" Id="rId73"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2025-05-18T03:30:02Z</dcterms:created>
  <dcterms:modified xsi:type="dcterms:W3CDTF">2025-05-18T03:30:02Z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sentences)Objectives: 1. Estimate the causal effect of YOUR EXPOSURE on YOUR OUTCOMES measured one year later. 2. Evaluate whether these effects vary across the population. 3. Provide policy guidance on which individuals might benefit most.Method: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benefits.Results: Increasing XXXXX leads to XXXXX. Heterogeneous responses to (e.g. Forgiveness, Personal Well-Being, and Life-Satisfaction…) reveal structural variability in subpopulations…Implications: (Brief few sentences) Keywords: Causal Inference; Cross-validation; Distress; Employment; Longitudinal; Machine sLearning;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2025-05-18</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