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200"/>
        <w:jc w:val="left"/>
      </w:pPr>
      <w:r>
        <w:rPr>
          <w:rFonts w:ascii="Liberation Sans" w:hAnsi="Liberation Sans"/>
          <w:b/>
          <w:color w:val="193E5D"/>
          <w:sz w:val="54"/>
        </w:rPr>
        <w:t>Verified Semantic Probes</w:t>
        <w:br/>
        <w:t>for JavaScript Interpreters</w:t>
      </w:r>
    </w:p>
    <w:p>
      <w:pPr>
        <w:pStyle w:val="Subtitle"/>
      </w:pPr>
      <w:r>
        <w:rPr>
          <w:rFonts w:ascii="Liberation Serif" w:hAnsi="Liberation Serif"/>
          <w:i/>
          <w:color w:val="586474"/>
          <w:sz w:val="27"/>
        </w:rPr>
        <w:t>Operational and denotational foundations, runtime verification, static analysis, proof infrastructure, and a goja research workbench</w:t>
      </w:r>
    </w:p>
    <w:p/>
    <w:p>
      <w:r>
        <w:rPr>
          <w:rFonts w:ascii="Liberation Sans" w:hAnsi="Liberation Sans"/>
          <w:b/>
          <w:color w:val="245C8A"/>
          <w:sz w:val="21"/>
        </w:rPr>
        <w:t>Research synthesis and technical design document</w:t>
      </w:r>
    </w:p>
    <w:p>
      <w:r>
        <w:rPr>
          <w:rFonts w:ascii="Liberation Serif" w:hAnsi="Liberation Serif"/>
          <w:color w:val="1F2937"/>
          <w:sz w:val="21"/>
        </w:rPr>
        <w:t>Prepared for the go-go-goja / goja instrumentation project</w:t>
      </w:r>
    </w:p>
    <w:p>
      <w:r>
        <w:rPr>
          <w:rFonts w:ascii="Liberation Serif" w:hAnsi="Liberation Serif"/>
          <w:color w:val="586474"/>
          <w:sz w:val="21"/>
        </w:rPr>
        <w:t>July 2026</w:t>
      </w:r>
    </w:p>
    <w:p>
      <w:r>
        <w:br/>
      </w:r>
    </w:p>
    <w:tbl>
      <w:tblPr>
        <w:tblW w:type="auto" w:w="0"/>
        <w:jc w:val="center"/>
        <w:tblLook w:firstColumn="1" w:firstRow="1" w:lastColumn="0" w:lastRow="0" w:noHBand="0" w:noVBand="1" w:val="04A0"/>
      </w:tblPr>
      <w:tblGrid>
        <w:gridCol w:w="9994"/>
      </w:tblGrid>
      <w:tr>
        <w:tc>
          <w:tcPr>
            <w:tcW w:type="dxa" w:w="9994"/>
            <w:shd w:fill="F7EAEA" w:val="clear"/>
            <w:tcBorders>
              <w:top w:val="single" w:sz="8" w:color="245C8A"/>
              <w:left w:val="single" w:sz="8" w:color="245C8A"/>
              <w:bottom w:val="single" w:sz="8" w:color="245C8A"/>
              <w:right w:val="single" w:sz="8" w:color="245C8A"/>
            </w:tcBorders>
            <w:tcMar>
              <w:top w:w="110" w:type="dxa"/>
              <w:start w:w="150" w:type="dxa"/>
              <w:bottom w:w="110" w:type="dxa"/>
              <w:end w:w="150" w:type="dxa"/>
            </w:tcMar>
          </w:tcPr>
          <w:p>
            <w:pPr>
              <w:spacing w:after="60"/>
            </w:pPr>
            <w:r>
              <w:rPr>
                <w:rFonts w:ascii="Liberation Sans" w:hAnsi="Liberation Sans"/>
                <w:b/>
                <w:color w:val="193E5D"/>
                <w:sz w:val="17"/>
              </w:rPr>
              <w:t>LIMITATION / FAILURE MODE  |  Status of the document</w:t>
            </w:r>
          </w:p>
          <w:p>
            <w:pPr>
              <w:spacing w:after="40" w:line="247" w:lineRule="auto"/>
            </w:pPr>
            <w:r>
              <w:rPr>
                <w:rFonts w:ascii="Liberation Serif" w:hAnsi="Liberation Serif"/>
                <w:color w:val="1F2937"/>
                <w:sz w:val="18"/>
              </w:rPr>
              <w:t>This is a research-grounded architecture and semantics proposal, not a completed soundness proof or a claim that an implementation already exists. Formal claims are stated as proof obligations or research hypotheses unless a cited work establishes them for its own system.</w:t>
            </w:r>
          </w:p>
        </w:tc>
      </w:tr>
    </w:tbl>
    <w:p>
      <w:pPr>
        <w:spacing w:after="0"/>
      </w:pPr>
    </w:p>
    <w:p>
      <w:r>
        <w:br w:type="page"/>
      </w:r>
    </w:p>
    <w:p>
      <w:r>
        <w:rPr>
          <w:rFonts w:ascii="Liberation Sans" w:hAnsi="Liberation Sans"/>
          <w:b/>
          <w:color w:val="245C8A"/>
          <w:sz w:val="20"/>
        </w:rPr>
        <w:t>ABSTRACT</w:t>
      </w:r>
    </w:p>
    <w:p>
      <w:pPr>
        <w:spacing w:line="259" w:lineRule="auto" w:after="80"/>
      </w:pPr>
      <w:r>
        <w:rPr>
          <w:rFonts w:ascii="Liberation Serif" w:hAnsi="Liberation Serif"/>
          <w:color w:val="1F2937"/>
          <w:sz w:val="20"/>
        </w:rPr>
        <w:t>This document develops a theoretical and practical account of adding an eBPF-like, dynamically attachable, verified probe layer to a JavaScript interpreter, using goja in Go as the concrete target. The proposal is not to reproduce the Linux eBPF instruction set. It is to retain the deeper architecture: stable attachment points, a restricted and statically checked probe language, typed state maps, bounded helper operations, detachable links, and a control plane that keeps the interpreter hot path small. The critical change is that attachment points are defined at language-semantic boundaries rather than only at implementation functions or machine instructions.</w:t>
      </w:r>
    </w:p>
    <w:p>
      <w:pPr>
        <w:spacing w:line="259" w:lineRule="auto" w:after="80"/>
      </w:pPr>
      <w:r>
        <w:rPr>
          <w:rFonts w:ascii="Liberation Serif" w:hAnsi="Liberation Serif"/>
          <w:color w:val="1F2937"/>
          <w:sz w:val="20"/>
        </w:rPr>
        <w:t>The document connects that architecture to structural operational semantics, labelled transition systems, abstract machines, trace semantics, monads, algebraic effects, interaction trees, runtime verification, parametric monitoring, contracts, abstract interpretation, symbolic execution, counterexample-guided refinement, hyperproperties, proof-carrying code, typed assembly language, software fault isolation, executable language specifications, and verified compilation. It then turns those connections into concrete design requirements for goja: an event ABI, a source-to-VM semantic map, explicit observation capabilities, a probe verifier, proof-relevant traces, and integration with go-go-goja runtime ownership and initialization.</w:t>
      </w:r>
    </w:p>
    <w:p>
      <w:pPr>
        <w:spacing w:line="259" w:lineRule="auto" w:after="80"/>
      </w:pPr>
      <w:r>
        <w:rPr>
          <w:rFonts w:ascii="Liberation Serif" w:hAnsi="Liberation Serif"/>
          <w:color w:val="1F2937"/>
          <w:sz w:val="20"/>
        </w:rPr>
        <w:t>The practical objective is a daily academic workbench. A researcher should be able to state a candidate semantic rule or invariant, attach it to compiled semantic sites, execute generated or real workloads, compare the resulting trace against an executable model, minimize divergences, export obligations to an SMT solver or proof assistant, and preserve a replayable certificate. Runtime evidence cannot replace universal proof; however, a carefully designed semantic event layer can make formal models executable against a real interpreter, expose incorrect assumptions early, and support residual verification in which static proofs and runtime monitors share one property language.</w:t>
      </w:r>
    </w:p>
    <w:tbl>
      <w:tblPr>
        <w:tblW w:type="auto" w:w="0"/>
        <w:jc w:val="center"/>
        <w:tblLook w:firstColumn="1" w:firstRow="1" w:lastColumn="0" w:lastRow="0" w:noHBand="0" w:noVBand="1" w:val="04A0"/>
      </w:tblPr>
      <w:tblGrid>
        <w:gridCol w:w="9994"/>
      </w:tblGrid>
      <w:tr>
        <w:tc>
          <w:tcPr>
            <w:tcW w:type="dxa" w:w="9994"/>
            <w:shd w:fill="EDF3E7" w:val="clear"/>
            <w:tcBorders>
              <w:top w:val="single" w:sz="8" w:color="245C8A"/>
              <w:left w:val="single" w:sz="8" w:color="245C8A"/>
              <w:bottom w:val="single" w:sz="8" w:color="245C8A"/>
              <w:right w:val="single" w:sz="8" w:color="245C8A"/>
            </w:tcBorders>
            <w:tcMar>
              <w:top w:w="110" w:type="dxa"/>
              <w:start w:w="150" w:type="dxa"/>
              <w:bottom w:w="110" w:type="dxa"/>
              <w:end w:w="150" w:type="dxa"/>
            </w:tcMar>
          </w:tcPr>
          <w:p>
            <w:pPr>
              <w:spacing w:after="60"/>
            </w:pPr>
            <w:r>
              <w:rPr>
                <w:rFonts w:ascii="Liberation Sans" w:hAnsi="Liberation Sans"/>
                <w:b/>
                <w:color w:val="193E5D"/>
                <w:sz w:val="17"/>
              </w:rPr>
              <w:t>DESIGN CONSEQUENCE  |  Central design thesis</w:t>
            </w:r>
          </w:p>
          <w:p>
            <w:pPr>
              <w:spacing w:after="40" w:line="247" w:lineRule="auto"/>
            </w:pPr>
            <w:r>
              <w:rPr>
                <w:rFonts w:ascii="Liberation Serif" w:hAnsi="Liberation Serif"/>
                <w:color w:val="1F2937"/>
                <w:sz w:val="18"/>
              </w:rPr>
              <w:t>The interpreter should expose a versioned labelled transition interface at semantic boundaries.</w:t>
            </w:r>
          </w:p>
          <w:p>
            <w:pPr>
              <w:spacing w:after="40" w:line="247" w:lineRule="auto"/>
            </w:pPr>
            <w:r>
              <w:rPr>
                <w:rFonts w:ascii="Liberation Serif" w:hAnsi="Liberation Serif"/>
                <w:color w:val="1F2937"/>
                <w:sz w:val="18"/>
              </w:rPr>
              <w:t>Probes should be verified interpretations of those labels, not unrestricted JavaScript callbacks.</w:t>
            </w:r>
          </w:p>
          <w:p>
            <w:pPr>
              <w:spacing w:after="40" w:line="247" w:lineRule="auto"/>
            </w:pPr>
            <w:r>
              <w:rPr>
                <w:rFonts w:ascii="Liberation Serif" w:hAnsi="Liberation Serif"/>
                <w:color w:val="1F2937"/>
                <w:sz w:val="18"/>
              </w:rPr>
              <w:t>Correctness depends first on the event mapping and only second on the safety of the probe VM.</w:t>
            </w:r>
          </w:p>
          <w:p>
            <w:pPr>
              <w:spacing w:after="40" w:line="247" w:lineRule="auto"/>
            </w:pPr>
            <w:r>
              <w:rPr>
                <w:rFonts w:ascii="Liberation Serif" w:hAnsi="Liberation Serif"/>
                <w:color w:val="1F2937"/>
                <w:sz w:val="18"/>
              </w:rPr>
              <w:t>The same probe IR should admit concrete, symbolic, abstract, and logical interpretations with separately stated soundness relations.</w:t>
            </w:r>
          </w:p>
        </w:tc>
      </w:tr>
    </w:tbl>
    <w:p>
      <w:pPr>
        <w:spacing w:after="0"/>
      </w:pPr>
    </w:p>
    <w:p>
      <w:pPr>
        <w:pStyle w:val="Heading2"/>
      </w:pPr>
      <w:r>
        <w:rPr>
          <w:rFonts w:ascii="Liberation Sans" w:hAnsi="Liberation Sans"/>
          <w:b/>
          <w:color w:val="193E5D"/>
          <w:sz w:val="30"/>
        </w:rPr>
        <w:t>Claims, non-claims, and terminology</w:t>
      </w:r>
    </w:p>
    <w:p>
      <w:pPr>
        <w:spacing w:after="60"/>
        <w:keepNext/>
      </w:pPr>
      <w:r>
        <w:rPr>
          <w:rFonts w:ascii="Liberation Sans" w:hAnsi="Liberation Sans"/>
          <w:b/>
          <w:color w:val="193E5D"/>
          <w:sz w:val="18"/>
        </w:rPr>
        <w:t>Table 1. Interpretation of the document's main claims.</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rPr>
        <w:tc>
          <w:tcPr>
            <w:tcW w:type="dxa" w:w="3672"/>
            <w:shd w:fill="245C8A" w:val="clear"/>
            <w:tcMar>
              <w:top w:w="70" w:type="dxa"/>
              <w:start w:w="80" w:type="dxa"/>
              <w:bottom w:w="70" w:type="dxa"/>
              <w:end w:w="80" w:type="dxa"/>
            </w:tcMar>
            <w:vAlign w:val="center"/>
          </w:tcPr>
          <w:p>
            <w:pPr>
              <w:jc w:val="left"/>
            </w:pPr>
            <w:r>
              <w:rPr>
                <w:rFonts w:ascii="Liberation Sans" w:hAnsi="Liberation Sans"/>
                <w:b/>
                <w:color w:val="FFFFFF"/>
                <w:sz w:val="17"/>
              </w:rPr>
              <w:t>Statement</w:t>
            </w:r>
          </w:p>
        </w:tc>
        <w:tc>
          <w:tcPr>
            <w:tcW w:type="dxa" w:w="6264"/>
            <w:shd w:fill="245C8A" w:val="clear"/>
            <w:tcMar>
              <w:top w:w="70" w:type="dxa"/>
              <w:start w:w="80" w:type="dxa"/>
              <w:bottom w:w="70" w:type="dxa"/>
              <w:end w:w="80" w:type="dxa"/>
            </w:tcMar>
            <w:vAlign w:val="center"/>
          </w:tcPr>
          <w:p>
            <w:pPr>
              <w:jc w:val="left"/>
            </w:pPr>
            <w:r>
              <w:rPr>
                <w:rFonts w:ascii="Liberation Sans" w:hAnsi="Liberation Sans"/>
                <w:b/>
                <w:color w:val="FFFFFF"/>
                <w:sz w:val="17"/>
              </w:rPr>
              <w:t>Status in this document</w:t>
            </w:r>
          </w:p>
        </w:tc>
      </w:tr>
      <w:tr>
        <w:trPr>
          <w:cantSplit/>
        </w:trPr>
        <w:tc>
          <w:tcPr>
            <w:tcW w:type="dxa" w:w="3672"/>
            <w:tcMar>
              <w:top w:w="65" w:type="dxa"/>
              <w:start w:w="80" w:type="dxa"/>
              <w:bottom w:w="65" w:type="dxa"/>
              <w:end w:w="80" w:type="dxa"/>
            </w:tcMar>
            <w:vAlign w:val="top"/>
          </w:tcPr>
          <w:p>
            <w:pPr>
              <w:spacing w:after="0" w:line="240" w:lineRule="auto"/>
            </w:pPr>
            <w:r>
              <w:rPr>
                <w:rFonts w:ascii="Liberation Serif" w:hAnsi="Liberation Serif"/>
                <w:color w:val="1F2937"/>
                <w:sz w:val="17"/>
              </w:rPr>
              <w:t>A semantic event layer can be implemented in goja.</w:t>
            </w:r>
          </w:p>
        </w:tc>
        <w:tc>
          <w:tcPr>
            <w:tcW w:type="dxa" w:w="6264"/>
            <w:tcMar>
              <w:top w:w="65" w:type="dxa"/>
              <w:start w:w="80" w:type="dxa"/>
              <w:bottom w:w="65" w:type="dxa"/>
              <w:end w:w="80" w:type="dxa"/>
            </w:tcMar>
            <w:vAlign w:val="top"/>
          </w:tcPr>
          <w:p>
            <w:pPr>
              <w:spacing w:after="0" w:line="240" w:lineRule="auto"/>
            </w:pPr>
            <w:r>
              <w:rPr>
                <w:rFonts w:ascii="Liberation Serif" w:hAnsi="Liberation Serif"/>
                <w:color w:val="1F2937"/>
                <w:sz w:val="17"/>
              </w:rPr>
              <w:t>Engineering claim supported by the interpreter structure; requires a fork or upstream API and extensive conformance tests.</w:t>
            </w:r>
          </w:p>
        </w:tc>
      </w:tr>
      <w:tr>
        <w:trPr>
          <w:cantSplit/>
        </w:trPr>
        <w:tc>
          <w:tcPr>
            <w:tcW w:type="dxa" w:w="3672"/>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Read-only probes are transparent.</w:t>
            </w:r>
          </w:p>
        </w:tc>
        <w:tc>
          <w:tcPr>
            <w:tcW w:type="dxa" w:w="6264"/>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Desired theorem. It requires an explicit erasure or simulation proof and careful treatment of time, allocation, scheduling, and host effects.</w:t>
            </w:r>
          </w:p>
        </w:tc>
      </w:tr>
      <w:tr>
        <w:trPr>
          <w:cantSplit/>
        </w:trPr>
        <w:tc>
          <w:tcPr>
            <w:tcW w:type="dxa" w:w="3672"/>
            <w:tcMar>
              <w:top w:w="65" w:type="dxa"/>
              <w:start w:w="80" w:type="dxa"/>
              <w:bottom w:w="65" w:type="dxa"/>
              <w:end w:w="80" w:type="dxa"/>
            </w:tcMar>
            <w:vAlign w:val="top"/>
          </w:tcPr>
          <w:p>
            <w:pPr>
              <w:spacing w:after="0" w:line="240" w:lineRule="auto"/>
            </w:pPr>
            <w:r>
              <w:rPr>
                <w:rFonts w:ascii="Liberation Serif" w:hAnsi="Liberation Serif"/>
                <w:color w:val="1F2937"/>
                <w:sz w:val="17"/>
              </w:rPr>
              <w:t>A verified probe proves the JavaScript program correct.</w:t>
            </w:r>
          </w:p>
        </w:tc>
        <w:tc>
          <w:tcPr>
            <w:tcW w:type="dxa" w:w="6264"/>
            <w:tcMar>
              <w:top w:w="65" w:type="dxa"/>
              <w:start w:w="80" w:type="dxa"/>
              <w:bottom w:w="65" w:type="dxa"/>
              <w:end w:w="80" w:type="dxa"/>
            </w:tcMar>
            <w:vAlign w:val="top"/>
          </w:tcPr>
          <w:p>
            <w:pPr>
              <w:spacing w:after="0" w:line="240" w:lineRule="auto"/>
            </w:pPr>
            <w:r>
              <w:rPr>
                <w:rFonts w:ascii="Liberation Serif" w:hAnsi="Liberation Serif"/>
                <w:color w:val="1F2937"/>
                <w:sz w:val="17"/>
              </w:rPr>
              <w:t>False. The verifier establishes safety and boundedness of the probe; universal program correctness requires a separate proof or sound static analysis.</w:t>
            </w:r>
          </w:p>
        </w:tc>
      </w:tr>
      <w:tr>
        <w:trPr>
          <w:cantSplit/>
        </w:trPr>
        <w:tc>
          <w:tcPr>
            <w:tcW w:type="dxa" w:w="3672"/>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Passing runtime monitors establishes a property for all executions.</w:t>
            </w:r>
          </w:p>
        </w:tc>
        <w:tc>
          <w:tcPr>
            <w:tcW w:type="dxa" w:w="6264"/>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False in general. It establishes only that no violation was observed on monitored executions, unless combined with a coverage or proof argument.</w:t>
            </w:r>
          </w:p>
        </w:tc>
      </w:tr>
      <w:tr>
        <w:trPr>
          <w:cantSplit/>
        </w:trPr>
        <w:tc>
          <w:tcPr>
            <w:tcW w:type="dxa" w:w="3672"/>
            <w:tcMar>
              <w:top w:w="65" w:type="dxa"/>
              <w:start w:w="80" w:type="dxa"/>
              <w:bottom w:w="65" w:type="dxa"/>
              <w:end w:w="80" w:type="dxa"/>
            </w:tcMar>
            <w:vAlign w:val="top"/>
          </w:tcPr>
          <w:p>
            <w:pPr>
              <w:spacing w:after="0" w:line="240" w:lineRule="auto"/>
            </w:pPr>
            <w:r>
              <w:rPr>
                <w:rFonts w:ascii="Liberation Serif" w:hAnsi="Liberation Serif"/>
                <w:color w:val="1F2937"/>
                <w:sz w:val="17"/>
              </w:rPr>
              <w:t>The event ABI determines an observational theory.</w:t>
            </w:r>
          </w:p>
        </w:tc>
        <w:tc>
          <w:tcPr>
            <w:tcW w:type="dxa" w:w="6264"/>
            <w:tcMar>
              <w:top w:w="65" w:type="dxa"/>
              <w:start w:w="80" w:type="dxa"/>
              <w:bottom w:w="65" w:type="dxa"/>
              <w:end w:w="80" w:type="dxa"/>
            </w:tcMar>
            <w:vAlign w:val="top"/>
          </w:tcPr>
          <w:p>
            <w:pPr>
              <w:spacing w:after="0" w:line="240" w:lineRule="auto"/>
            </w:pPr>
            <w:r>
              <w:rPr>
                <w:rFonts w:ascii="Liberation Serif" w:hAnsi="Liberation Serif"/>
                <w:color w:val="1F2937"/>
                <w:sz w:val="17"/>
              </w:rPr>
              <w:t>Theoretical claim: giving probes more events makes more implementations or programs distinguishable.</w:t>
            </w:r>
          </w:p>
        </w:tc>
      </w:tr>
      <w:tr>
        <w:trPr>
          <w:cantSplit/>
        </w:trPr>
        <w:tc>
          <w:tcPr>
            <w:tcW w:type="dxa" w:w="3672"/>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The eBPF analogy is exact.</w:t>
            </w:r>
          </w:p>
        </w:tc>
        <w:tc>
          <w:tcPr>
            <w:tcW w:type="dxa" w:w="6264"/>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False. The useful analogy concerns safe extension architecture; JavaScript semantic probes need a different event model, state interface, and verifier.</w:t>
            </w:r>
          </w:p>
        </w:tc>
      </w:tr>
    </w:tbl>
    <w:p>
      <w:pPr>
        <w:spacing w:after="0"/>
      </w:pPr>
    </w:p>
    <w:p>
      <w:pPr>
        <w:pStyle w:val="Heading3"/>
      </w:pPr>
      <w:r>
        <w:rPr>
          <w:rFonts w:ascii="Liberation Sans" w:hAnsi="Liberation Sans"/>
          <w:b/>
          <w:color w:val="245C8A"/>
          <w:sz w:val="23"/>
        </w:rPr>
        <w:t>Terminology</w:t>
      </w:r>
    </w:p>
    <w:p>
      <w:pPr>
        <w:pStyle w:val="ListBullet"/>
        <w:spacing w:after="50" w:line="252" w:lineRule="auto"/>
        <w:ind w:left="317" w:hanging="230"/>
      </w:pPr>
      <w:r>
        <w:rPr>
          <w:rFonts w:ascii="Liberation Serif" w:hAnsi="Liberation Serif"/>
          <w:color w:val="1F2937"/>
          <w:sz w:val="20"/>
        </w:rPr>
        <w:t>Semantic event: a typed label representing a source-language, specification-level, or deliberately implementation-level transition.</w:t>
      </w:r>
    </w:p>
    <w:p>
      <w:pPr>
        <w:pStyle w:val="ListBullet"/>
        <w:spacing w:after="50" w:line="252" w:lineRule="auto"/>
        <w:ind w:left="317" w:hanging="230"/>
      </w:pPr>
      <w:r>
        <w:rPr>
          <w:rFonts w:ascii="Liberation Serif" w:hAnsi="Liberation Serif"/>
          <w:color w:val="1F2937"/>
          <w:sz w:val="20"/>
        </w:rPr>
        <w:t>Probe: a restricted program attached to selected event sites and executed with bounded, typed observations.</w:t>
      </w:r>
    </w:p>
    <w:p>
      <w:pPr>
        <w:pStyle w:val="ListBullet"/>
        <w:spacing w:after="50" w:line="252" w:lineRule="auto"/>
        <w:ind w:left="317" w:hanging="230"/>
      </w:pPr>
      <w:r>
        <w:rPr>
          <w:rFonts w:ascii="Liberation Serif" w:hAnsi="Liberation Serif"/>
          <w:color w:val="1F2937"/>
          <w:sz w:val="20"/>
        </w:rPr>
        <w:t>Monitor: a stateful interpretation of an event stream that reports acceptance, violation, or an inconclusive status.</w:t>
      </w:r>
    </w:p>
    <w:p>
      <w:pPr>
        <w:pStyle w:val="ListBullet"/>
        <w:spacing w:after="50" w:line="252" w:lineRule="auto"/>
        <w:ind w:left="317" w:hanging="230"/>
      </w:pPr>
      <w:r>
        <w:rPr>
          <w:rFonts w:ascii="Liberation Serif" w:hAnsi="Liberation Serif"/>
          <w:color w:val="1F2937"/>
          <w:sz w:val="20"/>
        </w:rPr>
        <w:t>Semantic map: metadata relating source spans, AST nodes, compiler sites, VM program counters, specification operations, and formal-rule identifiers.</w:t>
      </w:r>
    </w:p>
    <w:p>
      <w:pPr>
        <w:pStyle w:val="ListBullet"/>
        <w:spacing w:after="50" w:line="252" w:lineRule="auto"/>
        <w:ind w:left="317" w:hanging="230"/>
      </w:pPr>
      <w:r>
        <w:rPr>
          <w:rFonts w:ascii="Liberation Serif" w:hAnsi="Liberation Serif"/>
          <w:color w:val="1F2937"/>
          <w:sz w:val="20"/>
        </w:rPr>
        <w:t>Proof-relevant trace: an execution record containing enough bounded witness data for an independent checker to validate selected transitions or claims.</w:t>
      </w:r>
    </w:p>
    <w:p>
      <w:pPr>
        <w:pStyle w:val="ListBullet"/>
        <w:spacing w:after="50" w:line="252" w:lineRule="auto"/>
        <w:ind w:left="317" w:hanging="230"/>
      </w:pPr>
      <w:r>
        <w:rPr>
          <w:rFonts w:ascii="Liberation Serif" w:hAnsi="Liberation Serif"/>
          <w:color w:val="1F2937"/>
          <w:sz w:val="20"/>
        </w:rPr>
        <w:t>Transparent observation: instrumentation whose events and internal monitor state can be erased without changing the chosen observable behavior of the program.</w:t>
      </w:r>
    </w:p>
    <w:p>
      <w:pPr>
        <w:pStyle w:val="Heading1"/>
      </w:pPr>
      <w:r>
        <w:rPr>
          <w:rFonts w:ascii="Liberation Sans" w:hAnsi="Liberation Sans"/>
          <w:b/>
          <w:color w:val="193E5D"/>
          <w:sz w:val="40"/>
        </w:rPr>
        <w:t>Contents</w:t>
      </w:r>
    </w:p>
    <w:tbl>
      <w:tblPr>
        <w:tblW w:type="auto" w:w="0"/>
        <w:jc w:val="center"/>
        <w:tblLook w:firstColumn="1" w:firstRow="1" w:lastColumn="0" w:lastRow="0" w:noHBand="0" w:noVBand="1" w:val="04A0"/>
      </w:tblPr>
      <w:tblGrid>
        <w:gridCol w:w="4997"/>
        <w:gridCol w:w="4997"/>
      </w:tblGrid>
      <w:tr>
        <w:tc>
          <w:tcPr>
            <w:tcW w:type="dxa" w:w="1296"/>
            <w:tcMar>
              <w:top w:w="30" w:type="dxa"/>
              <w:start w:w="40" w:type="dxa"/>
              <w:bottom w:w="30" w:type="dxa"/>
              <w:end w:w="40" w:type="dxa"/>
            </w:tcMar>
            <w:shd w:fill="E8F0F7" w:val="clear"/>
          </w:tcPr>
          <w:p>
            <w:r>
              <w:rPr>
                <w:rFonts w:ascii="Liberation Sans" w:hAnsi="Liberation Sans"/>
                <w:b/>
                <w:color w:val="193E5D"/>
                <w:sz w:val="18"/>
              </w:rPr>
              <w:t>Part I</w:t>
            </w:r>
          </w:p>
        </w:tc>
        <w:tc>
          <w:tcPr>
            <w:tcW w:type="dxa" w:w="8496"/>
            <w:tcMar>
              <w:top w:w="30" w:type="dxa"/>
              <w:start w:w="40" w:type="dxa"/>
              <w:bottom w:w="30" w:type="dxa"/>
              <w:end w:w="40" w:type="dxa"/>
            </w:tcMar>
            <w:shd w:fill="E8F0F7" w:val="clear"/>
          </w:tcPr>
          <w:p>
            <w:r>
              <w:rPr>
                <w:rFonts w:ascii="Liberation Sans" w:hAnsi="Liberation Sans"/>
                <w:b/>
                <w:color w:val="193E5D"/>
                <w:sz w:val="18"/>
              </w:rPr>
              <w:t>Motivation, architecture, and research lineages</w:t>
            </w:r>
          </w:p>
        </w:tc>
      </w:tr>
      <w:tr>
        <w:tc>
          <w:tcPr>
            <w:tcW w:type="dxa" w:w="1296"/>
            <w:tcMar>
              <w:top w:w="30" w:type="dxa"/>
              <w:start w:w="40" w:type="dxa"/>
              <w:bottom w:w="30" w:type="dxa"/>
              <w:end w:w="40" w:type="dxa"/>
            </w:tcMar>
          </w:tcPr>
          <w:p>
            <w:r>
              <w:rPr>
                <w:rFonts w:ascii="Liberation Serif" w:hAnsi="Liberation Serif"/>
                <w:color w:val="586474"/>
                <w:sz w:val="17"/>
              </w:rPr>
              <w:t>1</w:t>
            </w:r>
          </w:p>
        </w:tc>
        <w:tc>
          <w:tcPr>
            <w:tcW w:type="dxa" w:w="8496"/>
            <w:tcMar>
              <w:top w:w="30" w:type="dxa"/>
              <w:start w:w="40" w:type="dxa"/>
              <w:bottom w:w="30" w:type="dxa"/>
              <w:end w:w="40" w:type="dxa"/>
            </w:tcMar>
          </w:tcPr>
          <w:p>
            <w:r>
              <w:rPr>
                <w:rFonts w:ascii="Liberation Serif" w:hAnsi="Liberation Serif"/>
                <w:color w:val="1F2937"/>
                <w:sz w:val="17"/>
              </w:rPr>
              <w:t>Problem statement and design thesis</w:t>
            </w:r>
          </w:p>
        </w:tc>
      </w:tr>
      <w:tr>
        <w:tc>
          <w:tcPr>
            <w:tcW w:type="dxa" w:w="1296"/>
            <w:tcMar>
              <w:top w:w="30" w:type="dxa"/>
              <w:start w:w="40" w:type="dxa"/>
              <w:bottom w:w="30" w:type="dxa"/>
              <w:end w:w="40" w:type="dxa"/>
            </w:tcMar>
          </w:tcPr>
          <w:p>
            <w:r>
              <w:rPr>
                <w:rFonts w:ascii="Liberation Serif" w:hAnsi="Liberation Serif"/>
                <w:color w:val="586474"/>
                <w:sz w:val="17"/>
              </w:rPr>
              <w:t>2</w:t>
            </w:r>
          </w:p>
        </w:tc>
        <w:tc>
          <w:tcPr>
            <w:tcW w:type="dxa" w:w="8496"/>
            <w:tcMar>
              <w:top w:w="30" w:type="dxa"/>
              <w:start w:w="40" w:type="dxa"/>
              <w:bottom w:w="30" w:type="dxa"/>
              <w:end w:w="40" w:type="dxa"/>
            </w:tcMar>
          </w:tcPr>
          <w:p>
            <w:r>
              <w:rPr>
                <w:rFonts w:ascii="Liberation Serif" w:hAnsi="Liberation Serif"/>
                <w:color w:val="1F2937"/>
                <w:sz w:val="17"/>
              </w:rPr>
              <w:t>The research lineages that meet in semantic probes</w:t>
            </w:r>
          </w:p>
        </w:tc>
      </w:tr>
      <w:tr>
        <w:tc>
          <w:tcPr>
            <w:tcW w:type="dxa" w:w="1296"/>
            <w:tcMar>
              <w:top w:w="30" w:type="dxa"/>
              <w:start w:w="40" w:type="dxa"/>
              <w:bottom w:w="30" w:type="dxa"/>
              <w:end w:w="40" w:type="dxa"/>
            </w:tcMar>
          </w:tcPr>
          <w:p>
            <w:r>
              <w:rPr>
                <w:rFonts w:ascii="Liberation Serif" w:hAnsi="Liberation Serif"/>
                <w:color w:val="586474"/>
                <w:sz w:val="17"/>
              </w:rPr>
              <w:t>3</w:t>
            </w:r>
          </w:p>
        </w:tc>
        <w:tc>
          <w:tcPr>
            <w:tcW w:type="dxa" w:w="8496"/>
            <w:tcMar>
              <w:top w:w="30" w:type="dxa"/>
              <w:start w:w="40" w:type="dxa"/>
              <w:bottom w:w="30" w:type="dxa"/>
              <w:end w:w="40" w:type="dxa"/>
            </w:tcMar>
          </w:tcPr>
          <w:p>
            <w:r>
              <w:rPr>
                <w:rFonts w:ascii="Liberation Serif" w:hAnsi="Liberation Serif"/>
                <w:color w:val="1F2937"/>
                <w:sz w:val="17"/>
              </w:rPr>
              <w:t>Research questions and evaluation criteria</w:t>
            </w:r>
          </w:p>
        </w:tc>
      </w:tr>
      <w:tr>
        <w:tc>
          <w:tcPr>
            <w:tcW w:type="dxa" w:w="1296"/>
            <w:tcMar>
              <w:top w:w="30" w:type="dxa"/>
              <w:start w:w="40" w:type="dxa"/>
              <w:bottom w:w="30" w:type="dxa"/>
              <w:end w:w="40" w:type="dxa"/>
            </w:tcMar>
            <w:shd w:fill="E8F0F7" w:val="clear"/>
          </w:tcPr>
          <w:p>
            <w:r>
              <w:rPr>
                <w:rFonts w:ascii="Liberation Sans" w:hAnsi="Liberation Sans"/>
                <w:b/>
                <w:color w:val="193E5D"/>
                <w:sz w:val="18"/>
              </w:rPr>
              <w:t>Part II</w:t>
            </w:r>
          </w:p>
        </w:tc>
        <w:tc>
          <w:tcPr>
            <w:tcW w:type="dxa" w:w="8496"/>
            <w:tcMar>
              <w:top w:w="30" w:type="dxa"/>
              <w:start w:w="40" w:type="dxa"/>
              <w:bottom w:w="30" w:type="dxa"/>
              <w:end w:w="40" w:type="dxa"/>
            </w:tcMar>
            <w:shd w:fill="E8F0F7" w:val="clear"/>
          </w:tcPr>
          <w:p>
            <w:r>
              <w:rPr>
                <w:rFonts w:ascii="Liberation Sans" w:hAnsi="Liberation Sans"/>
                <w:b/>
                <w:color w:val="193E5D"/>
                <w:sz w:val="18"/>
              </w:rPr>
              <w:t>Operational semantics of instrumentation</w:t>
            </w:r>
          </w:p>
        </w:tc>
      </w:tr>
      <w:tr>
        <w:tc>
          <w:tcPr>
            <w:tcW w:type="dxa" w:w="1296"/>
            <w:tcMar>
              <w:top w:w="30" w:type="dxa"/>
              <w:start w:w="40" w:type="dxa"/>
              <w:bottom w:w="30" w:type="dxa"/>
              <w:end w:w="40" w:type="dxa"/>
            </w:tcMar>
          </w:tcPr>
          <w:p>
            <w:r>
              <w:rPr>
                <w:rFonts w:ascii="Liberation Serif" w:hAnsi="Liberation Serif"/>
                <w:color w:val="586474"/>
                <w:sz w:val="17"/>
              </w:rPr>
              <w:t>4</w:t>
            </w:r>
          </w:p>
        </w:tc>
        <w:tc>
          <w:tcPr>
            <w:tcW w:type="dxa" w:w="8496"/>
            <w:tcMar>
              <w:top w:w="30" w:type="dxa"/>
              <w:start w:w="40" w:type="dxa"/>
              <w:bottom w:w="30" w:type="dxa"/>
              <w:end w:w="40" w:type="dxa"/>
            </w:tcMar>
          </w:tcPr>
          <w:p>
            <w:r>
              <w:rPr>
                <w:rFonts w:ascii="Liberation Serif" w:hAnsi="Liberation Serif"/>
                <w:color w:val="1F2937"/>
                <w:sz w:val="17"/>
              </w:rPr>
              <w:t>Configurations, abstract machines, and semantic boundaries</w:t>
            </w:r>
          </w:p>
        </w:tc>
      </w:tr>
      <w:tr>
        <w:tc>
          <w:tcPr>
            <w:tcW w:type="dxa" w:w="1296"/>
            <w:tcMar>
              <w:top w:w="30" w:type="dxa"/>
              <w:start w:w="40" w:type="dxa"/>
              <w:bottom w:w="30" w:type="dxa"/>
              <w:end w:w="40" w:type="dxa"/>
            </w:tcMar>
          </w:tcPr>
          <w:p>
            <w:r>
              <w:rPr>
                <w:rFonts w:ascii="Liberation Serif" w:hAnsi="Liberation Serif"/>
                <w:color w:val="586474"/>
                <w:sz w:val="17"/>
              </w:rPr>
              <w:t>5</w:t>
            </w:r>
          </w:p>
        </w:tc>
        <w:tc>
          <w:tcPr>
            <w:tcW w:type="dxa" w:w="8496"/>
            <w:tcMar>
              <w:top w:w="30" w:type="dxa"/>
              <w:start w:w="40" w:type="dxa"/>
              <w:bottom w:w="30" w:type="dxa"/>
              <w:end w:w="40" w:type="dxa"/>
            </w:tcMar>
          </w:tcPr>
          <w:p>
            <w:r>
              <w:rPr>
                <w:rFonts w:ascii="Liberation Serif" w:hAnsi="Liberation Serif"/>
                <w:color w:val="1F2937"/>
                <w:sz w:val="17"/>
              </w:rPr>
              <w:t>Labelled transition systems and the event algebra</w:t>
            </w:r>
          </w:p>
        </w:tc>
      </w:tr>
      <w:tr>
        <w:tc>
          <w:tcPr>
            <w:tcW w:type="dxa" w:w="1296"/>
            <w:tcMar>
              <w:top w:w="30" w:type="dxa"/>
              <w:start w:w="40" w:type="dxa"/>
              <w:bottom w:w="30" w:type="dxa"/>
              <w:end w:w="40" w:type="dxa"/>
            </w:tcMar>
          </w:tcPr>
          <w:p>
            <w:r>
              <w:rPr>
                <w:rFonts w:ascii="Liberation Serif" w:hAnsi="Liberation Serif"/>
                <w:color w:val="586474"/>
                <w:sz w:val="17"/>
              </w:rPr>
              <w:t>6</w:t>
            </w:r>
          </w:p>
        </w:tc>
        <w:tc>
          <w:tcPr>
            <w:tcW w:type="dxa" w:w="8496"/>
            <w:tcMar>
              <w:top w:w="30" w:type="dxa"/>
              <w:start w:w="40" w:type="dxa"/>
              <w:bottom w:w="30" w:type="dxa"/>
              <w:end w:w="40" w:type="dxa"/>
            </w:tcMar>
          </w:tcPr>
          <w:p>
            <w:r>
              <w:rPr>
                <w:rFonts w:ascii="Liberation Serif" w:hAnsi="Liberation Serif"/>
                <w:color w:val="1F2937"/>
                <w:sz w:val="17"/>
              </w:rPr>
              <w:t>From VM instructions to semantic macro-events</w:t>
            </w:r>
          </w:p>
        </w:tc>
      </w:tr>
      <w:tr>
        <w:tc>
          <w:tcPr>
            <w:tcW w:type="dxa" w:w="1296"/>
            <w:tcMar>
              <w:top w:w="30" w:type="dxa"/>
              <w:start w:w="40" w:type="dxa"/>
              <w:bottom w:w="30" w:type="dxa"/>
              <w:end w:w="40" w:type="dxa"/>
            </w:tcMar>
          </w:tcPr>
          <w:p>
            <w:r>
              <w:rPr>
                <w:rFonts w:ascii="Liberation Serif" w:hAnsi="Liberation Serif"/>
                <w:color w:val="586474"/>
                <w:sz w:val="17"/>
              </w:rPr>
              <w:t>7</w:t>
            </w:r>
          </w:p>
        </w:tc>
        <w:tc>
          <w:tcPr>
            <w:tcW w:type="dxa" w:w="8496"/>
            <w:tcMar>
              <w:top w:w="30" w:type="dxa"/>
              <w:start w:w="40" w:type="dxa"/>
              <w:bottom w:w="30" w:type="dxa"/>
              <w:end w:w="40" w:type="dxa"/>
            </w:tcMar>
          </w:tcPr>
          <w:p>
            <w:r>
              <w:rPr>
                <w:rFonts w:ascii="Liberation Serif" w:hAnsi="Liberation Serif"/>
                <w:color w:val="1F2937"/>
                <w:sz w:val="17"/>
              </w:rPr>
              <w:t>Product semantics for runtime monitors</w:t>
            </w:r>
          </w:p>
        </w:tc>
      </w:tr>
      <w:tr>
        <w:tc>
          <w:tcPr>
            <w:tcW w:type="dxa" w:w="1296"/>
            <w:tcMar>
              <w:top w:w="30" w:type="dxa"/>
              <w:start w:w="40" w:type="dxa"/>
              <w:bottom w:w="30" w:type="dxa"/>
              <w:end w:w="40" w:type="dxa"/>
            </w:tcMar>
          </w:tcPr>
          <w:p>
            <w:r>
              <w:rPr>
                <w:rFonts w:ascii="Liberation Serif" w:hAnsi="Liberation Serif"/>
                <w:color w:val="586474"/>
                <w:sz w:val="17"/>
              </w:rPr>
              <w:t>8</w:t>
            </w:r>
          </w:p>
        </w:tc>
        <w:tc>
          <w:tcPr>
            <w:tcW w:type="dxa" w:w="8496"/>
            <w:tcMar>
              <w:top w:w="30" w:type="dxa"/>
              <w:start w:w="40" w:type="dxa"/>
              <w:bottom w:w="30" w:type="dxa"/>
              <w:end w:w="40" w:type="dxa"/>
            </w:tcMar>
          </w:tcPr>
          <w:p>
            <w:r>
              <w:rPr>
                <w:rFonts w:ascii="Liberation Serif" w:hAnsi="Liberation Serif"/>
                <w:color w:val="1F2937"/>
                <w:sz w:val="17"/>
              </w:rPr>
              <w:t>Correctness obligations for the event layer</w:t>
            </w:r>
          </w:p>
        </w:tc>
      </w:tr>
      <w:tr>
        <w:tc>
          <w:tcPr>
            <w:tcW w:type="dxa" w:w="1296"/>
            <w:tcMar>
              <w:top w:w="30" w:type="dxa"/>
              <w:start w:w="40" w:type="dxa"/>
              <w:bottom w:w="30" w:type="dxa"/>
              <w:end w:w="40" w:type="dxa"/>
            </w:tcMar>
          </w:tcPr>
          <w:p>
            <w:r>
              <w:rPr>
                <w:rFonts w:ascii="Liberation Serif" w:hAnsi="Liberation Serif"/>
                <w:color w:val="586474"/>
                <w:sz w:val="17"/>
              </w:rPr>
              <w:t>9</w:t>
            </w:r>
          </w:p>
        </w:tc>
        <w:tc>
          <w:tcPr>
            <w:tcW w:type="dxa" w:w="8496"/>
            <w:tcMar>
              <w:top w:w="30" w:type="dxa"/>
              <w:start w:w="40" w:type="dxa"/>
              <w:bottom w:w="30" w:type="dxa"/>
              <w:end w:w="40" w:type="dxa"/>
            </w:tcMar>
          </w:tcPr>
          <w:p>
            <w:r>
              <w:rPr>
                <w:rFonts w:ascii="Liberation Serif" w:hAnsi="Liberation Serif"/>
                <w:color w:val="1F2937"/>
                <w:sz w:val="17"/>
              </w:rPr>
              <w:t>Exceptions, constructors, generators, async functions, and jobs</w:t>
            </w:r>
          </w:p>
        </w:tc>
      </w:tr>
      <w:tr>
        <w:tc>
          <w:tcPr>
            <w:tcW w:type="dxa" w:w="1296"/>
            <w:tcMar>
              <w:top w:w="30" w:type="dxa"/>
              <w:start w:w="40" w:type="dxa"/>
              <w:bottom w:w="30" w:type="dxa"/>
              <w:end w:w="40" w:type="dxa"/>
            </w:tcMar>
          </w:tcPr>
          <w:p>
            <w:r>
              <w:rPr>
                <w:rFonts w:ascii="Liberation Serif" w:hAnsi="Liberation Serif"/>
                <w:color w:val="586474"/>
                <w:sz w:val="17"/>
              </w:rPr>
              <w:t>10</w:t>
            </w:r>
          </w:p>
        </w:tc>
        <w:tc>
          <w:tcPr>
            <w:tcW w:type="dxa" w:w="8496"/>
            <w:tcMar>
              <w:top w:w="30" w:type="dxa"/>
              <w:start w:w="40" w:type="dxa"/>
              <w:bottom w:w="30" w:type="dxa"/>
              <w:end w:w="40" w:type="dxa"/>
            </w:tcMar>
          </w:tcPr>
          <w:p>
            <w:r>
              <w:rPr>
                <w:rFonts w:ascii="Liberation Serif" w:hAnsi="Liberation Serif"/>
                <w:color w:val="1F2937"/>
                <w:sz w:val="17"/>
              </w:rPr>
              <w:t>Observation, enforcement, and intervention</w:t>
            </w:r>
          </w:p>
        </w:tc>
      </w:tr>
      <w:tr>
        <w:tc>
          <w:tcPr>
            <w:tcW w:type="dxa" w:w="1296"/>
            <w:tcMar>
              <w:top w:w="30" w:type="dxa"/>
              <w:start w:w="40" w:type="dxa"/>
              <w:bottom w:w="30" w:type="dxa"/>
              <w:end w:w="40" w:type="dxa"/>
            </w:tcMar>
          </w:tcPr>
          <w:p>
            <w:r>
              <w:rPr>
                <w:rFonts w:ascii="Liberation Serif" w:hAnsi="Liberation Serif"/>
                <w:color w:val="586474"/>
                <w:sz w:val="17"/>
              </w:rPr>
              <w:t>11</w:t>
            </w:r>
          </w:p>
        </w:tc>
        <w:tc>
          <w:tcPr>
            <w:tcW w:type="dxa" w:w="8496"/>
            <w:tcMar>
              <w:top w:w="30" w:type="dxa"/>
              <w:start w:w="40" w:type="dxa"/>
              <w:bottom w:w="30" w:type="dxa"/>
              <w:end w:w="40" w:type="dxa"/>
            </w:tcMar>
          </w:tcPr>
          <w:p>
            <w:r>
              <w:rPr>
                <w:rFonts w:ascii="Liberation Serif" w:hAnsi="Liberation Serif"/>
                <w:color w:val="1F2937"/>
                <w:sz w:val="17"/>
              </w:rPr>
              <w:t>Causality, host semantics, and multi-agent executions</w:t>
            </w:r>
          </w:p>
        </w:tc>
      </w:tr>
      <w:tr>
        <w:tc>
          <w:tcPr>
            <w:tcW w:type="dxa" w:w="1296"/>
            <w:tcMar>
              <w:top w:w="30" w:type="dxa"/>
              <w:start w:w="40" w:type="dxa"/>
              <w:bottom w:w="30" w:type="dxa"/>
              <w:end w:w="40" w:type="dxa"/>
            </w:tcMar>
            <w:shd w:fill="E8F0F7" w:val="clear"/>
          </w:tcPr>
          <w:p>
            <w:r>
              <w:rPr>
                <w:rFonts w:ascii="Liberation Sans" w:hAnsi="Liberation Sans"/>
                <w:b/>
                <w:color w:val="193E5D"/>
                <w:sz w:val="18"/>
              </w:rPr>
              <w:t>Part III</w:t>
            </w:r>
          </w:p>
        </w:tc>
        <w:tc>
          <w:tcPr>
            <w:tcW w:type="dxa" w:w="8496"/>
            <w:tcMar>
              <w:top w:w="30" w:type="dxa"/>
              <w:start w:w="40" w:type="dxa"/>
              <w:bottom w:w="30" w:type="dxa"/>
              <w:end w:w="40" w:type="dxa"/>
            </w:tcMar>
            <w:shd w:fill="E8F0F7" w:val="clear"/>
          </w:tcPr>
          <w:p>
            <w:r>
              <w:rPr>
                <w:rFonts w:ascii="Liberation Sans" w:hAnsi="Liberation Sans"/>
                <w:b/>
                <w:color w:val="193E5D"/>
                <w:sz w:val="18"/>
              </w:rPr>
              <w:t>Denotational and compositional interpretations</w:t>
            </w:r>
          </w:p>
        </w:tc>
      </w:tr>
      <w:tr>
        <w:tc>
          <w:tcPr>
            <w:tcW w:type="dxa" w:w="1296"/>
            <w:tcMar>
              <w:top w:w="30" w:type="dxa"/>
              <w:start w:w="40" w:type="dxa"/>
              <w:bottom w:w="30" w:type="dxa"/>
              <w:end w:w="40" w:type="dxa"/>
            </w:tcMar>
          </w:tcPr>
          <w:p>
            <w:r>
              <w:rPr>
                <w:rFonts w:ascii="Liberation Serif" w:hAnsi="Liberation Serif"/>
                <w:color w:val="586474"/>
                <w:sz w:val="17"/>
              </w:rPr>
              <w:t>12</w:t>
            </w:r>
          </w:p>
        </w:tc>
        <w:tc>
          <w:tcPr>
            <w:tcW w:type="dxa" w:w="8496"/>
            <w:tcMar>
              <w:top w:w="30" w:type="dxa"/>
              <w:start w:w="40" w:type="dxa"/>
              <w:bottom w:w="30" w:type="dxa"/>
              <w:end w:w="40" w:type="dxa"/>
            </w:tcMar>
          </w:tcPr>
          <w:p>
            <w:r>
              <w:rPr>
                <w:rFonts w:ascii="Liberation Serif" w:hAnsi="Liberation Serif"/>
                <w:color w:val="1F2937"/>
                <w:sz w:val="17"/>
              </w:rPr>
              <w:t>Trace denotations and infinite behavior</w:t>
            </w:r>
          </w:p>
        </w:tc>
      </w:tr>
      <w:tr>
        <w:tc>
          <w:tcPr>
            <w:tcW w:type="dxa" w:w="1296"/>
            <w:tcMar>
              <w:top w:w="30" w:type="dxa"/>
              <w:start w:w="40" w:type="dxa"/>
              <w:bottom w:w="30" w:type="dxa"/>
              <w:end w:w="40" w:type="dxa"/>
            </w:tcMar>
          </w:tcPr>
          <w:p>
            <w:r>
              <w:rPr>
                <w:rFonts w:ascii="Liberation Serif" w:hAnsi="Liberation Serif"/>
                <w:color w:val="586474"/>
                <w:sz w:val="17"/>
              </w:rPr>
              <w:t>13</w:t>
            </w:r>
          </w:p>
        </w:tc>
        <w:tc>
          <w:tcPr>
            <w:tcW w:type="dxa" w:w="8496"/>
            <w:tcMar>
              <w:top w:w="30" w:type="dxa"/>
              <w:start w:w="40" w:type="dxa"/>
              <w:bottom w:w="30" w:type="dxa"/>
              <w:end w:w="40" w:type="dxa"/>
            </w:tcMar>
          </w:tcPr>
          <w:p>
            <w:r>
              <w:rPr>
                <w:rFonts w:ascii="Liberation Serif" w:hAnsi="Liberation Serif"/>
                <w:color w:val="1F2937"/>
                <w:sz w:val="17"/>
              </w:rPr>
              <w:t>Monads, algebraic effects, and event handlers</w:t>
            </w:r>
          </w:p>
        </w:tc>
      </w:tr>
      <w:tr>
        <w:tc>
          <w:tcPr>
            <w:tcW w:type="dxa" w:w="1296"/>
            <w:tcMar>
              <w:top w:w="30" w:type="dxa"/>
              <w:start w:w="40" w:type="dxa"/>
              <w:bottom w:w="30" w:type="dxa"/>
              <w:end w:w="40" w:type="dxa"/>
            </w:tcMar>
          </w:tcPr>
          <w:p>
            <w:r>
              <w:rPr>
                <w:rFonts w:ascii="Liberation Serif" w:hAnsi="Liberation Serif"/>
                <w:color w:val="586474"/>
                <w:sz w:val="17"/>
              </w:rPr>
              <w:t>14</w:t>
            </w:r>
          </w:p>
        </w:tc>
        <w:tc>
          <w:tcPr>
            <w:tcW w:type="dxa" w:w="8496"/>
            <w:tcMar>
              <w:top w:w="30" w:type="dxa"/>
              <w:start w:w="40" w:type="dxa"/>
              <w:bottom w:w="30" w:type="dxa"/>
              <w:end w:w="40" w:type="dxa"/>
            </w:tcMar>
          </w:tcPr>
          <w:p>
            <w:r>
              <w:rPr>
                <w:rFonts w:ascii="Liberation Serif" w:hAnsi="Liberation Serif"/>
                <w:color w:val="1F2937"/>
                <w:sz w:val="17"/>
              </w:rPr>
              <w:t>Interaction trees and weak bisimulation</w:t>
            </w:r>
          </w:p>
        </w:tc>
      </w:tr>
      <w:tr>
        <w:tc>
          <w:tcPr>
            <w:tcW w:type="dxa" w:w="1296"/>
            <w:tcMar>
              <w:top w:w="30" w:type="dxa"/>
              <w:start w:w="40" w:type="dxa"/>
              <w:bottom w:w="30" w:type="dxa"/>
              <w:end w:w="40" w:type="dxa"/>
            </w:tcMar>
          </w:tcPr>
          <w:p>
            <w:r>
              <w:rPr>
                <w:rFonts w:ascii="Liberation Serif" w:hAnsi="Liberation Serif"/>
                <w:color w:val="586474"/>
                <w:sz w:val="17"/>
              </w:rPr>
              <w:t>15</w:t>
            </w:r>
          </w:p>
        </w:tc>
        <w:tc>
          <w:tcPr>
            <w:tcW w:type="dxa" w:w="8496"/>
            <w:tcMar>
              <w:top w:w="30" w:type="dxa"/>
              <w:start w:w="40" w:type="dxa"/>
              <w:bottom w:w="30" w:type="dxa"/>
              <w:end w:w="40" w:type="dxa"/>
            </w:tcMar>
          </w:tcPr>
          <w:p>
            <w:r>
              <w:rPr>
                <w:rFonts w:ascii="Liberation Serif" w:hAnsi="Liberation Serif"/>
                <w:color w:val="1F2937"/>
                <w:sz w:val="17"/>
              </w:rPr>
              <w:t>Metrics, costs, and folds over traces</w:t>
            </w:r>
          </w:p>
        </w:tc>
      </w:tr>
      <w:tr>
        <w:tc>
          <w:tcPr>
            <w:tcW w:type="dxa" w:w="1296"/>
            <w:tcMar>
              <w:top w:w="30" w:type="dxa"/>
              <w:start w:w="40" w:type="dxa"/>
              <w:bottom w:w="30" w:type="dxa"/>
              <w:end w:w="40" w:type="dxa"/>
            </w:tcMar>
          </w:tcPr>
          <w:p>
            <w:r>
              <w:rPr>
                <w:rFonts w:ascii="Liberation Serif" w:hAnsi="Liberation Serif"/>
                <w:color w:val="586474"/>
                <w:sz w:val="17"/>
              </w:rPr>
              <w:t>16</w:t>
            </w:r>
          </w:p>
        </w:tc>
        <w:tc>
          <w:tcPr>
            <w:tcW w:type="dxa" w:w="8496"/>
            <w:tcMar>
              <w:top w:w="30" w:type="dxa"/>
              <w:start w:w="40" w:type="dxa"/>
              <w:bottom w:w="30" w:type="dxa"/>
              <w:end w:w="40" w:type="dxa"/>
            </w:tcMar>
          </w:tcPr>
          <w:p>
            <w:r>
              <w:rPr>
                <w:rFonts w:ascii="Liberation Serif" w:hAnsi="Liberation Serif"/>
                <w:color w:val="1F2937"/>
                <w:sz w:val="17"/>
              </w:rPr>
              <w:t>Observational equivalence and full abstraction</w:t>
            </w:r>
          </w:p>
        </w:tc>
      </w:tr>
      <w:tr>
        <w:tc>
          <w:tcPr>
            <w:tcW w:type="dxa" w:w="1296"/>
            <w:tcMar>
              <w:top w:w="30" w:type="dxa"/>
              <w:start w:w="40" w:type="dxa"/>
              <w:bottom w:w="30" w:type="dxa"/>
              <w:end w:w="40" w:type="dxa"/>
            </w:tcMar>
            <w:shd w:fill="E8F0F7" w:val="clear"/>
          </w:tcPr>
          <w:p>
            <w:r>
              <w:rPr>
                <w:rFonts w:ascii="Liberation Sans" w:hAnsi="Liberation Sans"/>
                <w:b/>
                <w:color w:val="193E5D"/>
                <w:sz w:val="18"/>
              </w:rPr>
              <w:t>Part IV</w:t>
            </w:r>
          </w:p>
        </w:tc>
        <w:tc>
          <w:tcPr>
            <w:tcW w:type="dxa" w:w="8496"/>
            <w:tcMar>
              <w:top w:w="30" w:type="dxa"/>
              <w:start w:w="40" w:type="dxa"/>
              <w:bottom w:w="30" w:type="dxa"/>
              <w:end w:w="40" w:type="dxa"/>
            </w:tcMar>
            <w:shd w:fill="E8F0F7" w:val="clear"/>
          </w:tcPr>
          <w:p>
            <w:r>
              <w:rPr>
                <w:rFonts w:ascii="Liberation Sans" w:hAnsi="Liberation Sans"/>
                <w:b/>
                <w:color w:val="193E5D"/>
                <w:sz w:val="18"/>
              </w:rPr>
              <w:t>Verified probe execution</w:t>
            </w:r>
          </w:p>
        </w:tc>
      </w:tr>
      <w:tr>
        <w:tc>
          <w:tcPr>
            <w:tcW w:type="dxa" w:w="1296"/>
            <w:tcMar>
              <w:top w:w="30" w:type="dxa"/>
              <w:start w:w="40" w:type="dxa"/>
              <w:bottom w:w="30" w:type="dxa"/>
              <w:end w:w="40" w:type="dxa"/>
            </w:tcMar>
          </w:tcPr>
          <w:p>
            <w:r>
              <w:rPr>
                <w:rFonts w:ascii="Liberation Serif" w:hAnsi="Liberation Serif"/>
                <w:color w:val="586474"/>
                <w:sz w:val="17"/>
              </w:rPr>
              <w:t>17</w:t>
            </w:r>
          </w:p>
        </w:tc>
        <w:tc>
          <w:tcPr>
            <w:tcW w:type="dxa" w:w="8496"/>
            <w:tcMar>
              <w:top w:w="30" w:type="dxa"/>
              <w:start w:w="40" w:type="dxa"/>
              <w:bottom w:w="30" w:type="dxa"/>
              <w:end w:w="40" w:type="dxa"/>
            </w:tcMar>
          </w:tcPr>
          <w:p>
            <w:r>
              <w:rPr>
                <w:rFonts w:ascii="Liberation Serif" w:hAnsi="Liberation Serif"/>
                <w:color w:val="1F2937"/>
                <w:sz w:val="17"/>
              </w:rPr>
              <w:t>A restricted probe IR and verifier</w:t>
            </w:r>
          </w:p>
        </w:tc>
      </w:tr>
      <w:tr>
        <w:tc>
          <w:tcPr>
            <w:tcW w:type="dxa" w:w="1296"/>
            <w:tcMar>
              <w:top w:w="30" w:type="dxa"/>
              <w:start w:w="40" w:type="dxa"/>
              <w:bottom w:w="30" w:type="dxa"/>
              <w:end w:w="40" w:type="dxa"/>
            </w:tcMar>
          </w:tcPr>
          <w:p>
            <w:r>
              <w:rPr>
                <w:rFonts w:ascii="Liberation Serif" w:hAnsi="Liberation Serif"/>
                <w:color w:val="586474"/>
                <w:sz w:val="17"/>
              </w:rPr>
              <w:t>18</w:t>
            </w:r>
          </w:p>
        </w:tc>
        <w:tc>
          <w:tcPr>
            <w:tcW w:type="dxa" w:w="8496"/>
            <w:tcMar>
              <w:top w:w="30" w:type="dxa"/>
              <w:start w:w="40" w:type="dxa"/>
              <w:bottom w:w="30" w:type="dxa"/>
              <w:end w:w="40" w:type="dxa"/>
            </w:tcMar>
          </w:tcPr>
          <w:p>
            <w:r>
              <w:rPr>
                <w:rFonts w:ascii="Liberation Serif" w:hAnsi="Liberation Serif"/>
                <w:color w:val="1F2937"/>
                <w:sz w:val="17"/>
              </w:rPr>
              <w:t>Opaque handles and effect-controlled state projection</w:t>
            </w:r>
          </w:p>
        </w:tc>
      </w:tr>
      <w:tr>
        <w:tc>
          <w:tcPr>
            <w:tcW w:type="dxa" w:w="1296"/>
            <w:tcMar>
              <w:top w:w="30" w:type="dxa"/>
              <w:start w:w="40" w:type="dxa"/>
              <w:bottom w:w="30" w:type="dxa"/>
              <w:end w:w="40" w:type="dxa"/>
            </w:tcMar>
          </w:tcPr>
          <w:p>
            <w:r>
              <w:rPr>
                <w:rFonts w:ascii="Liberation Serif" w:hAnsi="Liberation Serif"/>
                <w:color w:val="586474"/>
                <w:sz w:val="17"/>
              </w:rPr>
              <w:t>19</w:t>
            </w:r>
          </w:p>
        </w:tc>
        <w:tc>
          <w:tcPr>
            <w:tcW w:type="dxa" w:w="8496"/>
            <w:tcMar>
              <w:top w:w="30" w:type="dxa"/>
              <w:start w:w="40" w:type="dxa"/>
              <w:bottom w:w="30" w:type="dxa"/>
              <w:end w:w="40" w:type="dxa"/>
            </w:tcMar>
          </w:tcPr>
          <w:p>
            <w:r>
              <w:rPr>
                <w:rFonts w:ascii="Liberation Serif" w:hAnsi="Liberation Serif"/>
                <w:color w:val="1F2937"/>
                <w:sz w:val="17"/>
              </w:rPr>
              <w:t>Maps, frame-local storage, and parametric monitoring</w:t>
            </w:r>
          </w:p>
        </w:tc>
      </w:tr>
      <w:tr>
        <w:tc>
          <w:tcPr>
            <w:tcW w:type="dxa" w:w="1296"/>
            <w:tcMar>
              <w:top w:w="30" w:type="dxa"/>
              <w:start w:w="40" w:type="dxa"/>
              <w:bottom w:w="30" w:type="dxa"/>
              <w:end w:w="40" w:type="dxa"/>
            </w:tcMar>
          </w:tcPr>
          <w:p>
            <w:r>
              <w:rPr>
                <w:rFonts w:ascii="Liberation Serif" w:hAnsi="Liberation Serif"/>
                <w:color w:val="586474"/>
                <w:sz w:val="17"/>
              </w:rPr>
              <w:t>20</w:t>
            </w:r>
          </w:p>
        </w:tc>
        <w:tc>
          <w:tcPr>
            <w:tcW w:type="dxa" w:w="8496"/>
            <w:tcMar>
              <w:top w:w="30" w:type="dxa"/>
              <w:start w:w="40" w:type="dxa"/>
              <w:bottom w:w="30" w:type="dxa"/>
              <w:end w:w="40" w:type="dxa"/>
            </w:tcMar>
          </w:tcPr>
          <w:p>
            <w:r>
              <w:rPr>
                <w:rFonts w:ascii="Liberation Serif" w:hAnsi="Liberation Serif"/>
                <w:color w:val="1F2937"/>
                <w:sz w:val="17"/>
              </w:rPr>
              <w:t>Safety, resource bounds, and the trusted computing base</w:t>
            </w:r>
          </w:p>
        </w:tc>
      </w:tr>
      <w:tr>
        <w:tc>
          <w:tcPr>
            <w:tcW w:type="dxa" w:w="1296"/>
            <w:tcMar>
              <w:top w:w="30" w:type="dxa"/>
              <w:start w:w="40" w:type="dxa"/>
              <w:bottom w:w="30" w:type="dxa"/>
              <w:end w:w="40" w:type="dxa"/>
            </w:tcMar>
            <w:shd w:fill="E8F0F7" w:val="clear"/>
          </w:tcPr>
          <w:p>
            <w:r>
              <w:rPr>
                <w:rFonts w:ascii="Liberation Sans" w:hAnsi="Liberation Sans"/>
                <w:b/>
                <w:color w:val="193E5D"/>
                <w:sz w:val="18"/>
              </w:rPr>
              <w:t>Part V</w:t>
            </w:r>
          </w:p>
        </w:tc>
        <w:tc>
          <w:tcPr>
            <w:tcW w:type="dxa" w:w="8496"/>
            <w:tcMar>
              <w:top w:w="30" w:type="dxa"/>
              <w:start w:w="40" w:type="dxa"/>
              <w:bottom w:w="30" w:type="dxa"/>
              <w:end w:w="40" w:type="dxa"/>
            </w:tcMar>
            <w:shd w:fill="E8F0F7" w:val="clear"/>
          </w:tcPr>
          <w:p>
            <w:r>
              <w:rPr>
                <w:rFonts w:ascii="Liberation Sans" w:hAnsi="Liberation Sans"/>
                <w:b/>
                <w:color w:val="193E5D"/>
                <w:sz w:val="18"/>
              </w:rPr>
              <w:t>Static analysis, runtime verification, and proof</w:t>
            </w:r>
          </w:p>
        </w:tc>
      </w:tr>
      <w:tr>
        <w:tc>
          <w:tcPr>
            <w:tcW w:type="dxa" w:w="1296"/>
            <w:tcMar>
              <w:top w:w="30" w:type="dxa"/>
              <w:start w:w="40" w:type="dxa"/>
              <w:bottom w:w="30" w:type="dxa"/>
              <w:end w:w="40" w:type="dxa"/>
            </w:tcMar>
          </w:tcPr>
          <w:p>
            <w:r>
              <w:rPr>
                <w:rFonts w:ascii="Liberation Serif" w:hAnsi="Liberation Serif"/>
                <w:color w:val="586474"/>
                <w:sz w:val="17"/>
              </w:rPr>
              <w:t>21</w:t>
            </w:r>
          </w:p>
        </w:tc>
        <w:tc>
          <w:tcPr>
            <w:tcW w:type="dxa" w:w="8496"/>
            <w:tcMar>
              <w:top w:w="30" w:type="dxa"/>
              <w:start w:w="40" w:type="dxa"/>
              <w:bottom w:w="30" w:type="dxa"/>
              <w:end w:w="40" w:type="dxa"/>
            </w:tcMar>
          </w:tcPr>
          <w:p>
            <w:r>
              <w:rPr>
                <w:rFonts w:ascii="Liberation Serif" w:hAnsi="Liberation Serif"/>
                <w:color w:val="1F2937"/>
                <w:sz w:val="17"/>
              </w:rPr>
              <w:t>One probe language with four interpretations</w:t>
            </w:r>
          </w:p>
        </w:tc>
      </w:tr>
      <w:tr>
        <w:tc>
          <w:tcPr>
            <w:tcW w:type="dxa" w:w="1296"/>
            <w:tcMar>
              <w:top w:w="30" w:type="dxa"/>
              <w:start w:w="40" w:type="dxa"/>
              <w:bottom w:w="30" w:type="dxa"/>
              <w:end w:w="40" w:type="dxa"/>
            </w:tcMar>
          </w:tcPr>
          <w:p>
            <w:r>
              <w:rPr>
                <w:rFonts w:ascii="Liberation Serif" w:hAnsi="Liberation Serif"/>
                <w:color w:val="586474"/>
                <w:sz w:val="17"/>
              </w:rPr>
              <w:t>22</w:t>
            </w:r>
          </w:p>
        </w:tc>
        <w:tc>
          <w:tcPr>
            <w:tcW w:type="dxa" w:w="8496"/>
            <w:tcMar>
              <w:top w:w="30" w:type="dxa"/>
              <w:start w:w="40" w:type="dxa"/>
              <w:bottom w:w="30" w:type="dxa"/>
              <w:end w:w="40" w:type="dxa"/>
            </w:tcMar>
          </w:tcPr>
          <w:p>
            <w:r>
              <w:rPr>
                <w:rFonts w:ascii="Liberation Serif" w:hAnsi="Liberation Serif"/>
                <w:color w:val="1F2937"/>
                <w:sz w:val="17"/>
              </w:rPr>
              <w:t>Abstract interpretation and abstract machines</w:t>
            </w:r>
          </w:p>
        </w:tc>
      </w:tr>
      <w:tr>
        <w:tc>
          <w:tcPr>
            <w:tcW w:type="dxa" w:w="1296"/>
            <w:tcMar>
              <w:top w:w="30" w:type="dxa"/>
              <w:start w:w="40" w:type="dxa"/>
              <w:bottom w:w="30" w:type="dxa"/>
              <w:end w:w="40" w:type="dxa"/>
            </w:tcMar>
          </w:tcPr>
          <w:p>
            <w:r>
              <w:rPr>
                <w:rFonts w:ascii="Liberation Serif" w:hAnsi="Liberation Serif"/>
                <w:color w:val="586474"/>
                <w:sz w:val="17"/>
              </w:rPr>
              <w:t>23</w:t>
            </w:r>
          </w:p>
        </w:tc>
        <w:tc>
          <w:tcPr>
            <w:tcW w:type="dxa" w:w="8496"/>
            <w:tcMar>
              <w:top w:w="30" w:type="dxa"/>
              <w:start w:w="40" w:type="dxa"/>
              <w:bottom w:w="30" w:type="dxa"/>
              <w:end w:w="40" w:type="dxa"/>
            </w:tcMar>
          </w:tcPr>
          <w:p>
            <w:r>
              <w:rPr>
                <w:rFonts w:ascii="Liberation Serif" w:hAnsi="Liberation Serif"/>
                <w:color w:val="1F2937"/>
                <w:sz w:val="17"/>
              </w:rPr>
              <w:t>Symbolic execution, concolic testing, and refinement</w:t>
            </w:r>
          </w:p>
        </w:tc>
      </w:tr>
      <w:tr>
        <w:tc>
          <w:tcPr>
            <w:tcW w:type="dxa" w:w="1296"/>
            <w:tcMar>
              <w:top w:w="30" w:type="dxa"/>
              <w:start w:w="40" w:type="dxa"/>
              <w:bottom w:w="30" w:type="dxa"/>
              <w:end w:w="40" w:type="dxa"/>
            </w:tcMar>
          </w:tcPr>
          <w:p>
            <w:r>
              <w:rPr>
                <w:rFonts w:ascii="Liberation Serif" w:hAnsi="Liberation Serif"/>
                <w:color w:val="586474"/>
                <w:sz w:val="17"/>
              </w:rPr>
              <w:t>24</w:t>
            </w:r>
          </w:p>
        </w:tc>
        <w:tc>
          <w:tcPr>
            <w:tcW w:type="dxa" w:w="8496"/>
            <w:tcMar>
              <w:top w:w="30" w:type="dxa"/>
              <w:start w:w="40" w:type="dxa"/>
              <w:bottom w:w="30" w:type="dxa"/>
              <w:end w:w="40" w:type="dxa"/>
            </w:tcMar>
          </w:tcPr>
          <w:p>
            <w:r>
              <w:rPr>
                <w:rFonts w:ascii="Liberation Serif" w:hAnsi="Liberation Serif"/>
                <w:color w:val="1F2937"/>
                <w:sz w:val="17"/>
              </w:rPr>
              <w:t>Contracts, hybrid checking, and residual verification</w:t>
            </w:r>
          </w:p>
        </w:tc>
      </w:tr>
      <w:tr>
        <w:tc>
          <w:tcPr>
            <w:tcW w:type="dxa" w:w="1296"/>
            <w:tcMar>
              <w:top w:w="30" w:type="dxa"/>
              <w:start w:w="40" w:type="dxa"/>
              <w:bottom w:w="30" w:type="dxa"/>
              <w:end w:w="40" w:type="dxa"/>
            </w:tcMar>
          </w:tcPr>
          <w:p>
            <w:r>
              <w:rPr>
                <w:rFonts w:ascii="Liberation Serif" w:hAnsi="Liberation Serif"/>
                <w:color w:val="586474"/>
                <w:sz w:val="17"/>
              </w:rPr>
              <w:t>25</w:t>
            </w:r>
          </w:p>
        </w:tc>
        <w:tc>
          <w:tcPr>
            <w:tcW w:type="dxa" w:w="8496"/>
            <w:tcMar>
              <w:top w:w="30" w:type="dxa"/>
              <w:start w:w="40" w:type="dxa"/>
              <w:bottom w:w="30" w:type="dxa"/>
              <w:end w:w="40" w:type="dxa"/>
            </w:tcMar>
          </w:tcPr>
          <w:p>
            <w:r>
              <w:rPr>
                <w:rFonts w:ascii="Liberation Serif" w:hAnsi="Liberation Serif"/>
                <w:color w:val="1F2937"/>
                <w:sz w:val="17"/>
              </w:rPr>
              <w:t>Temporal properties and hyperproperties</w:t>
            </w:r>
          </w:p>
        </w:tc>
      </w:tr>
      <w:tr>
        <w:tc>
          <w:tcPr>
            <w:tcW w:type="dxa" w:w="1296"/>
            <w:tcMar>
              <w:top w:w="30" w:type="dxa"/>
              <w:start w:w="40" w:type="dxa"/>
              <w:bottom w:w="30" w:type="dxa"/>
              <w:end w:w="40" w:type="dxa"/>
            </w:tcMar>
          </w:tcPr>
          <w:p>
            <w:r>
              <w:rPr>
                <w:rFonts w:ascii="Liberation Serif" w:hAnsi="Liberation Serif"/>
                <w:color w:val="586474"/>
                <w:sz w:val="17"/>
              </w:rPr>
              <w:t>26</w:t>
            </w:r>
          </w:p>
        </w:tc>
        <w:tc>
          <w:tcPr>
            <w:tcW w:type="dxa" w:w="8496"/>
            <w:tcMar>
              <w:top w:w="30" w:type="dxa"/>
              <w:start w:w="40" w:type="dxa"/>
              <w:bottom w:w="30" w:type="dxa"/>
              <w:end w:w="40" w:type="dxa"/>
            </w:tcMar>
          </w:tcPr>
          <w:p>
            <w:r>
              <w:rPr>
                <w:rFonts w:ascii="Liberation Serif" w:hAnsi="Liberation Serif"/>
                <w:color w:val="1F2937"/>
                <w:sz w:val="17"/>
              </w:rPr>
              <w:t>Proof-relevant traces and independently checked evidence</w:t>
            </w:r>
          </w:p>
        </w:tc>
      </w:tr>
      <w:tr>
        <w:tc>
          <w:tcPr>
            <w:tcW w:type="dxa" w:w="1296"/>
            <w:tcMar>
              <w:top w:w="30" w:type="dxa"/>
              <w:start w:w="40" w:type="dxa"/>
              <w:bottom w:w="30" w:type="dxa"/>
              <w:end w:w="40" w:type="dxa"/>
            </w:tcMar>
            <w:shd w:fill="E8F0F7" w:val="clear"/>
          </w:tcPr>
          <w:p>
            <w:r>
              <w:rPr>
                <w:rFonts w:ascii="Liberation Sans" w:hAnsi="Liberation Sans"/>
                <w:b/>
                <w:color w:val="193E5D"/>
                <w:sz w:val="18"/>
              </w:rPr>
              <w:t>Part VI</w:t>
            </w:r>
          </w:p>
        </w:tc>
        <w:tc>
          <w:tcPr>
            <w:tcW w:type="dxa" w:w="8496"/>
            <w:tcMar>
              <w:top w:w="30" w:type="dxa"/>
              <w:start w:w="40" w:type="dxa"/>
              <w:bottom w:w="30" w:type="dxa"/>
              <w:end w:w="40" w:type="dxa"/>
            </w:tcMar>
            <w:shd w:fill="E8F0F7" w:val="clear"/>
          </w:tcPr>
          <w:p>
            <w:r>
              <w:rPr>
                <w:rFonts w:ascii="Liberation Sans" w:hAnsi="Liberation Sans"/>
                <w:b/>
                <w:color w:val="193E5D"/>
                <w:sz w:val="18"/>
              </w:rPr>
              <w:t>JavaScript, goja, and the academic workbench</w:t>
            </w:r>
          </w:p>
        </w:tc>
      </w:tr>
      <w:tr>
        <w:tc>
          <w:tcPr>
            <w:tcW w:type="dxa" w:w="1296"/>
            <w:tcMar>
              <w:top w:w="30" w:type="dxa"/>
              <w:start w:w="40" w:type="dxa"/>
              <w:bottom w:w="30" w:type="dxa"/>
              <w:end w:w="40" w:type="dxa"/>
            </w:tcMar>
          </w:tcPr>
          <w:p>
            <w:r>
              <w:rPr>
                <w:rFonts w:ascii="Liberation Serif" w:hAnsi="Liberation Serif"/>
                <w:color w:val="586474"/>
                <w:sz w:val="17"/>
              </w:rPr>
              <w:t>27</w:t>
            </w:r>
          </w:p>
        </w:tc>
        <w:tc>
          <w:tcPr>
            <w:tcW w:type="dxa" w:w="8496"/>
            <w:tcMar>
              <w:top w:w="30" w:type="dxa"/>
              <w:start w:w="40" w:type="dxa"/>
              <w:bottom w:w="30" w:type="dxa"/>
              <w:end w:w="40" w:type="dxa"/>
            </w:tcMar>
          </w:tcPr>
          <w:p>
            <w:r>
              <w:rPr>
                <w:rFonts w:ascii="Liberation Serif" w:hAnsi="Liberation Serif"/>
                <w:color w:val="1F2937"/>
                <w:sz w:val="17"/>
              </w:rPr>
              <w:t>JavaScript semantics and executable specifications</w:t>
            </w:r>
          </w:p>
        </w:tc>
      </w:tr>
      <w:tr>
        <w:tc>
          <w:tcPr>
            <w:tcW w:type="dxa" w:w="1296"/>
            <w:tcMar>
              <w:top w:w="30" w:type="dxa"/>
              <w:start w:w="40" w:type="dxa"/>
              <w:bottom w:w="30" w:type="dxa"/>
              <w:end w:w="40" w:type="dxa"/>
            </w:tcMar>
          </w:tcPr>
          <w:p>
            <w:r>
              <w:rPr>
                <w:rFonts w:ascii="Liberation Serif" w:hAnsi="Liberation Serif"/>
                <w:color w:val="586474"/>
                <w:sz w:val="17"/>
              </w:rPr>
              <w:t>28</w:t>
            </w:r>
          </w:p>
        </w:tc>
        <w:tc>
          <w:tcPr>
            <w:tcW w:type="dxa" w:w="8496"/>
            <w:tcMar>
              <w:top w:w="30" w:type="dxa"/>
              <w:start w:w="40" w:type="dxa"/>
              <w:bottom w:w="30" w:type="dxa"/>
              <w:end w:w="40" w:type="dxa"/>
            </w:tcMar>
          </w:tcPr>
          <w:p>
            <w:r>
              <w:rPr>
                <w:rFonts w:ascii="Liberation Serif" w:hAnsi="Liberation Serif"/>
                <w:color w:val="1F2937"/>
                <w:sz w:val="17"/>
              </w:rPr>
              <w:t>Mapping goja execution to a semantic event ABI</w:t>
            </w:r>
          </w:p>
        </w:tc>
      </w:tr>
      <w:tr>
        <w:tc>
          <w:tcPr>
            <w:tcW w:type="dxa" w:w="1296"/>
            <w:tcMar>
              <w:top w:w="30" w:type="dxa"/>
              <w:start w:w="40" w:type="dxa"/>
              <w:bottom w:w="30" w:type="dxa"/>
              <w:end w:w="40" w:type="dxa"/>
            </w:tcMar>
          </w:tcPr>
          <w:p>
            <w:r>
              <w:rPr>
                <w:rFonts w:ascii="Liberation Serif" w:hAnsi="Liberation Serif"/>
                <w:color w:val="586474"/>
                <w:sz w:val="17"/>
              </w:rPr>
              <w:t>29</w:t>
            </w:r>
          </w:p>
        </w:tc>
        <w:tc>
          <w:tcPr>
            <w:tcW w:type="dxa" w:w="8496"/>
            <w:tcMar>
              <w:top w:w="30" w:type="dxa"/>
              <w:start w:w="40" w:type="dxa"/>
              <w:bottom w:w="30" w:type="dxa"/>
              <w:end w:w="40" w:type="dxa"/>
            </w:tcMar>
          </w:tcPr>
          <w:p>
            <w:r>
              <w:rPr>
                <w:rFonts w:ascii="Liberation Serif" w:hAnsi="Liberation Serif"/>
                <w:color w:val="1F2937"/>
                <w:sz w:val="17"/>
              </w:rPr>
              <w:t>Stable metadata and the semantic map</w:t>
            </w:r>
          </w:p>
        </w:tc>
      </w:tr>
      <w:tr>
        <w:tc>
          <w:tcPr>
            <w:tcW w:type="dxa" w:w="1296"/>
            <w:tcMar>
              <w:top w:w="30" w:type="dxa"/>
              <w:start w:w="40" w:type="dxa"/>
              <w:bottom w:w="30" w:type="dxa"/>
              <w:end w:w="40" w:type="dxa"/>
            </w:tcMar>
          </w:tcPr>
          <w:p>
            <w:r>
              <w:rPr>
                <w:rFonts w:ascii="Liberation Serif" w:hAnsi="Liberation Serif"/>
                <w:color w:val="586474"/>
                <w:sz w:val="17"/>
              </w:rPr>
              <w:t>30</w:t>
            </w:r>
          </w:p>
        </w:tc>
        <w:tc>
          <w:tcPr>
            <w:tcW w:type="dxa" w:w="8496"/>
            <w:tcMar>
              <w:top w:w="30" w:type="dxa"/>
              <w:start w:w="40" w:type="dxa"/>
              <w:bottom w:w="30" w:type="dxa"/>
              <w:end w:w="40" w:type="dxa"/>
            </w:tcMar>
          </w:tcPr>
          <w:p>
            <w:r>
              <w:rPr>
                <w:rFonts w:ascii="Liberation Serif" w:hAnsi="Liberation Serif"/>
                <w:color w:val="1F2937"/>
                <w:sz w:val="17"/>
              </w:rPr>
              <w:t>Daily academic tools and research workflows</w:t>
            </w:r>
          </w:p>
        </w:tc>
      </w:tr>
      <w:tr>
        <w:tc>
          <w:tcPr>
            <w:tcW w:type="dxa" w:w="1296"/>
            <w:tcMar>
              <w:top w:w="30" w:type="dxa"/>
              <w:start w:w="40" w:type="dxa"/>
              <w:bottom w:w="30" w:type="dxa"/>
              <w:end w:w="40" w:type="dxa"/>
            </w:tcMar>
          </w:tcPr>
          <w:p>
            <w:r>
              <w:rPr>
                <w:rFonts w:ascii="Liberation Serif" w:hAnsi="Liberation Serif"/>
                <w:color w:val="586474"/>
                <w:sz w:val="17"/>
              </w:rPr>
              <w:t>31</w:t>
            </w:r>
          </w:p>
        </w:tc>
        <w:tc>
          <w:tcPr>
            <w:tcW w:type="dxa" w:w="8496"/>
            <w:tcMar>
              <w:top w:w="30" w:type="dxa"/>
              <w:start w:w="40" w:type="dxa"/>
              <w:bottom w:w="30" w:type="dxa"/>
              <w:end w:w="40" w:type="dxa"/>
            </w:tcMar>
          </w:tcPr>
          <w:p>
            <w:r>
              <w:rPr>
                <w:rFonts w:ascii="Liberation Serif" w:hAnsi="Liberation Serif"/>
                <w:color w:val="1F2937"/>
                <w:sz w:val="17"/>
              </w:rPr>
              <w:t>Worked example: a ledger contract and protocol monitor</w:t>
            </w:r>
          </w:p>
        </w:tc>
      </w:tr>
      <w:tr>
        <w:tc>
          <w:tcPr>
            <w:tcW w:type="dxa" w:w="1296"/>
            <w:tcMar>
              <w:top w:w="30" w:type="dxa"/>
              <w:start w:w="40" w:type="dxa"/>
              <w:bottom w:w="30" w:type="dxa"/>
              <w:end w:w="40" w:type="dxa"/>
            </w:tcMar>
          </w:tcPr>
          <w:p>
            <w:r>
              <w:rPr>
                <w:rFonts w:ascii="Liberation Serif" w:hAnsi="Liberation Serif"/>
                <w:color w:val="586474"/>
                <w:sz w:val="17"/>
              </w:rPr>
              <w:t>32</w:t>
            </w:r>
          </w:p>
        </w:tc>
        <w:tc>
          <w:tcPr>
            <w:tcW w:type="dxa" w:w="8496"/>
            <w:tcMar>
              <w:top w:w="30" w:type="dxa"/>
              <w:start w:w="40" w:type="dxa"/>
              <w:bottom w:w="30" w:type="dxa"/>
              <w:end w:w="40" w:type="dxa"/>
            </w:tcMar>
          </w:tcPr>
          <w:p>
            <w:r>
              <w:rPr>
                <w:rFonts w:ascii="Liberation Serif" w:hAnsi="Liberation Serif"/>
                <w:color w:val="1F2937"/>
                <w:sz w:val="17"/>
              </w:rPr>
              <w:t>Evaluation methodology</w:t>
            </w:r>
          </w:p>
        </w:tc>
      </w:tr>
      <w:tr>
        <w:tc>
          <w:tcPr>
            <w:tcW w:type="dxa" w:w="1296"/>
            <w:tcMar>
              <w:top w:w="30" w:type="dxa"/>
              <w:start w:w="40" w:type="dxa"/>
              <w:bottom w:w="30" w:type="dxa"/>
              <w:end w:w="40" w:type="dxa"/>
            </w:tcMar>
          </w:tcPr>
          <w:p>
            <w:r>
              <w:rPr>
                <w:rFonts w:ascii="Liberation Serif" w:hAnsi="Liberation Serif"/>
                <w:color w:val="586474"/>
                <w:sz w:val="17"/>
              </w:rPr>
              <w:t>33</w:t>
            </w:r>
          </w:p>
        </w:tc>
        <w:tc>
          <w:tcPr>
            <w:tcW w:type="dxa" w:w="8496"/>
            <w:tcMar>
              <w:top w:w="30" w:type="dxa"/>
              <w:start w:w="40" w:type="dxa"/>
              <w:bottom w:w="30" w:type="dxa"/>
              <w:end w:w="40" w:type="dxa"/>
            </w:tcMar>
          </w:tcPr>
          <w:p>
            <w:r>
              <w:rPr>
                <w:rFonts w:ascii="Liberation Serif" w:hAnsi="Liberation Serif"/>
                <w:color w:val="1F2937"/>
                <w:sz w:val="17"/>
              </w:rPr>
              <w:t>Implementation roadmap and open research questions</w:t>
            </w:r>
          </w:p>
        </w:tc>
      </w:tr>
      <w:tr>
        <w:tc>
          <w:tcPr>
            <w:tcW w:type="dxa" w:w="1296"/>
            <w:tcMar>
              <w:top w:w="30" w:type="dxa"/>
              <w:start w:w="40" w:type="dxa"/>
              <w:bottom w:w="30" w:type="dxa"/>
              <w:end w:w="40" w:type="dxa"/>
            </w:tcMar>
            <w:shd w:fill="E8F0F7" w:val="clear"/>
          </w:tcPr>
          <w:p>
            <w:r>
              <w:rPr>
                <w:rFonts w:ascii="Liberation Sans" w:hAnsi="Liberation Sans"/>
                <w:b/>
                <w:color w:val="193E5D"/>
                <w:sz w:val="18"/>
              </w:rPr>
              <w:t>Appendices</w:t>
            </w:r>
          </w:p>
        </w:tc>
        <w:tc>
          <w:tcPr>
            <w:tcW w:type="dxa" w:w="8496"/>
            <w:tcMar>
              <w:top w:w="30" w:type="dxa"/>
              <w:start w:w="40" w:type="dxa"/>
              <w:bottom w:w="30" w:type="dxa"/>
              <w:end w:w="40" w:type="dxa"/>
            </w:tcMar>
            <w:shd w:fill="E8F0F7" w:val="clear"/>
          </w:tcPr>
          <w:p>
            <w:r>
              <w:rPr>
                <w:rFonts w:ascii="Liberation Sans" w:hAnsi="Liberation Sans"/>
                <w:b/>
                <w:color w:val="193E5D"/>
                <w:sz w:val="18"/>
              </w:rPr>
              <w:t>Formal core, event schema, probe IR, CLI sketches, and references</w:t>
            </w:r>
          </w:p>
        </w:tc>
      </w:tr>
    </w:tbl>
    <w:p>
      <w:pPr>
        <w:pStyle w:val="Heading2"/>
      </w:pPr>
      <w:r>
        <w:rPr>
          <w:rFonts w:ascii="Liberation Sans" w:hAnsi="Liberation Sans"/>
          <w:b/>
          <w:color w:val="193E5D"/>
          <w:sz w:val="30"/>
        </w:rPr>
        <w:t>How to read this document</w:t>
      </w:r>
    </w:p>
    <w:p>
      <w:pPr>
        <w:spacing w:line="259" w:lineRule="auto" w:after="80"/>
      </w:pPr>
      <w:r>
        <w:rPr>
          <w:rFonts w:ascii="Liberation Serif" w:hAnsi="Liberation Serif"/>
          <w:color w:val="1F2937"/>
          <w:sz w:val="20"/>
        </w:rPr>
        <w:t>Parts II and III give the mathematical interpretation of semantic probing. Part IV turns those foundations into a safe extension architecture. Part V explains how one property language can support runtime, symbolic, abstract, and theorem-prover workflows. Part VI makes the proposal concrete for JavaScript and goja. Readers primarily interested in implementation can begin with Chapters 17-20 and 28-33; readers primarily interested in semantics can begin with Chapters 4-16 and then return to the implementation chapters.</w:t>
      </w:r>
    </w:p>
    <w:p>
      <w:pPr>
        <w:spacing w:line="259" w:lineRule="auto" w:after="80"/>
      </w:pPr>
      <w:r>
        <w:rPr>
          <w:rFonts w:ascii="Liberation Serif" w:hAnsi="Liberation Serif"/>
          <w:color w:val="1F2937"/>
          <w:sz w:val="20"/>
        </w:rPr>
        <w:t>Citations use an author-date style. References to goja and go-go-goja describe the inspected source snapshots listed in the bibliography. ECMAScript references use the 2026 edition of ECMA-262. Formal notation is intentionally lightweight: the objective is to state interfaces and proof obligations clearly enough that they can be mechanized later in Redex, K, Rocq, Lean, or another framework.</w:t>
      </w:r>
    </w:p>
    <w:p>
      <w:r>
        <w:br w:type="page"/>
      </w:r>
    </w:p>
    <w:p>
      <w:pPr>
        <w:pStyle w:val="Heading1"/>
        <w:spacing w:before="0" w:after="160"/>
      </w:pPr>
      <w:r>
        <w:rPr>
          <w:rFonts w:ascii="Liberation Sans" w:hAnsi="Liberation Sans"/>
          <w:b/>
          <w:color w:val="193E5D"/>
          <w:sz w:val="40"/>
        </w:rPr>
        <w:t>Part I. Motivation, architecture, and research lineages</w:t>
      </w:r>
    </w:p>
    <w:p>
      <w:pPr>
        <w:spacing w:after="320"/>
      </w:pPr>
      <w:r>
        <w:rPr>
          <w:rFonts w:ascii="Liberation Serif" w:hAnsi="Liberation Serif"/>
          <w:i/>
          <w:color w:val="586474"/>
          <w:sz w:val="22"/>
        </w:rPr>
        <w:t>Why interpreter-level semantic probing is a research instrument rather than merely a profiling feature.</w:t>
      </w:r>
    </w:p>
    <w:p>
      <w:pPr>
        <w:pStyle w:val="Heading2"/>
      </w:pPr>
      <w:r>
        <w:rPr>
          <w:rFonts w:ascii="Liberation Sans" w:hAnsi="Liberation Sans"/>
          <w:b/>
          <w:color w:val="193E5D"/>
          <w:sz w:val="30"/>
        </w:rPr>
        <w:t>1. Problem statement and design thesis</w:t>
      </w:r>
    </w:p>
    <w:p>
      <w:pPr>
        <w:spacing w:after="140" w:line="259" w:lineRule="auto"/>
      </w:pPr>
      <w:r>
        <w:rPr>
          <w:rFonts w:ascii="Liberation Serif" w:hAnsi="Liberation Serif"/>
          <w:i/>
          <w:color w:val="193E5D"/>
          <w:sz w:val="22"/>
        </w:rPr>
        <w:t>The problem is to let analyses attach to a running JavaScript interpreter at semantically meaningful boundaries without turning every analysis into privileged, unbounded interpreter code.</w:t>
      </w:r>
    </w:p>
    <w:p>
      <w:pPr>
        <w:pStyle w:val="Heading3"/>
      </w:pPr>
      <w:r>
        <w:rPr>
          <w:rFonts w:ascii="Liberation Sans" w:hAnsi="Liberation Sans"/>
          <w:b/>
          <w:color w:val="245C8A"/>
          <w:sz w:val="23"/>
        </w:rPr>
        <w:t>1.1 The gap between observability and semantics</w:t>
      </w:r>
    </w:p>
    <w:p>
      <w:pPr>
        <w:spacing w:line="259" w:lineRule="auto" w:after="80"/>
        <w:ind w:firstLine="317"/>
      </w:pPr>
      <w:r>
        <w:rPr>
          <w:rFonts w:ascii="Liberation Serif" w:hAnsi="Liberation Serif"/>
          <w:color w:val="1F2937"/>
          <w:sz w:val="20"/>
        </w:rPr>
        <w:t>Production instrumentation typically observes implementation artifacts: operating-system probes, machine addresses, native call stacks, allocation sites, counters, or log statements. Formal semantics typically describes source-language configurations and transition rules. The two views are useful but poorly aligned. A source-level theorem about abrupt completion, environment lookup, Promise reaction ordering, or constructor return behavior cannot be checked reliably by observing only Go functions or wall-clock traces. Conversely, a formal model that cannot be related to the actual interpreter provides weak diagnostic help when a real execution diverges from the model.</w:t>
      </w:r>
    </w:p>
    <w:p>
      <w:pPr>
        <w:spacing w:line="259" w:lineRule="auto" w:after="80"/>
        <w:ind w:firstLine="317"/>
      </w:pPr>
      <w:r>
        <w:rPr>
          <w:rFonts w:ascii="Liberation Serif" w:hAnsi="Liberation Serif"/>
          <w:color w:val="1F2937"/>
          <w:sz w:val="20"/>
        </w:rPr>
        <w:t>The proposed layer closes that gap by requiring the interpreter to publish a versioned event vocabulary at semantic boundaries. A call event should mean that a call is about to be performed under a defined notion of callee, receiver, argument list, and call-site identity. A function-return event should mean that the function has semantically completed normally, including any finally processing. A function-throw event should mean that an abrupt completion actually crosses the function boundary, not merely that a throw instruction executed. This distinction is the core of the architecture.</w:t>
      </w:r>
    </w:p>
    <w:p>
      <w:pPr>
        <w:spacing w:line="259" w:lineRule="auto" w:after="80"/>
        <w:ind w:firstLine="317"/>
      </w:pPr>
      <w:r>
        <w:rPr>
          <w:rFonts w:ascii="Liberation Serif" w:hAnsi="Liberation Serif"/>
          <w:color w:val="1F2937"/>
          <w:sz w:val="20"/>
        </w:rPr>
        <w:t>The event layer is paired with a restricted probe language. Probes are not arbitrary JavaScript functions and do not receive raw VM pointers. They execute against typed, borrowed observations; use bounded helpers; update typed maps; emit bounded records; and, in an enforcement capability, report a structured invariant violation. This follows the safe-extensibility pattern of packet filters, proof-carrying code, typed assembly language, software fault isolation, DTrace, and eBPF, while changing the event and state model to suit a language interpreter (McCanne and Jacobson 1993; Wahbe et al. 1993; Necula 1997; Morrisett et al. 1999; Cantrill et al. 2004).</w:t>
      </w:r>
    </w:p>
    <w:p>
      <w:pPr>
        <w:spacing w:after="40"/>
        <w:jc w:val="center"/>
        <w:keepNext/>
      </w:pPr>
      <w:r>
        <w:drawing>
          <wp:inline xmlns:a="http://schemas.openxmlformats.org/drawingml/2006/main" xmlns:pic="http://schemas.openxmlformats.org/drawingml/2006/picture">
            <wp:extent cx="6172200" cy="2934849"/>
            <wp:docPr id="1" name="Picture 1" title="Figure 1. Proposed separation of compilation, interpreter execution, semantic events, and verified interpretations." descr="Pipeline from JavaScript source through parser and compiler to goja VM. The VM emits typed semantic events consumed by a verified probe program and handlers for metrics, monitors, traces, abstractions, and proof obligations."/>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172200" cy="2934849"/>
                    </a:xfrm>
                    <a:prstGeom prst="rect"/>
                  </pic:spPr>
                </pic:pic>
              </a:graphicData>
            </a:graphic>
          </wp:inline>
        </w:drawing>
      </w:r>
    </w:p>
    <w:p>
      <w:pPr>
        <w:spacing w:after="140"/>
        <w:jc w:val="center"/>
      </w:pPr>
      <w:r>
        <w:rPr>
          <w:rFonts w:ascii="Liberation Serif" w:hAnsi="Liberation Serif"/>
          <w:i/>
          <w:color w:val="586474"/>
          <w:sz w:val="17"/>
        </w:rPr>
        <w:t>Figure 1. Proposed separation of compilation, interpreter execution, semantic events, and verified interpretations.</w:t>
      </w:r>
    </w:p>
    <w:p>
      <w:pPr>
        <w:pStyle w:val="Heading3"/>
      </w:pPr>
      <w:r>
        <w:rPr>
          <w:rFonts w:ascii="Liberation Sans" w:hAnsi="Liberation Sans"/>
          <w:b/>
          <w:color w:val="245C8A"/>
          <w:sz w:val="23"/>
        </w:rPr>
        <w:t>1.2 Why an eBPF-like architecture, but not eBPF itself</w:t>
      </w:r>
    </w:p>
    <w:p>
      <w:pPr>
        <w:spacing w:line="259" w:lineRule="auto" w:after="80"/>
        <w:ind w:firstLine="317"/>
      </w:pPr>
      <w:r>
        <w:rPr>
          <w:rFonts w:ascii="Liberation Serif" w:hAnsi="Liberation Serif"/>
          <w:color w:val="1F2937"/>
          <w:sz w:val="20"/>
        </w:rPr>
        <w:t>The useful eBPF analogy is architectural. Linux accepts extension programs only after verification, grants access through a helper interface rather than arbitrary kernel pointers, provides typed persistent maps, attaches programs through explicit link types, and enforces program-specific execution constraints. The original Berkeley Packet Filter already demonstrated how a small verified machine could safely move filtering work close to a high-volume event source. DTrace later generalized safe dynamic instrumentation around named providers, predicates, aggregations, and low disabled-probe cost (McCanne and Jacobson 1993; Cantrill et al. 2004; Linux Kernel Documentation 2026).</w:t>
      </w:r>
    </w:p>
    <w:p>
      <w:pPr>
        <w:spacing w:line="259" w:lineRule="auto" w:after="80"/>
        <w:ind w:firstLine="317"/>
      </w:pPr>
      <w:r>
        <w:rPr>
          <w:rFonts w:ascii="Liberation Serif" w:hAnsi="Liberation Serif"/>
          <w:color w:val="1F2937"/>
          <w:sz w:val="20"/>
        </w:rPr>
        <w:t>A JavaScript semantic probe layer needs different primitives. The values of interest are not packet bytes or kernel structs but language values, lexical bindings, completion records, object identities, call-site metadata, job identities, Promise dependencies, and source spans. The dominant correctness problem is not only memory safety; it is whether the event corresponds to the intended source-language transition. A verifier can establish that a probe will terminate and cannot corrupt the VM while the event mapping remains semantically wrong. Therefore the event ABI and its refinement relation to the source semantics belong in the trusted base.</w:t>
      </w:r>
    </w:p>
    <w:p>
      <w:pPr>
        <w:pStyle w:val="Heading3"/>
      </w:pPr>
      <w:r>
        <w:rPr>
          <w:rFonts w:ascii="Liberation Sans" w:hAnsi="Liberation Sans"/>
          <w:b/>
          <w:color w:val="245C8A"/>
          <w:sz w:val="23"/>
        </w:rPr>
        <w:t>1.3 The design thesis</w:t>
      </w:r>
    </w:p>
    <w:tbl>
      <w:tblPr>
        <w:tblW w:type="auto" w:w="0"/>
        <w:jc w:val="center"/>
        <w:tblLayout w:type="autofit"/>
        <w:tblLook w:firstColumn="1" w:firstRow="1" w:lastColumn="0" w:lastRow="0" w:noHBand="0" w:noVBand="1" w:val="04A0"/>
      </w:tblPr>
      <w:tblGrid>
        <w:gridCol w:w="9994"/>
      </w:tblGrid>
      <w:tr>
        <w:tc>
          <w:tcPr>
            <w:tcW w:type="dxa" w:w="9994"/>
            <w:shd w:fill="F3F5F7" w:val="clear"/>
            <w:tcBorders>
              <w:top w:val="single" w:sz="6" w:color="9CA8B3"/>
              <w:left w:val="single" w:sz="6" w:color="9CA8B3"/>
              <w:bottom w:val="single" w:sz="6" w:color="9CA8B3"/>
              <w:right w:val="single" w:sz="6" w:color="9CA8B3"/>
            </w:tcBorders>
            <w:tcMar>
              <w:top w:w="110" w:type="dxa"/>
              <w:start w:w="150" w:type="dxa"/>
              <w:bottom w:w="110" w:type="dxa"/>
              <w:end w:w="150" w:type="dxa"/>
            </w:tcMar>
          </w:tcPr>
          <w:p>
            <w:pPr>
              <w:jc w:val="center"/>
            </w:pPr>
            <w:r>
              <w:rPr>
                <w:rFonts w:ascii="DejaVu Sans Mono" w:hAnsi="DejaVu Sans Mono"/>
                <w:color w:val="193E5D"/>
                <w:sz w:val="18"/>
              </w:rPr>
              <w:t>Interpreter execution  +  semantic event ABI  +  verified handlers  =  semantic workbench</w:t>
            </w:r>
          </w:p>
          <w:p>
            <w:pPr>
              <w:jc w:val="center"/>
            </w:pPr>
            <w:r>
              <w:rPr>
                <w:rFonts w:ascii="Liberation Serif" w:hAnsi="Liberation Serif"/>
                <w:i/>
                <w:color w:val="586474"/>
                <w:sz w:val="17"/>
              </w:rPr>
              <w:t>The terms are independent components with independent proof and testing obligations.</w:t>
            </w:r>
          </w:p>
        </w:tc>
      </w:tr>
    </w:tbl>
    <w:p>
      <w:pPr>
        <w:spacing w:after="0"/>
      </w:pPr>
    </w:p>
    <w:p>
      <w:pPr>
        <w:spacing w:line="259" w:lineRule="auto" w:after="80"/>
        <w:ind w:firstLine="317"/>
      </w:pPr>
      <w:r>
        <w:rPr>
          <w:rFonts w:ascii="Liberation Serif" w:hAnsi="Liberation Serif"/>
          <w:color w:val="1F2937"/>
          <w:sz w:val="20"/>
        </w:rPr>
        <w:t>The design thesis has four parts. First, the interpreter should expose a labelled transition interface rather than a bag of callbacks. Second, the probe language should be small enough to verify, execute predictably, and interpret in several semantic domains. Third, the compiler should produce stable metadata that relates source constructs, VM sites, and formal rules. Fourth, online monitoring and offline analysis should consume the same event records, so that a runtime violation, a differential trace, an invariant-mining result, and a proof-assistant artifact refer to the same execution vocabulary.</w:t>
      </w:r>
    </w:p>
    <w:tbl>
      <w:tblPr>
        <w:tblW w:type="auto" w:w="0"/>
        <w:jc w:val="center"/>
        <w:tblLook w:firstColumn="1" w:firstRow="1" w:lastColumn="0" w:lastRow="0" w:noHBand="0" w:noVBand="1" w:val="04A0"/>
      </w:tblPr>
      <w:tblGrid>
        <w:gridCol w:w="9994"/>
      </w:tblGrid>
      <w:tr>
        <w:tc>
          <w:tcPr>
            <w:tcW w:type="dxa" w:w="9994"/>
            <w:shd w:fill="EDF3E7" w:val="clear"/>
            <w:tcBorders>
              <w:top w:val="single" w:sz="8" w:color="245C8A"/>
              <w:left w:val="single" w:sz="8" w:color="245C8A"/>
              <w:bottom w:val="single" w:sz="8" w:color="245C8A"/>
              <w:right w:val="single" w:sz="8" w:color="245C8A"/>
            </w:tcBorders>
            <w:tcMar>
              <w:top w:w="110" w:type="dxa"/>
              <w:start w:w="150" w:type="dxa"/>
              <w:bottom w:w="110" w:type="dxa"/>
              <w:end w:w="150" w:type="dxa"/>
            </w:tcMar>
          </w:tcPr>
          <w:p>
            <w:pPr>
              <w:spacing w:after="60"/>
            </w:pPr>
            <w:r>
              <w:rPr>
                <w:rFonts w:ascii="Liberation Sans" w:hAnsi="Liberation Sans"/>
                <w:b/>
                <w:color w:val="193E5D"/>
                <w:sz w:val="17"/>
              </w:rPr>
              <w:t>DESIGN CONSEQUENCE  |  Why semantic boundaries matter</w:t>
            </w:r>
          </w:p>
          <w:p>
            <w:pPr>
              <w:spacing w:after="40" w:line="247" w:lineRule="auto"/>
            </w:pPr>
            <w:r>
              <w:rPr>
                <w:rFonts w:ascii="Liberation Serif" w:hAnsi="Liberation Serif"/>
                <w:color w:val="1F2937"/>
                <w:sz w:val="18"/>
              </w:rPr>
              <w:t>Instrumenting only source syntax misses calls introduced by getters, proxies, built-ins, host functions, direct eval, generated functions, and internal specification operations. Instrumenting every VM instruction is complete at the implementation level but too intensional, expensive, and unstable for most semantic claims. Semantic macro-events are an explicit abstraction layer between these extremes.</w:t>
            </w:r>
          </w:p>
        </w:tc>
      </w:tr>
    </w:tbl>
    <w:p>
      <w:pPr>
        <w:spacing w:after="0"/>
      </w:pPr>
    </w:p>
    <w:p>
      <w:pPr>
        <w:pStyle w:val="Heading2"/>
      </w:pPr>
      <w:r>
        <w:rPr>
          <w:rFonts w:ascii="Liberation Sans" w:hAnsi="Liberation Sans"/>
          <w:b/>
          <w:color w:val="193E5D"/>
          <w:sz w:val="30"/>
        </w:rPr>
        <w:t>2. The research lineages that meet in semantic probes</w:t>
      </w:r>
    </w:p>
    <w:p>
      <w:pPr>
        <w:spacing w:after="140" w:line="259" w:lineRule="auto"/>
      </w:pPr>
      <w:r>
        <w:rPr>
          <w:rFonts w:ascii="Liberation Serif" w:hAnsi="Liberation Serif"/>
          <w:i/>
          <w:color w:val="193E5D"/>
          <w:sz w:val="22"/>
        </w:rPr>
        <w:t>The proposal is best understood as a convergence of safe dynamic extension, runtime verification, contracts and weaving, and executable semantics.</w:t>
      </w:r>
    </w:p>
    <w:p>
      <w:pPr>
        <w:spacing w:after="40"/>
        <w:jc w:val="center"/>
        <w:keepNext/>
      </w:pPr>
      <w:r>
        <w:drawing>
          <wp:inline xmlns:a="http://schemas.openxmlformats.org/drawingml/2006/main" xmlns:pic="http://schemas.openxmlformats.org/drawingml/2006/picture">
            <wp:extent cx="6172200" cy="3582168"/>
            <wp:docPr id="2" name="Picture 2" title="Figure 2. Four research lineages contributing distinct obligations and design patterns." descr="Diagram showing safe dynamic instrumentation, runtime verification, contracts and aspect-oriented instrumentation, and executable mechanized semantics converging on a verified semantic event layer."/>
            <wp:cNvGraphicFramePr>
              <a:graphicFrameLocks noChangeAspect="1"/>
            </wp:cNvGraphicFramePr>
            <a:graphic>
              <a:graphicData uri="http://schemas.openxmlformats.org/drawingml/2006/picture">
                <pic:pic>
                  <pic:nvPicPr>
                    <pic:cNvPr id="0" name="lineages.png"/>
                    <pic:cNvPicPr/>
                  </pic:nvPicPr>
                  <pic:blipFill>
                    <a:blip r:embed="rId12"/>
                    <a:stretch>
                      <a:fillRect/>
                    </a:stretch>
                  </pic:blipFill>
                  <pic:spPr>
                    <a:xfrm>
                      <a:off x="0" y="0"/>
                      <a:ext cx="6172200" cy="3582168"/>
                    </a:xfrm>
                    <a:prstGeom prst="rect"/>
                  </pic:spPr>
                </pic:pic>
              </a:graphicData>
            </a:graphic>
          </wp:inline>
        </w:drawing>
      </w:r>
    </w:p>
    <w:p>
      <w:pPr>
        <w:spacing w:after="140"/>
        <w:jc w:val="center"/>
      </w:pPr>
      <w:r>
        <w:rPr>
          <w:rFonts w:ascii="Liberation Serif" w:hAnsi="Liberation Serif"/>
          <w:i/>
          <w:color w:val="586474"/>
          <w:sz w:val="17"/>
        </w:rPr>
        <w:t>Figure 2. Four research lineages contributing distinct obligations and design patterns.</w:t>
      </w:r>
    </w:p>
    <w:p>
      <w:pPr>
        <w:pStyle w:val="Heading3"/>
      </w:pPr>
      <w:r>
        <w:rPr>
          <w:rFonts w:ascii="Liberation Sans" w:hAnsi="Liberation Sans"/>
          <w:b/>
          <w:color w:val="245C8A"/>
          <w:sz w:val="23"/>
        </w:rPr>
        <w:t>2.1 Safe dynamic instrumentation</w:t>
      </w:r>
    </w:p>
    <w:p>
      <w:pPr>
        <w:spacing w:line="259" w:lineRule="auto" w:after="80"/>
        <w:ind w:firstLine="317"/>
      </w:pPr>
      <w:r>
        <w:rPr>
          <w:rFonts w:ascii="Liberation Serif" w:hAnsi="Liberation Serif"/>
          <w:color w:val="1F2937"/>
          <w:sz w:val="20"/>
        </w:rPr>
        <w:t>BPF, DTrace, software fault isolation, proof-carrying code, and typed assembly language address a common systems problem: how to admit extension code into a privileged or high-frequency execution environment without trusting the extension author. Their answers differ in mechanism, but the recurring ideas are restricted instruction sets, static validation, explicit capabilities, bounded state, and a small trusted checker. These ideas transfer directly to interpreter probes. They justify a separately verified IR, helper signatures, map schemas, attachment capabilities, and budget accounting. They do not by themselves justify the meaning of an event or the correctness of a JavaScript state projection.</w:t>
      </w:r>
    </w:p>
    <w:p>
      <w:pPr>
        <w:spacing w:line="259" w:lineRule="auto" w:after="80"/>
        <w:ind w:firstLine="317"/>
      </w:pPr>
      <w:r>
        <w:rPr>
          <w:rFonts w:ascii="Liberation Serif" w:hAnsi="Liberation Serif"/>
          <w:color w:val="1F2937"/>
          <w:sz w:val="20"/>
        </w:rPr>
        <w:t>DTrace contributes an additional lesson: stable providers should expose semantic names and typed arguments while hiding implementation details. A DTrace provider is more durable than probing an arbitrary internal function because it declares the intended observability contract. The analogue for goja is a semantic provider whose events are function entry, completion, exception propagation, property effects, job scheduling, and other language operations. As with DTrace, disabled probes should have near-zero effect, and enabled probes should use aggregations rather than forcing every raw event through an expensive external pipeline (Cantrill et al. 2004).</w:t>
      </w:r>
    </w:p>
    <w:p>
      <w:pPr>
        <w:pStyle w:val="Heading3"/>
      </w:pPr>
      <w:r>
        <w:rPr>
          <w:rFonts w:ascii="Liberation Sans" w:hAnsi="Liberation Sans"/>
          <w:b/>
          <w:color w:val="245C8A"/>
          <w:sz w:val="23"/>
        </w:rPr>
        <w:t>2.2 Runtime verification and monitoring-oriented programming</w:t>
      </w:r>
    </w:p>
    <w:p>
      <w:pPr>
        <w:spacing w:line="259" w:lineRule="auto" w:after="80"/>
        <w:ind w:firstLine="317"/>
      </w:pPr>
      <w:r>
        <w:rPr>
          <w:rFonts w:ascii="Liberation Serif" w:hAnsi="Liberation Serif"/>
          <w:color w:val="1F2937"/>
          <w:sz w:val="20"/>
        </w:rPr>
        <w:t>Runtime verification studies how formal properties are checked against an execution trace. The basic monitor consumes events and maintains a verdict state. Temporal logics, automata, regular properties, and rule systems provide different specification languages; three-valued or multi-valued semantics are often required because a finite prefix may neither prove nor refute a liveness claim (Leucker and Schallhart 2009; Bauer, Leucker, and Schallhart 2010, 2011; Bartocci and Falcone 2018).</w:t>
      </w:r>
    </w:p>
    <w:p>
      <w:pPr>
        <w:spacing w:line="259" w:lineRule="auto" w:after="80"/>
        <w:ind w:firstLine="317"/>
      </w:pPr>
      <w:r>
        <w:rPr>
          <w:rFonts w:ascii="Liberation Serif" w:hAnsi="Liberation Serif"/>
          <w:color w:val="1F2937"/>
          <w:sz w:val="20"/>
        </w:rPr>
        <w:t>Monitoring-oriented programming and parametric monitoring are particularly relevant. Monitoring-oriented programming treats formal specifications as deployable monitors woven into selected program locations. Parametric monitoring handles events carrying object, transaction, request, or resource identities by slicing one global trace into the relevant per-parameter traces before applying a base monitor (Chen and Rosu 2003, 2007; Rosu and Chen 2012; Havelund et al. 2018). Typed maps and stable value identities in the proposed system provide the interpreter substrate for this style of monitoring.</w:t>
      </w:r>
    </w:p>
    <w:p>
      <w:pPr>
        <w:pStyle w:val="Heading3"/>
      </w:pPr>
      <w:r>
        <w:rPr>
          <w:rFonts w:ascii="Liberation Sans" w:hAnsi="Liberation Sans"/>
          <w:b/>
          <w:color w:val="245C8A"/>
          <w:sz w:val="23"/>
        </w:rPr>
        <w:t>2.3 Contracts, aspects, and dynamic enforcement</w:t>
      </w:r>
    </w:p>
    <w:p>
      <w:pPr>
        <w:spacing w:line="259" w:lineRule="auto" w:after="80"/>
        <w:ind w:firstLine="317"/>
      </w:pPr>
      <w:r>
        <w:rPr>
          <w:rFonts w:ascii="Liberation Serif" w:hAnsi="Liberation Serif"/>
          <w:color w:val="1F2937"/>
          <w:sz w:val="20"/>
        </w:rPr>
        <w:t>Higher-order contract systems establish a disciplined account of preconditions, postconditions, blame, and wrappers around functions. JavaScript contract systems such as TreatJS show that higher-order behavioral contracts can be implemented in a dynamic language while attempting to isolate contract execution from program execution (Findler and Felleisen 2002; Keil and Thiemann 2015). Hybrid type checking and soft contract verification show a second important pattern: discharge what can be proved statically, and retain dynamic checks for residual obligations (Flanagan 2006; Nguyen, Tobin-Hochstadt, and Van Horn 2014).</w:t>
      </w:r>
    </w:p>
    <w:p>
      <w:pPr>
        <w:spacing w:line="259" w:lineRule="auto" w:after="80"/>
        <w:ind w:firstLine="317"/>
      </w:pPr>
      <w:r>
        <w:rPr>
          <w:rFonts w:ascii="Liberation Serif" w:hAnsi="Liberation Serif"/>
          <w:color w:val="1F2937"/>
          <w:sz w:val="20"/>
        </w:rPr>
        <w:t>Aspect-oriented programming contributes the notion of join points and weaving: instrumentation is attached to a structured model of program execution rather than inserted as arbitrary source edits (Kiczales et al. 1997). The proposed semantic event ABI can be viewed as a carefully restricted join-point model. However, the architecture deliberately separates observation from intervention. Advice that changes arguments or return values alters program semantics, while an observational probe should admit an erasure theorem.</w:t>
      </w:r>
    </w:p>
    <w:p>
      <w:pPr>
        <w:pStyle w:val="Heading3"/>
      </w:pPr>
      <w:r>
        <w:rPr>
          <w:rFonts w:ascii="Liberation Sans" w:hAnsi="Liberation Sans"/>
          <w:b/>
          <w:color w:val="245C8A"/>
          <w:sz w:val="23"/>
        </w:rPr>
        <w:t>2.4 Executable and mechanized semantics</w:t>
      </w:r>
    </w:p>
    <w:p>
      <w:pPr>
        <w:spacing w:line="259" w:lineRule="auto" w:after="80"/>
        <w:ind w:firstLine="317"/>
      </w:pPr>
      <w:r>
        <w:rPr>
          <w:rFonts w:ascii="Liberation Serif" w:hAnsi="Liberation Serif"/>
          <w:color w:val="1F2937"/>
          <w:sz w:val="20"/>
        </w:rPr>
        <w:t>Redex, K, JSCert, KJS, and JSExplain demonstrate different ways to make language semantics executable and useful. Redex integrates reduction relations, random testing, and model exploration into semantics engineering. K supplies an executable semantic framework with labelled rules and derived analysis tools. JSCert mechanizes a substantial JavaScript specification and extracts a reference interpreter. KJS executes a large JavaScript semantics and uses semantic-rule coverage and symbolic execution. JSExplain exposes both the specification-oriented interpreter state and the JavaScript program state in a double debugger (Felleisen, Findler, and Flatt 2009; Rosu and Serbanuta 2010; Bodin et al. 2014; Park, Stefanescu, and Rosu 2015; Chargueraud, Schmitt, and Wood 2018).</w:t>
      </w:r>
    </w:p>
    <w:p>
      <w:pPr>
        <w:spacing w:line="259" w:lineRule="auto" w:after="80"/>
        <w:ind w:firstLine="317"/>
      </w:pPr>
      <w:r>
        <w:rPr>
          <w:rFonts w:ascii="Liberation Serif" w:hAnsi="Liberation Serif"/>
          <w:color w:val="1F2937"/>
          <w:sz w:val="20"/>
        </w:rPr>
        <w:t>These systems start from a semantic model and derive execution or analysis. The goja proposal starts from a concrete interpreter and adds an abstraction interface that can be compared with those models. The methodological bridge is differential semantics: normalize both executions to a common event alphabet, align events by source and causal identity, and stop at the first divergence. The result is not a proof of interpreter correctness, but it localizes model and implementation disagreement much more sharply than final-output comparison.</w:t>
      </w:r>
    </w:p>
    <w:p>
      <w:pPr>
        <w:spacing w:after="60"/>
        <w:keepNext/>
      </w:pPr>
      <w:r>
        <w:rPr>
          <w:rFonts w:ascii="Liberation Sans" w:hAnsi="Liberation Sans"/>
          <w:b/>
          <w:color w:val="193E5D"/>
          <w:sz w:val="18"/>
        </w:rPr>
        <w:t>Table 2. Research ideas inherited by the semantic-probe design.</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2088"/>
            <w:shd w:fill="245C8A" w:val="clear"/>
            <w:tcMar>
              <w:top w:w="70" w:type="dxa"/>
              <w:start w:w="80" w:type="dxa"/>
              <w:bottom w:w="70" w:type="dxa"/>
              <w:end w:w="80" w:type="dxa"/>
            </w:tcMar>
            <w:vAlign w:val="center"/>
          </w:tcPr>
          <w:p>
            <w:pPr>
              <w:jc w:val="left"/>
            </w:pPr>
            <w:r>
              <w:rPr>
                <w:rFonts w:ascii="Liberation Sans" w:hAnsi="Liberation Sans"/>
                <w:b/>
                <w:color w:val="FFFFFF"/>
                <w:sz w:val="17"/>
              </w:rPr>
              <w:t>Lineage</w:t>
            </w:r>
          </w:p>
        </w:tc>
        <w:tc>
          <w:tcPr>
            <w:tcW w:type="dxa" w:w="3672"/>
            <w:shd w:fill="245C8A" w:val="clear"/>
            <w:tcMar>
              <w:top w:w="70" w:type="dxa"/>
              <w:start w:w="80" w:type="dxa"/>
              <w:bottom w:w="70" w:type="dxa"/>
              <w:end w:w="80" w:type="dxa"/>
            </w:tcMar>
            <w:vAlign w:val="center"/>
          </w:tcPr>
          <w:p>
            <w:pPr>
              <w:jc w:val="left"/>
            </w:pPr>
            <w:r>
              <w:rPr>
                <w:rFonts w:ascii="Liberation Sans" w:hAnsi="Liberation Sans"/>
                <w:b/>
                <w:color w:val="FFFFFF"/>
                <w:sz w:val="17"/>
              </w:rPr>
              <w:t>Transferred idea</w:t>
            </w:r>
          </w:p>
        </w:tc>
        <w:tc>
          <w:tcPr>
            <w:tcW w:type="dxa" w:w="4176"/>
            <w:shd w:fill="245C8A" w:val="clear"/>
            <w:tcMar>
              <w:top w:w="70" w:type="dxa"/>
              <w:start w:w="80" w:type="dxa"/>
              <w:bottom w:w="70" w:type="dxa"/>
              <w:end w:w="80" w:type="dxa"/>
            </w:tcMar>
            <w:vAlign w:val="center"/>
          </w:tcPr>
          <w:p>
            <w:pPr>
              <w:jc w:val="left"/>
            </w:pPr>
            <w:r>
              <w:rPr>
                <w:rFonts w:ascii="Liberation Sans" w:hAnsi="Liberation Sans"/>
                <w:b/>
                <w:color w:val="FFFFFF"/>
                <w:sz w:val="17"/>
              </w:rPr>
              <w:t>New obligation in a language interpreter</w:t>
            </w:r>
          </w:p>
        </w:tc>
      </w:tr>
      <w:tr>
        <w:trPr>
          <w:cantSplit/>
        </w:trPr>
        <w:tc>
          <w:tcPr>
            <w:tcW w:type="dxa" w:w="2088"/>
            <w:tcMar>
              <w:top w:w="65" w:type="dxa"/>
              <w:start w:w="80" w:type="dxa"/>
              <w:bottom w:w="65" w:type="dxa"/>
              <w:end w:w="80" w:type="dxa"/>
            </w:tcMar>
            <w:vAlign w:val="top"/>
          </w:tcPr>
          <w:p>
            <w:pPr>
              <w:spacing w:after="0" w:line="240" w:lineRule="auto"/>
            </w:pPr>
            <w:r>
              <w:rPr>
                <w:rFonts w:ascii="Liberation Serif" w:hAnsi="Liberation Serif"/>
                <w:color w:val="1F2937"/>
                <w:sz w:val="17"/>
              </w:rPr>
              <w:t>BPF / eBPF / DTrace</w:t>
            </w:r>
          </w:p>
        </w:tc>
        <w:tc>
          <w:tcPr>
            <w:tcW w:type="dxa" w:w="3672"/>
            <w:tcMar>
              <w:top w:w="65" w:type="dxa"/>
              <w:start w:w="80" w:type="dxa"/>
              <w:bottom w:w="65" w:type="dxa"/>
              <w:end w:w="80" w:type="dxa"/>
            </w:tcMar>
            <w:vAlign w:val="top"/>
          </w:tcPr>
          <w:p>
            <w:pPr>
              <w:spacing w:after="0" w:line="240" w:lineRule="auto"/>
            </w:pPr>
            <w:r>
              <w:rPr>
                <w:rFonts w:ascii="Liberation Serif" w:hAnsi="Liberation Serif"/>
                <w:color w:val="1F2937"/>
                <w:sz w:val="17"/>
              </w:rPr>
              <w:t>Verified extensions, helpers, maps, attachment links, low disabled overhead</w:t>
            </w:r>
          </w:p>
        </w:tc>
        <w:tc>
          <w:tcPr>
            <w:tcW w:type="dxa" w:w="4176"/>
            <w:tcMar>
              <w:top w:w="65" w:type="dxa"/>
              <w:start w:w="80" w:type="dxa"/>
              <w:bottom w:w="65" w:type="dxa"/>
              <w:end w:w="80" w:type="dxa"/>
            </w:tcMar>
            <w:vAlign w:val="top"/>
          </w:tcPr>
          <w:p>
            <w:pPr>
              <w:spacing w:after="0" w:line="240" w:lineRule="auto"/>
            </w:pPr>
            <w:r>
              <w:rPr>
                <w:rFonts w:ascii="Liberation Serif" w:hAnsi="Liberation Serif"/>
                <w:color w:val="1F2937"/>
                <w:sz w:val="17"/>
              </w:rPr>
              <w:t>Events must correspond to language semantics, not only memory-safe implementation sites.</w:t>
            </w:r>
          </w:p>
        </w:tc>
      </w:tr>
      <w:tr>
        <w:trPr>
          <w:cantSplit/>
        </w:trPr>
        <w:tc>
          <w:tcPr>
            <w:tcW w:type="dxa" w:w="2088"/>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Runtime verification</w:t>
            </w:r>
          </w:p>
        </w:tc>
        <w:tc>
          <w:tcPr>
            <w:tcW w:type="dxa" w:w="3672"/>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Automata, temporal properties, finite-prefix verdicts, parametric slicing</w:t>
            </w:r>
          </w:p>
        </w:tc>
        <w:tc>
          <w:tcPr>
            <w:tcW w:type="dxa" w:w="4176"/>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The event stream must be complete for each declared monitor property.</w:t>
            </w:r>
          </w:p>
        </w:tc>
      </w:tr>
      <w:tr>
        <w:trPr>
          <w:cantSplit/>
        </w:trPr>
        <w:tc>
          <w:tcPr>
            <w:tcW w:type="dxa" w:w="2088"/>
            <w:tcMar>
              <w:top w:w="65" w:type="dxa"/>
              <w:start w:w="80" w:type="dxa"/>
              <w:bottom w:w="65" w:type="dxa"/>
              <w:end w:w="80" w:type="dxa"/>
            </w:tcMar>
            <w:vAlign w:val="top"/>
          </w:tcPr>
          <w:p>
            <w:pPr>
              <w:spacing w:after="0" w:line="240" w:lineRule="auto"/>
            </w:pPr>
            <w:r>
              <w:rPr>
                <w:rFonts w:ascii="Liberation Serif" w:hAnsi="Liberation Serif"/>
                <w:color w:val="1F2937"/>
                <w:sz w:val="17"/>
              </w:rPr>
              <w:t>Contracts / AOP</w:t>
            </w:r>
          </w:p>
        </w:tc>
        <w:tc>
          <w:tcPr>
            <w:tcW w:type="dxa" w:w="3672"/>
            <w:tcMar>
              <w:top w:w="65" w:type="dxa"/>
              <w:start w:w="80" w:type="dxa"/>
              <w:bottom w:w="65" w:type="dxa"/>
              <w:end w:w="80" w:type="dxa"/>
            </w:tcMar>
            <w:vAlign w:val="top"/>
          </w:tcPr>
          <w:p>
            <w:pPr>
              <w:spacing w:after="0" w:line="240" w:lineRule="auto"/>
            </w:pPr>
            <w:r>
              <w:rPr>
                <w:rFonts w:ascii="Liberation Serif" w:hAnsi="Liberation Serif"/>
                <w:color w:val="1F2937"/>
                <w:sz w:val="17"/>
              </w:rPr>
              <w:t>Join points, pre/postconditions, blame, weaving, residual checks</w:t>
            </w:r>
          </w:p>
        </w:tc>
        <w:tc>
          <w:tcPr>
            <w:tcW w:type="dxa" w:w="4176"/>
            <w:tcMar>
              <w:top w:w="65" w:type="dxa"/>
              <w:start w:w="80" w:type="dxa"/>
              <w:bottom w:w="65" w:type="dxa"/>
              <w:end w:w="80" w:type="dxa"/>
            </w:tcMar>
            <w:vAlign w:val="top"/>
          </w:tcPr>
          <w:p>
            <w:pPr>
              <w:spacing w:after="0" w:line="240" w:lineRule="auto"/>
            </w:pPr>
            <w:r>
              <w:rPr>
                <w:rFonts w:ascii="Liberation Serif" w:hAnsi="Liberation Serif"/>
                <w:color w:val="1F2937"/>
                <w:sz w:val="17"/>
              </w:rPr>
              <w:t>Observation must be separated from enforcement and intervention.</w:t>
            </w:r>
          </w:p>
        </w:tc>
      </w:tr>
      <w:tr>
        <w:trPr>
          <w:cantSplit/>
        </w:trPr>
        <w:tc>
          <w:tcPr>
            <w:tcW w:type="dxa" w:w="2088"/>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Executable semantics</w:t>
            </w:r>
          </w:p>
        </w:tc>
        <w:tc>
          <w:tcPr>
            <w:tcW w:type="dxa" w:w="3672"/>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Rule labels, reference execution, semantic coverage, differential traces</w:t>
            </w:r>
          </w:p>
        </w:tc>
        <w:tc>
          <w:tcPr>
            <w:tcW w:type="dxa" w:w="4176"/>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A semantic map must relate VM transitions to formal rules and specification operations.</w:t>
            </w:r>
          </w:p>
        </w:tc>
      </w:tr>
    </w:tbl>
    <w:p>
      <w:pPr>
        <w:spacing w:after="0"/>
      </w:pPr>
    </w:p>
    <w:p>
      <w:pPr>
        <w:pStyle w:val="Heading2"/>
      </w:pPr>
      <w:r>
        <w:rPr>
          <w:rFonts w:ascii="Liberation Sans" w:hAnsi="Liberation Sans"/>
          <w:b/>
          <w:color w:val="193E5D"/>
          <w:sz w:val="30"/>
        </w:rPr>
        <w:t>3. Research questions and evaluation criteria</w:t>
      </w:r>
    </w:p>
    <w:p>
      <w:pPr>
        <w:spacing w:after="140" w:line="259" w:lineRule="auto"/>
      </w:pPr>
      <w:r>
        <w:rPr>
          <w:rFonts w:ascii="Liberation Serif" w:hAnsi="Liberation Serif"/>
          <w:i/>
          <w:color w:val="193E5D"/>
          <w:sz w:val="22"/>
        </w:rPr>
        <w:t>The project becomes scientifically useful when its engineering goals are restated as falsifiable semantic and systems questions.</w:t>
      </w:r>
    </w:p>
    <w:p>
      <w:pPr>
        <w:pStyle w:val="Heading3"/>
      </w:pPr>
      <w:r>
        <w:rPr>
          <w:rFonts w:ascii="Liberation Sans" w:hAnsi="Liberation Sans"/>
          <w:b/>
          <w:color w:val="245C8A"/>
          <w:sz w:val="23"/>
        </w:rPr>
        <w:t>3.1 Core research questions</w:t>
      </w:r>
    </w:p>
    <w:p>
      <w:pPr>
        <w:pStyle w:val="ListBullet"/>
        <w:spacing w:after="50" w:line="252" w:lineRule="auto"/>
        <w:ind w:left="317" w:hanging="230"/>
      </w:pPr>
      <w:r>
        <w:rPr>
          <w:rFonts w:ascii="Liberation Serif" w:hAnsi="Liberation Serif"/>
          <w:color w:val="1F2937"/>
          <w:sz w:val="20"/>
        </w:rPr>
        <w:t>Event adequacy: Can a practical interpreter expose events that correspond to a well-defined source or specification semantics without reproducing the entire formal configuration?</w:t>
      </w:r>
    </w:p>
    <w:p>
      <w:pPr>
        <w:pStyle w:val="ListBullet"/>
        <w:spacing w:after="50" w:line="252" w:lineRule="auto"/>
        <w:ind w:left="317" w:hanging="230"/>
      </w:pPr>
      <w:r>
        <w:rPr>
          <w:rFonts w:ascii="Liberation Serif" w:hAnsi="Liberation Serif"/>
          <w:color w:val="1F2937"/>
          <w:sz w:val="20"/>
        </w:rPr>
        <w:t>Transparency: Under which observational model can read-only probes be erased? Which quantitative or scheduling observations necessarily invalidate strong transparency?</w:t>
      </w:r>
    </w:p>
    <w:p>
      <w:pPr>
        <w:pStyle w:val="ListBullet"/>
        <w:spacing w:after="50" w:line="252" w:lineRule="auto"/>
        <w:ind w:left="317" w:hanging="230"/>
      </w:pPr>
      <w:r>
        <w:rPr>
          <w:rFonts w:ascii="Liberation Serif" w:hAnsi="Liberation Serif"/>
          <w:color w:val="1F2937"/>
          <w:sz w:val="20"/>
        </w:rPr>
        <w:t>Completeness: Can the system guarantee that every transition relevant to an attached monitor is observed exactly once, including exception unwinds, native calls, dynamic code, and async resumptions?</w:t>
      </w:r>
    </w:p>
    <w:p>
      <w:pPr>
        <w:pStyle w:val="ListBullet"/>
        <w:spacing w:after="50" w:line="252" w:lineRule="auto"/>
        <w:ind w:left="317" w:hanging="230"/>
      </w:pPr>
      <w:r>
        <w:rPr>
          <w:rFonts w:ascii="Liberation Serif" w:hAnsi="Liberation Serif"/>
          <w:color w:val="1F2937"/>
          <w:sz w:val="20"/>
        </w:rPr>
        <w:t>Safe extensibility: Can a small verifier establish type safety, bounded execution, bounded memory retention, non-reentrancy, and helper capability compliance with low attachment latency?</w:t>
      </w:r>
    </w:p>
    <w:p>
      <w:pPr>
        <w:pStyle w:val="ListBullet"/>
        <w:spacing w:after="50" w:line="252" w:lineRule="auto"/>
        <w:ind w:left="317" w:hanging="230"/>
      </w:pPr>
      <w:r>
        <w:rPr>
          <w:rFonts w:ascii="Liberation Serif" w:hAnsi="Liberation Serif"/>
          <w:color w:val="1F2937"/>
          <w:sz w:val="20"/>
        </w:rPr>
        <w:t>Compositional interpretation: Can one probe IR support online execution, symbolic execution, abstract interpretation, and logical translation without conflating their distinct soundness obligations?</w:t>
      </w:r>
    </w:p>
    <w:p>
      <w:pPr>
        <w:pStyle w:val="ListBullet"/>
        <w:spacing w:after="50" w:line="252" w:lineRule="auto"/>
        <w:ind w:left="317" w:hanging="230"/>
      </w:pPr>
      <w:r>
        <w:rPr>
          <w:rFonts w:ascii="Liberation Serif" w:hAnsi="Liberation Serif"/>
          <w:color w:val="1F2937"/>
          <w:sz w:val="20"/>
        </w:rPr>
        <w:t>Academic utility: Does semantic tracing reduce the time required to find errors in a semantics, test suite, compiler mapping, or proof invariant compared with ordinary logging and final-output differential testing?</w:t>
      </w:r>
    </w:p>
    <w:p>
      <w:pPr>
        <w:pStyle w:val="ListBullet"/>
        <w:spacing w:after="50" w:line="252" w:lineRule="auto"/>
        <w:ind w:left="317" w:hanging="230"/>
      </w:pPr>
      <w:r>
        <w:rPr>
          <w:rFonts w:ascii="Liberation Serif" w:hAnsi="Liberation Serif"/>
          <w:color w:val="1F2937"/>
          <w:sz w:val="20"/>
        </w:rPr>
        <w:t>Performance: Can disabled event families remain close to a predictable branch, while common enabled probes remain cheap enough for interactive and workload-scale use?</w:t>
      </w:r>
    </w:p>
    <w:p>
      <w:pPr>
        <w:pStyle w:val="Heading3"/>
      </w:pPr>
      <w:r>
        <w:rPr>
          <w:rFonts w:ascii="Liberation Sans" w:hAnsi="Liberation Sans"/>
          <w:b/>
          <w:color w:val="245C8A"/>
          <w:sz w:val="23"/>
        </w:rPr>
        <w:t>3.2 Evaluation dimensions</w:t>
      </w:r>
    </w:p>
    <w:p>
      <w:pPr>
        <w:spacing w:after="60"/>
        <w:keepNext/>
      </w:pPr>
      <w:r>
        <w:rPr>
          <w:rFonts w:ascii="Liberation Sans" w:hAnsi="Liberation Sans"/>
          <w:b/>
          <w:color w:val="193E5D"/>
          <w:sz w:val="18"/>
        </w:rPr>
        <w:t>Table 3. Evaluation plan and principal validity threats.</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1800"/>
            <w:shd w:fill="245C8A" w:val="clear"/>
            <w:tcMar>
              <w:top w:w="70" w:type="dxa"/>
              <w:start w:w="80" w:type="dxa"/>
              <w:bottom w:w="70" w:type="dxa"/>
              <w:end w:w="80" w:type="dxa"/>
            </w:tcMar>
            <w:vAlign w:val="center"/>
          </w:tcPr>
          <w:p>
            <w:pPr>
              <w:jc w:val="left"/>
            </w:pPr>
            <w:r>
              <w:rPr>
                <w:rFonts w:ascii="Liberation Sans" w:hAnsi="Liberation Sans"/>
                <w:b/>
                <w:color w:val="FFFFFF"/>
                <w:sz w:val="17"/>
              </w:rPr>
              <w:t>Dimension</w:t>
            </w:r>
          </w:p>
        </w:tc>
        <w:tc>
          <w:tcPr>
            <w:tcW w:type="dxa" w:w="3672"/>
            <w:shd w:fill="245C8A" w:val="clear"/>
            <w:tcMar>
              <w:top w:w="70" w:type="dxa"/>
              <w:start w:w="80" w:type="dxa"/>
              <w:bottom w:w="70" w:type="dxa"/>
              <w:end w:w="80" w:type="dxa"/>
            </w:tcMar>
            <w:vAlign w:val="center"/>
          </w:tcPr>
          <w:p>
            <w:pPr>
              <w:jc w:val="left"/>
            </w:pPr>
            <w:r>
              <w:rPr>
                <w:rFonts w:ascii="Liberation Sans" w:hAnsi="Liberation Sans"/>
                <w:b/>
                <w:color w:val="FFFFFF"/>
                <w:sz w:val="17"/>
              </w:rPr>
              <w:t>Representative measure</w:t>
            </w:r>
          </w:p>
        </w:tc>
        <w:tc>
          <w:tcPr>
            <w:tcW w:type="dxa" w:w="4464"/>
            <w:shd w:fill="245C8A" w:val="clear"/>
            <w:tcMar>
              <w:top w:w="70" w:type="dxa"/>
              <w:start w:w="80" w:type="dxa"/>
              <w:bottom w:w="70" w:type="dxa"/>
              <w:end w:w="80" w:type="dxa"/>
            </w:tcMar>
            <w:vAlign w:val="center"/>
          </w:tcPr>
          <w:p>
            <w:pPr>
              <w:jc w:val="left"/>
            </w:pPr>
            <w:r>
              <w:rPr>
                <w:rFonts w:ascii="Liberation Sans" w:hAnsi="Liberation Sans"/>
                <w:b/>
                <w:color w:val="FFFFFF"/>
                <w:sz w:val="17"/>
              </w:rPr>
              <w:t>Threat to validity</w:t>
            </w:r>
          </w:p>
        </w:tc>
      </w:tr>
      <w:tr>
        <w:trPr>
          <w:cantSplit/>
        </w:trPr>
        <w:tc>
          <w:tcPr>
            <w:tcW w:type="dxa" w:w="1800"/>
            <w:tcMar>
              <w:top w:w="65" w:type="dxa"/>
              <w:start w:w="80" w:type="dxa"/>
              <w:bottom w:w="65" w:type="dxa"/>
              <w:end w:w="80" w:type="dxa"/>
            </w:tcMar>
            <w:vAlign w:val="top"/>
          </w:tcPr>
          <w:p>
            <w:pPr>
              <w:spacing w:after="0" w:line="240" w:lineRule="auto"/>
            </w:pPr>
            <w:r>
              <w:rPr>
                <w:rFonts w:ascii="Liberation Serif" w:hAnsi="Liberation Serif"/>
                <w:color w:val="1F2937"/>
                <w:sz w:val="17"/>
              </w:rPr>
              <w:t>Semantic fidelity</w:t>
            </w:r>
          </w:p>
        </w:tc>
        <w:tc>
          <w:tcPr>
            <w:tcW w:type="dxa" w:w="3672"/>
            <w:tcMar>
              <w:top w:w="65" w:type="dxa"/>
              <w:start w:w="80" w:type="dxa"/>
              <w:bottom w:w="65" w:type="dxa"/>
              <w:end w:w="80" w:type="dxa"/>
            </w:tcMar>
            <w:vAlign w:val="top"/>
          </w:tcPr>
          <w:p>
            <w:pPr>
              <w:spacing w:after="0" w:line="240" w:lineRule="auto"/>
            </w:pPr>
            <w:r>
              <w:rPr>
                <w:rFonts w:ascii="Liberation Serif" w:hAnsi="Liberation Serif"/>
                <w:color w:val="1F2937"/>
                <w:sz w:val="17"/>
              </w:rPr>
              <w:t>Agreement with executable model; manually audited event order; rule coverage</w:t>
            </w:r>
          </w:p>
        </w:tc>
        <w:tc>
          <w:tcPr>
            <w:tcW w:type="dxa" w:w="4464"/>
            <w:tcMar>
              <w:top w:w="65" w:type="dxa"/>
              <w:start w:w="80" w:type="dxa"/>
              <w:bottom w:w="65" w:type="dxa"/>
              <w:end w:w="80" w:type="dxa"/>
            </w:tcMar>
            <w:vAlign w:val="top"/>
          </w:tcPr>
          <w:p>
            <w:pPr>
              <w:spacing w:after="0" w:line="240" w:lineRule="auto"/>
            </w:pPr>
            <w:r>
              <w:rPr>
                <w:rFonts w:ascii="Liberation Serif" w:hAnsi="Liberation Serif"/>
                <w:color w:val="1F2937"/>
                <w:sz w:val="17"/>
              </w:rPr>
              <w:t>Both model and mapping may share the same mistaken assumption.</w:t>
            </w:r>
          </w:p>
        </w:tc>
      </w:tr>
      <w:tr>
        <w:trPr>
          <w:cantSplit/>
        </w:trPr>
        <w:tc>
          <w:tcPr>
            <w:tcW w:type="dxa" w:w="1800"/>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Probe safety</w:t>
            </w:r>
          </w:p>
        </w:tc>
        <w:tc>
          <w:tcPr>
            <w:tcW w:type="dxa" w:w="3672"/>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Verifier rejection tests; fuzzing; resource-budget enforcement</w:t>
            </w:r>
          </w:p>
        </w:tc>
        <w:tc>
          <w:tcPr>
            <w:tcW w:type="dxa" w:w="4464"/>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A safe probe can still observe an incorrect event or unsafe native helper.</w:t>
            </w:r>
          </w:p>
        </w:tc>
      </w:tr>
      <w:tr>
        <w:trPr>
          <w:cantSplit/>
        </w:trPr>
        <w:tc>
          <w:tcPr>
            <w:tcW w:type="dxa" w:w="1800"/>
            <w:tcMar>
              <w:top w:w="65" w:type="dxa"/>
              <w:start w:w="80" w:type="dxa"/>
              <w:bottom w:w="65" w:type="dxa"/>
              <w:end w:w="80" w:type="dxa"/>
            </w:tcMar>
            <w:vAlign w:val="top"/>
          </w:tcPr>
          <w:p>
            <w:pPr>
              <w:spacing w:after="0" w:line="240" w:lineRule="auto"/>
            </w:pPr>
            <w:r>
              <w:rPr>
                <w:rFonts w:ascii="Liberation Serif" w:hAnsi="Liberation Serif"/>
                <w:color w:val="1F2937"/>
                <w:sz w:val="17"/>
              </w:rPr>
              <w:t>Transparency</w:t>
            </w:r>
          </w:p>
        </w:tc>
        <w:tc>
          <w:tcPr>
            <w:tcW w:type="dxa" w:w="3672"/>
            <w:tcMar>
              <w:top w:w="65" w:type="dxa"/>
              <w:start w:w="80" w:type="dxa"/>
              <w:bottom w:w="65" w:type="dxa"/>
              <w:end w:w="80" w:type="dxa"/>
            </w:tcMar>
            <w:vAlign w:val="top"/>
          </w:tcPr>
          <w:p>
            <w:pPr>
              <w:spacing w:after="0" w:line="240" w:lineRule="auto"/>
            </w:pPr>
            <w:r>
              <w:rPr>
                <w:rFonts w:ascii="Liberation Serif" w:hAnsi="Liberation Serif"/>
                <w:color w:val="1F2937"/>
                <w:sz w:val="17"/>
              </w:rPr>
              <w:t>Differential outcomes and traces with probes erased</w:t>
            </w:r>
          </w:p>
        </w:tc>
        <w:tc>
          <w:tcPr>
            <w:tcW w:type="dxa" w:w="4464"/>
            <w:tcMar>
              <w:top w:w="65" w:type="dxa"/>
              <w:start w:w="80" w:type="dxa"/>
              <w:bottom w:w="65" w:type="dxa"/>
              <w:end w:w="80" w:type="dxa"/>
            </w:tcMar>
            <w:vAlign w:val="top"/>
          </w:tcPr>
          <w:p>
            <w:pPr>
              <w:spacing w:after="0" w:line="240" w:lineRule="auto"/>
            </w:pPr>
            <w:r>
              <w:rPr>
                <w:rFonts w:ascii="Liberation Serif" w:hAnsi="Liberation Serif"/>
                <w:color w:val="1F2937"/>
                <w:sz w:val="17"/>
              </w:rPr>
              <w:t>Timing, allocation, scheduling, and garbage collection may be observably perturbed.</w:t>
            </w:r>
          </w:p>
        </w:tc>
      </w:tr>
      <w:tr>
        <w:trPr>
          <w:cantSplit/>
        </w:trPr>
        <w:tc>
          <w:tcPr>
            <w:tcW w:type="dxa" w:w="1800"/>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Performance</w:t>
            </w:r>
          </w:p>
        </w:tc>
        <w:tc>
          <w:tcPr>
            <w:tcW w:type="dxa" w:w="3672"/>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Disabled, no-op, counter, contract, and trace overhead per event class</w:t>
            </w:r>
          </w:p>
        </w:tc>
        <w:tc>
          <w:tcPr>
            <w:tcW w:type="dxa" w:w="4464"/>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Microbenchmarks may not represent host-heavy or async workloads.</w:t>
            </w:r>
          </w:p>
        </w:tc>
      </w:tr>
      <w:tr>
        <w:trPr>
          <w:cantSplit/>
        </w:trPr>
        <w:tc>
          <w:tcPr>
            <w:tcW w:type="dxa" w:w="1800"/>
            <w:tcMar>
              <w:top w:w="65" w:type="dxa"/>
              <w:start w:w="80" w:type="dxa"/>
              <w:bottom w:w="65" w:type="dxa"/>
              <w:end w:w="80" w:type="dxa"/>
            </w:tcMar>
            <w:vAlign w:val="top"/>
          </w:tcPr>
          <w:p>
            <w:pPr>
              <w:spacing w:after="0" w:line="240" w:lineRule="auto"/>
            </w:pPr>
            <w:r>
              <w:rPr>
                <w:rFonts w:ascii="Liberation Serif" w:hAnsi="Liberation Serif"/>
                <w:color w:val="1F2937"/>
                <w:sz w:val="17"/>
              </w:rPr>
              <w:t>Research productivity</w:t>
            </w:r>
          </w:p>
        </w:tc>
        <w:tc>
          <w:tcPr>
            <w:tcW w:type="dxa" w:w="3672"/>
            <w:tcMar>
              <w:top w:w="65" w:type="dxa"/>
              <w:start w:w="80" w:type="dxa"/>
              <w:bottom w:w="65" w:type="dxa"/>
              <w:end w:w="80" w:type="dxa"/>
            </w:tcMar>
            <w:vAlign w:val="top"/>
          </w:tcPr>
          <w:p>
            <w:pPr>
              <w:spacing w:after="0" w:line="240" w:lineRule="auto"/>
            </w:pPr>
            <w:r>
              <w:rPr>
                <w:rFonts w:ascii="Liberation Serif" w:hAnsi="Liberation Serif"/>
                <w:color w:val="1F2937"/>
                <w:sz w:val="17"/>
              </w:rPr>
              <w:t>Time-to-divergence, minimized counterexample size, model defects found</w:t>
            </w:r>
          </w:p>
        </w:tc>
        <w:tc>
          <w:tcPr>
            <w:tcW w:type="dxa" w:w="4464"/>
            <w:tcMar>
              <w:top w:w="65" w:type="dxa"/>
              <w:start w:w="80" w:type="dxa"/>
              <w:bottom w:w="65" w:type="dxa"/>
              <w:end w:w="80" w:type="dxa"/>
            </w:tcMar>
            <w:vAlign w:val="top"/>
          </w:tcPr>
          <w:p>
            <w:pPr>
              <w:spacing w:after="0" w:line="240" w:lineRule="auto"/>
            </w:pPr>
            <w:r>
              <w:rPr>
                <w:rFonts w:ascii="Liberation Serif" w:hAnsi="Liberation Serif"/>
                <w:color w:val="1F2937"/>
                <w:sz w:val="17"/>
              </w:rPr>
              <w:t>Tool familiarity and benchmark selection can dominate results.</w:t>
            </w:r>
          </w:p>
        </w:tc>
      </w:tr>
      <w:tr>
        <w:trPr>
          <w:cantSplit/>
        </w:trPr>
        <w:tc>
          <w:tcPr>
            <w:tcW w:type="dxa" w:w="1800"/>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Reproducibility</w:t>
            </w:r>
          </w:p>
        </w:tc>
        <w:tc>
          <w:tcPr>
            <w:tcW w:type="dxa" w:w="3672"/>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Pinned source, event schema, monitor, trace digest, replay checker</w:t>
            </w:r>
          </w:p>
        </w:tc>
        <w:tc>
          <w:tcPr>
            <w:tcW w:type="dxa" w:w="4464"/>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Host I/O or nondeterministic scheduling may remain unrecorded.</w:t>
            </w:r>
          </w:p>
        </w:tc>
      </w:tr>
    </w:tbl>
    <w:p>
      <w:pPr>
        <w:spacing w:after="0"/>
      </w:pPr>
    </w:p>
    <w:p>
      <w:pPr>
        <w:pStyle w:val="Heading3"/>
      </w:pPr>
      <w:r>
        <w:rPr>
          <w:rFonts w:ascii="Liberation Sans" w:hAnsi="Liberation Sans"/>
          <w:b/>
          <w:color w:val="245C8A"/>
          <w:sz w:val="23"/>
        </w:rPr>
        <w:t>3.3 Minimal publishable theorem and artifact</w:t>
      </w:r>
    </w:p>
    <w:p>
      <w:pPr>
        <w:spacing w:line="259" w:lineRule="auto" w:after="80"/>
        <w:ind w:firstLine="317"/>
      </w:pPr>
      <w:r>
        <w:rPr>
          <w:rFonts w:ascii="Liberation Serif" w:hAnsi="Liberation Serif"/>
          <w:color w:val="1F2937"/>
          <w:sz w:val="20"/>
        </w:rPr>
        <w:t>A credible first research result should not claim complete JavaScript verification. A narrower result is stronger: define a small source language with calls, returns, exceptions, and constructors; define a corresponding abstract machine and event-labelled semantics; implement those events in a goja subset or fork; prove an erasure theorem for read-only probes in the model; and validate event correspondence empirically on the implementation. The artifact should include the model, event schema, verifier, interpreter patch, randomized tests, semantic coverage report, benchmark suite, and independently replayable traces.</w:t>
      </w:r>
    </w:p>
    <w:tbl>
      <w:tblPr>
        <w:tblW w:type="auto" w:w="0"/>
        <w:jc w:val="center"/>
        <w:tblLook w:firstColumn="1" w:firstRow="1" w:lastColumn="0" w:lastRow="0" w:noHBand="0" w:noVBand="1" w:val="04A0"/>
      </w:tblPr>
      <w:tblGrid>
        <w:gridCol w:w="9994"/>
      </w:tblGrid>
      <w:tr>
        <w:tc>
          <w:tcPr>
            <w:tcW w:type="dxa" w:w="9994"/>
            <w:shd w:fill="F7EAEA" w:val="clear"/>
            <w:tcBorders>
              <w:top w:val="single" w:sz="8" w:color="245C8A"/>
              <w:left w:val="single" w:sz="8" w:color="245C8A"/>
              <w:bottom w:val="single" w:sz="8" w:color="245C8A"/>
              <w:right w:val="single" w:sz="8" w:color="245C8A"/>
            </w:tcBorders>
            <w:tcMar>
              <w:top w:w="110" w:type="dxa"/>
              <w:start w:w="150" w:type="dxa"/>
              <w:bottom w:w="110" w:type="dxa"/>
              <w:end w:w="150" w:type="dxa"/>
            </w:tcMar>
          </w:tcPr>
          <w:p>
            <w:pPr>
              <w:spacing w:after="60"/>
            </w:pPr>
            <w:r>
              <w:rPr>
                <w:rFonts w:ascii="Liberation Sans" w:hAnsi="Liberation Sans"/>
                <w:b/>
                <w:color w:val="193E5D"/>
                <w:sz w:val="17"/>
              </w:rPr>
              <w:t>LIMITATION / FAILURE MODE  |  Recommended claim boundary</w:t>
            </w:r>
          </w:p>
          <w:p>
            <w:pPr>
              <w:spacing w:after="40" w:line="247" w:lineRule="auto"/>
            </w:pPr>
            <w:r>
              <w:rPr>
                <w:rFonts w:ascii="Liberation Serif" w:hAnsi="Liberation Serif"/>
                <w:color w:val="1F2937"/>
                <w:sz w:val="18"/>
              </w:rPr>
              <w:t>The first paper should claim a semantics-preserving instrumentation architecture for a defined event subset, not a verified JavaScript implementation. Broad language coverage can be evaluated empirically while theorem statements remain scoped to the mechanized core.</w:t>
            </w:r>
          </w:p>
        </w:tc>
      </w:tr>
    </w:tbl>
    <w:p>
      <w:pPr>
        <w:spacing w:after="0"/>
      </w:pPr>
    </w:p>
    <w:p>
      <w:r>
        <w:br w:type="page"/>
      </w:r>
    </w:p>
    <w:p>
      <w:pPr>
        <w:pStyle w:val="Heading1"/>
        <w:spacing w:before="0" w:after="160"/>
      </w:pPr>
      <w:r>
        <w:rPr>
          <w:rFonts w:ascii="Liberation Sans" w:hAnsi="Liberation Sans"/>
          <w:b/>
          <w:color w:val="193E5D"/>
          <w:sz w:val="40"/>
        </w:rPr>
        <w:t>Part II. Operational semantics of instrumentation</w:t>
      </w:r>
    </w:p>
    <w:p>
      <w:pPr>
        <w:spacing w:after="320"/>
      </w:pPr>
      <w:r>
        <w:rPr>
          <w:rFonts w:ascii="Liberation Serif" w:hAnsi="Liberation Serif"/>
          <w:i/>
          <w:color w:val="586474"/>
          <w:sz w:val="22"/>
        </w:rPr>
        <w:t>How semantic events arise from configurations and transitions, and what must be proved about their implementation.</w:t>
      </w:r>
    </w:p>
    <w:p>
      <w:pPr>
        <w:pStyle w:val="Heading2"/>
      </w:pPr>
      <w:r>
        <w:rPr>
          <w:rFonts w:ascii="Liberation Sans" w:hAnsi="Liberation Sans"/>
          <w:b/>
          <w:color w:val="193E5D"/>
          <w:sz w:val="30"/>
        </w:rPr>
        <w:t>4. Configurations, abstract machines, and semantic boundaries</w:t>
      </w:r>
    </w:p>
    <w:p>
      <w:pPr>
        <w:spacing w:after="140" w:line="259" w:lineRule="auto"/>
      </w:pPr>
      <w:r>
        <w:rPr>
          <w:rFonts w:ascii="Liberation Serif" w:hAnsi="Liberation Serif"/>
          <w:i/>
          <w:color w:val="193E5D"/>
          <w:sz w:val="22"/>
        </w:rPr>
        <w:t>Operational semantics makes the event layer precise by asking what configuration changes, at what granularity, and under which rule.</w:t>
      </w:r>
    </w:p>
    <w:p>
      <w:pPr>
        <w:pStyle w:val="Heading3"/>
      </w:pPr>
      <w:r>
        <w:rPr>
          <w:rFonts w:ascii="Liberation Sans" w:hAnsi="Liberation Sans"/>
          <w:b/>
          <w:color w:val="245C8A"/>
          <w:sz w:val="23"/>
        </w:rPr>
        <w:t>4.1 Small-step, big-step, and machine semantics</w:t>
      </w:r>
    </w:p>
    <w:p>
      <w:pPr>
        <w:spacing w:line="259" w:lineRule="auto" w:after="80"/>
        <w:ind w:firstLine="317"/>
      </w:pPr>
      <w:r>
        <w:rPr>
          <w:rFonts w:ascii="Liberation Serif" w:hAnsi="Liberation Serif"/>
          <w:color w:val="1F2937"/>
          <w:sz w:val="20"/>
        </w:rPr>
        <w:t>Structural operational semantics defines program behavior through inference rules over configurations. A small-step relation exposes individual transitions; a big-step relation connects an initial phrase and state to a final result; an abstract machine makes control, environments, stores, and continuations explicit. Standard treatments emphasize that the choice is methodological: small-step semantics is convenient for interleaving, divergence, and intermediate observations, while big-step semantics is compact for terminating evaluations (Plotkin 2004; Winskel 1993; Gunter 1992; Nielson and Nielson 2007).</w:t>
      </w:r>
    </w:p>
    <w:p>
      <w:pPr>
        <w:spacing w:line="259" w:lineRule="auto" w:after="80"/>
        <w:ind w:firstLine="317"/>
      </w:pPr>
      <w:r>
        <w:rPr>
          <w:rFonts w:ascii="Liberation Serif" w:hAnsi="Liberation Serif"/>
          <w:color w:val="1F2937"/>
          <w:sz w:val="20"/>
        </w:rPr>
        <w:t>A JavaScript interpreter is naturally described by an abstract-machine configuration that includes an expression or program counter, lexical environment, store or heap, continuation or call stack, exception state, job state, and host state. A simplified configuration can be written as C = &lt;p, rho, sigma, kappa, j, h&gt;. The actual goja VM contains implementation representations of many of these components, but the ECMAScript specification warns that execution contexts are specification devices and need not correspond to implementation artifacts. Consequently, a semantic map must relate rather than identify the two (ECMA International 2026).</w:t>
      </w:r>
    </w:p>
    <w:tbl>
      <w:tblPr>
        <w:tblW w:type="auto" w:w="0"/>
        <w:jc w:val="center"/>
        <w:tblLayout w:type="autofit"/>
        <w:tblLook w:firstColumn="1" w:firstRow="1" w:lastColumn="0" w:lastRow="0" w:noHBand="0" w:noVBand="1" w:val="04A0"/>
      </w:tblPr>
      <w:tblGrid>
        <w:gridCol w:w="9994"/>
      </w:tblGrid>
      <w:tr>
        <w:tc>
          <w:tcPr>
            <w:tcW w:type="dxa" w:w="9994"/>
            <w:shd w:fill="F3F5F7" w:val="clear"/>
            <w:tcBorders>
              <w:top w:val="single" w:sz="6" w:color="9CA8B3"/>
              <w:left w:val="single" w:sz="6" w:color="9CA8B3"/>
              <w:bottom w:val="single" w:sz="6" w:color="9CA8B3"/>
              <w:right w:val="single" w:sz="6" w:color="9CA8B3"/>
            </w:tcBorders>
            <w:tcMar>
              <w:top w:w="110" w:type="dxa"/>
              <w:start w:w="150" w:type="dxa"/>
              <w:bottom w:w="110" w:type="dxa"/>
              <w:end w:w="150" w:type="dxa"/>
            </w:tcMar>
          </w:tcPr>
          <w:p>
            <w:pPr>
              <w:jc w:val="center"/>
            </w:pPr>
            <w:r>
              <w:rPr>
                <w:rFonts w:ascii="DejaVu Sans Mono" w:hAnsi="DejaVu Sans Mono"/>
                <w:color w:val="193E5D"/>
                <w:sz w:val="18"/>
              </w:rPr>
              <w:t>C = &lt;p, rho, sigma, kappa, j, h&gt;</w:t>
            </w:r>
          </w:p>
          <w:p>
            <w:pPr>
              <w:jc w:val="center"/>
            </w:pPr>
            <w:r>
              <w:rPr>
                <w:rFonts w:ascii="Liberation Serif" w:hAnsi="Liberation Serif"/>
                <w:i/>
                <w:color w:val="586474"/>
                <w:sz w:val="17"/>
              </w:rPr>
              <w:t>Program point, lexical environment, store, continuation, job state, and host state.</w:t>
            </w:r>
          </w:p>
        </w:tc>
      </w:tr>
    </w:tbl>
    <w:p>
      <w:pPr>
        <w:spacing w:after="0"/>
      </w:pPr>
    </w:p>
    <w:p>
      <w:pPr>
        <w:pStyle w:val="Heading3"/>
      </w:pPr>
      <w:r>
        <w:rPr>
          <w:rFonts w:ascii="Liberation Sans" w:hAnsi="Liberation Sans"/>
          <w:b/>
          <w:color w:val="245C8A"/>
          <w:sz w:val="23"/>
        </w:rPr>
        <w:t>4.2 Semantic boundaries as abstraction points</w:t>
      </w:r>
    </w:p>
    <w:p>
      <w:pPr>
        <w:spacing w:line="259" w:lineRule="auto" w:after="80"/>
        <w:ind w:firstLine="317"/>
      </w:pPr>
      <w:r>
        <w:rPr>
          <w:rFonts w:ascii="Liberation Serif" w:hAnsi="Liberation Serif"/>
          <w:color w:val="1F2937"/>
          <w:sz w:val="20"/>
        </w:rPr>
        <w:t>Not every machine transition should be public. An interpreter may use several instructions to implement one source operation, or one instruction may call into a helper that performs many specification operations. The event layer therefore defines macro-transitions: finite sequences of internal steps that begin and end at stable semantic boundaries. The implementation may change inside the macro-step without changing the event contract, provided the abstraction relation and emitted observations remain valid.</w:t>
      </w:r>
    </w:p>
    <w:p>
      <w:pPr>
        <w:spacing w:line="259" w:lineRule="auto" w:after="80"/>
        <w:ind w:firstLine="317"/>
      </w:pPr>
      <w:r>
        <w:rPr>
          <w:rFonts w:ascii="Liberation Serif" w:hAnsi="Liberation Serif"/>
          <w:color w:val="1F2937"/>
          <w:sz w:val="20"/>
        </w:rPr>
        <w:t>Examples include function invocation, normal function completion, exception propagation across a frame, constructor completion, property read with a specified observation mode, Promise reaction enqueue, job start, await suspension, continuation resume, and module resolution. Each event needs a precondition, a postcondition, a defined observation projection, and a statement of whether it is source-semantic, specification-derived, or implementation-intensional.</w:t>
      </w:r>
    </w:p>
    <w:tbl>
      <w:tblPr>
        <w:tblW w:type="auto" w:w="0"/>
        <w:jc w:val="center"/>
        <w:tblLook w:firstColumn="1" w:firstRow="1" w:lastColumn="0" w:lastRow="0" w:noHBand="0" w:noVBand="1" w:val="04A0"/>
      </w:tblPr>
      <w:tblGrid>
        <w:gridCol w:w="9994"/>
      </w:tblGrid>
      <w:tr>
        <w:tc>
          <w:tcPr>
            <w:tcW w:type="dxa" w:w="9994"/>
            <w:shd w:fill="F7F0E5" w:val="clear"/>
            <w:tcBorders>
              <w:top w:val="single" w:sz="8" w:color="245C8A"/>
              <w:left w:val="single" w:sz="8" w:color="245C8A"/>
              <w:bottom w:val="single" w:sz="8" w:color="245C8A"/>
              <w:right w:val="single" w:sz="8" w:color="245C8A"/>
            </w:tcBorders>
            <w:tcMar>
              <w:top w:w="110" w:type="dxa"/>
              <w:start w:w="150" w:type="dxa"/>
              <w:bottom w:w="110" w:type="dxa"/>
              <w:end w:w="150" w:type="dxa"/>
            </w:tcMar>
          </w:tcPr>
          <w:p>
            <w:pPr>
              <w:spacing w:after="60"/>
            </w:pPr>
            <w:r>
              <w:rPr>
                <w:rFonts w:ascii="Liberation Sans" w:hAnsi="Liberation Sans"/>
                <w:b/>
                <w:color w:val="193E5D"/>
                <w:sz w:val="17"/>
              </w:rPr>
              <w:t>WORKING DEFINITION  |  Macro-event criterion</w:t>
            </w:r>
          </w:p>
          <w:p>
            <w:pPr>
              <w:spacing w:after="40" w:line="247" w:lineRule="auto"/>
            </w:pPr>
            <w:r>
              <w:rPr>
                <w:rFonts w:ascii="Liberation Serif" w:hAnsi="Liberation Serif"/>
                <w:color w:val="1F2937"/>
                <w:sz w:val="18"/>
              </w:rPr>
              <w:t>A semantic macro-event should be stable under reasonable interpreter refactoring, expose enough information for its intended analyses, and avoid exposing intermediate state that the language or chosen formal model does not make observable.</w:t>
            </w:r>
          </w:p>
        </w:tc>
      </w:tr>
    </w:tbl>
    <w:p>
      <w:pPr>
        <w:spacing w:after="0"/>
      </w:pPr>
    </w:p>
    <w:p>
      <w:pPr>
        <w:pStyle w:val="Heading3"/>
      </w:pPr>
      <w:r>
        <w:rPr>
          <w:rFonts w:ascii="Liberation Sans" w:hAnsi="Liberation Sans"/>
          <w:b/>
          <w:color w:val="245C8A"/>
          <w:sz w:val="23"/>
        </w:rPr>
        <w:t>4.3 Continuations and frame identity</w:t>
      </w:r>
    </w:p>
    <w:p>
      <w:pPr>
        <w:spacing w:line="259" w:lineRule="auto" w:after="80"/>
        <w:ind w:firstLine="317"/>
      </w:pPr>
      <w:r>
        <w:rPr>
          <w:rFonts w:ascii="Liberation Serif" w:hAnsi="Liberation Serif"/>
          <w:color w:val="1F2937"/>
          <w:sz w:val="20"/>
        </w:rPr>
        <w:t>Function calls are not adequately modeled as paired callbacks unless the implementation records the continuation created by the call. An interpreted call normally changes the active program, environment, stack base, and continuation; its return is observed only when the callee later restores the caller. Exceptions may discard several continuations at once. Generators and async functions may suspend a continuation and resume it in a later job. Stable FrameID and ContinuationID values are therefore semantic correlation objects, not optional logging conveniences.</w:t>
      </w:r>
    </w:p>
    <w:p>
      <w:pPr>
        <w:spacing w:line="259" w:lineRule="auto" w:after="80"/>
        <w:ind w:firstLine="317"/>
      </w:pPr>
      <w:r>
        <w:rPr>
          <w:rFonts w:ascii="Liberation Serif" w:hAnsi="Liberation Serif"/>
          <w:color w:val="1F2937"/>
          <w:sz w:val="20"/>
        </w:rPr>
        <w:t>The machine view also clarifies a subtle distinction. A call-site event belongs to the caller and measures the invocation expression. A function-entry or function-exit event belongs to the callee. A proxy, bound function, native host function, constructor, or async wrapper can insert transitions between these views. Analyses should attach to the event they actually mean rather than assume that call and entry are identical.</w:t>
      </w:r>
    </w:p>
    <w:p>
      <w:pPr>
        <w:pStyle w:val="Heading2"/>
      </w:pPr>
      <w:r>
        <w:rPr>
          <w:rFonts w:ascii="Liberation Sans" w:hAnsi="Liberation Sans"/>
          <w:b/>
          <w:color w:val="193E5D"/>
          <w:sz w:val="30"/>
        </w:rPr>
        <w:t>5. Labelled transition systems and the event algebra</w:t>
      </w:r>
    </w:p>
    <w:p>
      <w:pPr>
        <w:spacing w:after="140" w:line="259" w:lineRule="auto"/>
      </w:pPr>
      <w:r>
        <w:rPr>
          <w:rFonts w:ascii="Liberation Serif" w:hAnsi="Liberation Serif"/>
          <w:i/>
          <w:color w:val="193E5D"/>
          <w:sz w:val="22"/>
        </w:rPr>
        <w:t>A semantic probe layer turns an unlabelled execution relation into a labelled transition system with a typed observation algebra.</w:t>
      </w:r>
    </w:p>
    <w:p>
      <w:pPr>
        <w:pStyle w:val="Heading3"/>
      </w:pPr>
      <w:r>
        <w:rPr>
          <w:rFonts w:ascii="Liberation Sans" w:hAnsi="Liberation Sans"/>
          <w:b/>
          <w:color w:val="245C8A"/>
          <w:sz w:val="23"/>
        </w:rPr>
        <w:t>5.1 Labelled transitions</w:t>
      </w:r>
    </w:p>
    <w:p>
      <w:pPr>
        <w:spacing w:line="259" w:lineRule="auto" w:after="80"/>
        <w:ind w:firstLine="317"/>
      </w:pPr>
      <w:r>
        <w:rPr>
          <w:rFonts w:ascii="Liberation Serif" w:hAnsi="Liberation Serif"/>
          <w:color w:val="1F2937"/>
          <w:sz w:val="20"/>
        </w:rPr>
        <w:t>Let C -&gt; C' be the uninstrumented transition relation. Instrumentation refines it to C -[ell]-&gt; C', where ell is either an internal label tau or a semantic event. Labels permit traces, bisimulation arguments, temporal monitoring, and compositional interpretation. Labelled transition systems are standard in structural operational semantics and concurrency theory; their meta-theory supports congruence formats, simulations, bisimulations, and equivalence reasoning (Hennessy and Milner 1985; Plotkin 2004; Mousavi, Reniers, and Groote 2007; Sangiorgi 2011).</w:t>
      </w:r>
    </w:p>
    <w:tbl>
      <w:tblPr>
        <w:tblW w:type="auto" w:w="0"/>
        <w:jc w:val="center"/>
        <w:tblLayout w:type="autofit"/>
        <w:tblLook w:firstColumn="1" w:firstRow="1" w:lastColumn="0" w:lastRow="0" w:noHBand="0" w:noVBand="1" w:val="04A0"/>
      </w:tblPr>
      <w:tblGrid>
        <w:gridCol w:w="9994"/>
      </w:tblGrid>
      <w:tr>
        <w:tc>
          <w:tcPr>
            <w:tcW w:type="dxa" w:w="9994"/>
            <w:shd w:fill="F3F5F7" w:val="clear"/>
            <w:tcBorders>
              <w:top w:val="single" w:sz="6" w:color="9CA8B3"/>
              <w:left w:val="single" w:sz="6" w:color="9CA8B3"/>
              <w:bottom w:val="single" w:sz="6" w:color="9CA8B3"/>
              <w:right w:val="single" w:sz="6" w:color="9CA8B3"/>
            </w:tcBorders>
            <w:tcMar>
              <w:top w:w="110" w:type="dxa"/>
              <w:start w:w="150" w:type="dxa"/>
              <w:bottom w:w="110" w:type="dxa"/>
              <w:end w:w="150" w:type="dxa"/>
            </w:tcMar>
          </w:tcPr>
          <w:p>
            <w:pPr>
              <w:jc w:val="center"/>
            </w:pPr>
            <w:r>
              <w:rPr>
                <w:rFonts w:ascii="DejaVu Sans Mono" w:hAnsi="DejaVu Sans Mono"/>
                <w:color w:val="193E5D"/>
                <w:sz w:val="18"/>
              </w:rPr>
              <w:t>C  -[ tau ]-&gt;  C'       or       C  -[ event / observation ]-&gt;  C'</w:t>
            </w:r>
          </w:p>
          <w:p>
            <w:pPr>
              <w:jc w:val="center"/>
            </w:pPr>
            <w:r>
              <w:rPr>
                <w:rFonts w:ascii="Liberation Serif" w:hAnsi="Liberation Serif"/>
                <w:i/>
                <w:color w:val="586474"/>
                <w:sz w:val="17"/>
              </w:rPr>
              <w:t>Internal transitions are hidden; selected semantic transitions carry typed labels.</w:t>
            </w:r>
          </w:p>
        </w:tc>
      </w:tr>
    </w:tbl>
    <w:p>
      <w:pPr>
        <w:spacing w:after="0"/>
      </w:pPr>
    </w:p>
    <w:p>
      <w:pPr>
        <w:pStyle w:val="Heading3"/>
      </w:pPr>
      <w:r>
        <w:rPr>
          <w:rFonts w:ascii="Liberation Sans" w:hAnsi="Liberation Sans"/>
          <w:b/>
          <w:color w:val="245C8A"/>
          <w:sz w:val="23"/>
        </w:rPr>
        <w:t>5.2 Event records are typed propositions about execution</w:t>
      </w:r>
    </w:p>
    <w:p>
      <w:pPr>
        <w:spacing w:line="259" w:lineRule="auto" w:after="80"/>
        <w:ind w:firstLine="317"/>
      </w:pPr>
      <w:r>
        <w:rPr>
          <w:rFonts w:ascii="Liberation Serif" w:hAnsi="Liberation Serif"/>
          <w:color w:val="1F2937"/>
          <w:sz w:val="20"/>
        </w:rPr>
        <w:t>An event record is not merely a timestamped string. It asserts that a transition of a declared kind occurred at a declared semantic site and that each field has a defined relation to the pre-state, post-state, or causal context. For example, FunctionReturn should specify whether Result is the value before or after constructor coercion, whether Source identifies the return statement or the function, and whether finally blocks have completed. Event-versioning is therefore similar to an API and a logical signature at once.</w:t>
      </w:r>
    </w:p>
    <w:p>
      <w:pPr>
        <w:spacing w:after="40"/>
        <w:keepNext/>
      </w:pPr>
      <w:r>
        <w:rPr>
          <w:rFonts w:ascii="Liberation Sans" w:hAnsi="Liberation Sans"/>
          <w:b/>
          <w:color w:val="193E5D"/>
          <w:sz w:val="17"/>
        </w:rPr>
        <w:t>Illustrative event envelope. Concrete field sets should be event-specific rather than universally nullable.</w:t>
      </w:r>
    </w:p>
    <w:tbl>
      <w:tblPr>
        <w:tblW w:type="auto" w:w="0"/>
        <w:jc w:val="center"/>
        <w:tblLook w:firstColumn="1" w:firstRow="1" w:lastColumn="0" w:lastRow="0" w:noHBand="0" w:noVBand="1" w:val="04A0"/>
      </w:tblPr>
      <w:tblGrid>
        <w:gridCol w:w="9994"/>
      </w:tblGrid>
      <w:tr>
        <w:tc>
          <w:tcPr>
            <w:tcW w:type="dxa" w:w="9994"/>
            <w:shd w:fill="F7F8FA" w:val="clear"/>
            <w:tcBorders>
              <w:top w:val="single" w:sz="5" w:color="CBD3DA"/>
              <w:left w:val="single" w:sz="5" w:color="CBD3DA"/>
              <w:bottom w:val="single" w:sz="5" w:color="CBD3DA"/>
              <w:right w:val="single" w:sz="5" w:color="CBD3DA"/>
            </w:tcBorders>
            <w:tcMar>
              <w:top w:w="110" w:type="dxa"/>
              <w:start w:w="130" w:type="dxa"/>
              <w:bottom w:w="110" w:type="dxa"/>
              <w:end w:w="130" w:type="dxa"/>
            </w:tcMar>
          </w:tcPr>
          <w:p>
            <w:pPr>
              <w:spacing w:after="0" w:line="240" w:lineRule="auto"/>
            </w:pPr>
            <w:r>
              <w:rPr>
                <w:rFonts w:ascii="DejaVu Sans Mono" w:hAnsi="DejaVu Sans Mono"/>
                <w:color w:val="263442"/>
                <w:sz w:val="16"/>
              </w:rPr>
              <w:t>type SemanticEvent struct {</w:t>
              <w:br/>
              <w:t xml:space="preserve">    SchemaVersion uint32</w:t>
              <w:br/>
              <w:t xml:space="preserve">    Sequence      uint64</w:t>
              <w:br/>
              <w:t xml:space="preserve">    Kind          EventKind</w:t>
              <w:br/>
              <w:br/>
              <w:t xml:space="preserve">    ProgramID     ProgramID</w:t>
              <w:br/>
              <w:t xml:space="preserve">    FunctionID    FunctionID</w:t>
              <w:br/>
              <w:t xml:space="preserve">    CallSiteID    CallSiteID</w:t>
              <w:br/>
              <w:t xml:space="preserve">    FrameID       FrameID</w:t>
              <w:br/>
              <w:t xml:space="preserve">    JobID         JobID</w:t>
              <w:br/>
              <w:br/>
              <w:t xml:space="preserve">    Source        SourceSpan</w:t>
              <w:br/>
              <w:t xml:space="preserve">    Observation   ObservationHandle</w:t>
              <w:br/>
              <w:t xml:space="preserve">    Cause         EventID</w:t>
              <w:br/>
              <w:t>}</w:t>
            </w:r>
          </w:p>
        </w:tc>
      </w:tr>
    </w:tbl>
    <w:p>
      <w:pPr>
        <w:spacing w:after="0"/>
      </w:pPr>
    </w:p>
    <w:p>
      <w:pPr>
        <w:spacing w:line="259" w:lineRule="auto" w:after="80"/>
        <w:ind w:firstLine="317"/>
      </w:pPr>
      <w:r>
        <w:rPr>
          <w:rFonts w:ascii="Liberation Serif" w:hAnsi="Liberation Serif"/>
          <w:color w:val="1F2937"/>
          <w:sz w:val="20"/>
        </w:rPr>
        <w:t>A good schema distinguishes mandatory fields from event-specific variants. Large generic records are convenient initially but weaken static checking, waste bandwidth, and encourage consumers to infer semantics from absent fields. A tagged sum of event-specific records better matches the formal event alphabet and the probe verifier.</w:t>
      </w:r>
    </w:p>
    <w:p>
      <w:pPr>
        <w:pStyle w:val="Heading3"/>
      </w:pPr>
      <w:r>
        <w:rPr>
          <w:rFonts w:ascii="Liberation Sans" w:hAnsi="Liberation Sans"/>
          <w:b/>
          <w:color w:val="245C8A"/>
          <w:sz w:val="23"/>
        </w:rPr>
        <w:t>5.3 Event tiers and observational power</w:t>
      </w:r>
    </w:p>
    <w:p>
      <w:pPr>
        <w:spacing w:after="40"/>
        <w:jc w:val="center"/>
        <w:keepNext/>
      </w:pPr>
      <w:r>
        <w:drawing>
          <wp:inline xmlns:a="http://schemas.openxmlformats.org/drawingml/2006/main" xmlns:pic="http://schemas.openxmlformats.org/drawingml/2006/picture">
            <wp:extent cx="6172200" cy="3359511"/>
            <wp:docPr id="3" name="Picture 3" title="Figure 3. Event tiers range from portable language events to implementation-intensional events." descr="Three nested event tiers: language-semantic events, proof-oriented specification or rule events, and implementation-intensional events such as bytecode program counters and stack slots."/>
            <wp:cNvGraphicFramePr>
              <a:graphicFrameLocks noChangeAspect="1"/>
            </wp:cNvGraphicFramePr>
            <a:graphic>
              <a:graphicData uri="http://schemas.openxmlformats.org/drawingml/2006/picture">
                <pic:pic>
                  <pic:nvPicPr>
                    <pic:cNvPr id="0" name="event_tiers.png"/>
                    <pic:cNvPicPr/>
                  </pic:nvPicPr>
                  <pic:blipFill>
                    <a:blip r:embed="rId13"/>
                    <a:stretch>
                      <a:fillRect/>
                    </a:stretch>
                  </pic:blipFill>
                  <pic:spPr>
                    <a:xfrm>
                      <a:off x="0" y="0"/>
                      <a:ext cx="6172200" cy="3359511"/>
                    </a:xfrm>
                    <a:prstGeom prst="rect"/>
                  </pic:spPr>
                </pic:pic>
              </a:graphicData>
            </a:graphic>
          </wp:inline>
        </w:drawing>
      </w:r>
    </w:p>
    <w:p>
      <w:pPr>
        <w:spacing w:after="140"/>
        <w:jc w:val="center"/>
      </w:pPr>
      <w:r>
        <w:rPr>
          <w:rFonts w:ascii="Liberation Serif" w:hAnsi="Liberation Serif"/>
          <w:i/>
          <w:color w:val="586474"/>
          <w:sz w:val="17"/>
        </w:rPr>
        <w:t>Figure 3. Event tiers range from portable language events to implementation-intensional events.</w:t>
      </w:r>
    </w:p>
    <w:p>
      <w:pPr>
        <w:spacing w:line="259" w:lineRule="auto" w:after="80"/>
        <w:ind w:firstLine="317"/>
      </w:pPr>
      <w:r>
        <w:rPr>
          <w:rFonts w:ascii="Liberation Serif" w:hAnsi="Liberation Serif"/>
          <w:color w:val="1F2937"/>
          <w:sz w:val="20"/>
        </w:rPr>
        <w:t>Language-semantic events aim to be stable across correct implementations of the same language and host model. Proof-oriented events expose the chosen specification decomposition, such as an ECMAScript abstract-operation identifier or a Redex/K rule label. Implementation-intensional events expose goja-specific program counters, stack layouts, allocations, or caches. All three are legitimate, but they support different claims. A performance paper may require implementation events; a source equivalence argument should normally avoid them.</w:t>
      </w:r>
    </w:p>
    <w:p>
      <w:pPr>
        <w:spacing w:line="259" w:lineRule="auto" w:after="80"/>
        <w:ind w:firstLine="317"/>
      </w:pPr>
      <w:r>
        <w:rPr>
          <w:rFonts w:ascii="Liberation Serif" w:hAnsi="Liberation Serif"/>
          <w:color w:val="1F2937"/>
          <w:sz w:val="20"/>
        </w:rPr>
        <w:t>Capabilities should therefore include an event tier. A portable probe may attach only to language-semantic events and use stable value projections. A proof adapter may additionally request rule labels tied to a formal-model version. A VM diagnostics probe may request raw program counters and instruction classes but becomes explicitly tied to a goja commit and compiler configuration.</w:t>
      </w:r>
    </w:p>
    <w:p>
      <w:pPr>
        <w:pStyle w:val="Heading3"/>
      </w:pPr>
      <w:r>
        <w:rPr>
          <w:rFonts w:ascii="Liberation Sans" w:hAnsi="Liberation Sans"/>
          <w:b/>
          <w:color w:val="245C8A"/>
          <w:sz w:val="23"/>
        </w:rPr>
        <w:t>5.4 Event algebra and closure properties</w:t>
      </w:r>
    </w:p>
    <w:p>
      <w:pPr>
        <w:spacing w:line="259" w:lineRule="auto" w:after="80"/>
        <w:ind w:firstLine="317"/>
      </w:pPr>
      <w:r>
        <w:rPr>
          <w:rFonts w:ascii="Liberation Serif" w:hAnsi="Liberation Serif"/>
          <w:color w:val="1F2937"/>
          <w:sz w:val="20"/>
        </w:rPr>
        <w:t>An event vocabulary is useful when it supports algebraic composition. Event filters should be closed under conjunction and disjunction; trace projections should preserve causal identities; handler products should combine independent analyses; and schema evolution should specify whether older event interpretations remain valid. A probe compiler can exploit these properties by resolving selectors to compact site sets and fusing compatible handlers.</w:t>
      </w:r>
    </w:p>
    <w:p>
      <w:pPr>
        <w:spacing w:after="60"/>
        <w:keepNext/>
      </w:pPr>
      <w:r>
        <w:rPr>
          <w:rFonts w:ascii="Liberation Sans" w:hAnsi="Liberation Sans"/>
          <w:b/>
          <w:color w:val="193E5D"/>
          <w:sz w:val="18"/>
        </w:rPr>
        <w:t>Table 4. Representative semantic event families.</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2016"/>
            <w:shd w:fill="245C8A" w:val="clear"/>
            <w:tcMar>
              <w:top w:w="70" w:type="dxa"/>
              <w:start w:w="80" w:type="dxa"/>
              <w:bottom w:w="70" w:type="dxa"/>
              <w:end w:w="80" w:type="dxa"/>
            </w:tcMar>
            <w:vAlign w:val="center"/>
          </w:tcPr>
          <w:p>
            <w:pPr>
              <w:jc w:val="left"/>
            </w:pPr>
            <w:r>
              <w:rPr>
                <w:rFonts w:ascii="Liberation Sans" w:hAnsi="Liberation Sans"/>
                <w:b/>
                <w:color w:val="FFFFFF"/>
                <w:sz w:val="17"/>
              </w:rPr>
              <w:t>Event family</w:t>
            </w:r>
          </w:p>
        </w:tc>
        <w:tc>
          <w:tcPr>
            <w:tcW w:type="dxa" w:w="3888"/>
            <w:shd w:fill="245C8A" w:val="clear"/>
            <w:tcMar>
              <w:top w:w="70" w:type="dxa"/>
              <w:start w:w="80" w:type="dxa"/>
              <w:bottom w:w="70" w:type="dxa"/>
              <w:end w:w="80" w:type="dxa"/>
            </w:tcMar>
            <w:vAlign w:val="center"/>
          </w:tcPr>
          <w:p>
            <w:pPr>
              <w:jc w:val="left"/>
            </w:pPr>
            <w:r>
              <w:rPr>
                <w:rFonts w:ascii="Liberation Sans" w:hAnsi="Liberation Sans"/>
                <w:b/>
                <w:color w:val="FFFFFF"/>
                <w:sz w:val="17"/>
              </w:rPr>
              <w:t>Typical fields</w:t>
            </w:r>
          </w:p>
        </w:tc>
        <w:tc>
          <w:tcPr>
            <w:tcW w:type="dxa" w:w="3960"/>
            <w:shd w:fill="245C8A" w:val="clear"/>
            <w:tcMar>
              <w:top w:w="70" w:type="dxa"/>
              <w:start w:w="80" w:type="dxa"/>
              <w:bottom w:w="70" w:type="dxa"/>
              <w:end w:w="80" w:type="dxa"/>
            </w:tcMar>
            <w:vAlign w:val="center"/>
          </w:tcPr>
          <w:p>
            <w:pPr>
              <w:jc w:val="left"/>
            </w:pPr>
            <w:r>
              <w:rPr>
                <w:rFonts w:ascii="Liberation Sans" w:hAnsi="Liberation Sans"/>
                <w:b/>
                <w:color w:val="FFFFFF"/>
                <w:sz w:val="17"/>
              </w:rPr>
              <w:t>Common interpretations</w:t>
            </w:r>
          </w:p>
        </w:tc>
      </w:tr>
      <w:tr>
        <w:trPr>
          <w:cantSplit/>
        </w:trPr>
        <w:tc>
          <w:tcPr>
            <w:tcW w:type="dxa" w:w="2016"/>
            <w:tcMar>
              <w:top w:w="65" w:type="dxa"/>
              <w:start w:w="80" w:type="dxa"/>
              <w:bottom w:w="65" w:type="dxa"/>
              <w:end w:w="80" w:type="dxa"/>
            </w:tcMar>
            <w:vAlign w:val="top"/>
          </w:tcPr>
          <w:p>
            <w:pPr>
              <w:spacing w:after="0" w:line="240" w:lineRule="auto"/>
            </w:pPr>
            <w:r>
              <w:rPr>
                <w:rFonts w:ascii="Liberation Serif" w:hAnsi="Liberation Serif"/>
                <w:color w:val="1F2937"/>
                <w:sz w:val="17"/>
              </w:rPr>
              <w:t>Call / construct</w:t>
            </w:r>
          </w:p>
        </w:tc>
        <w:tc>
          <w:tcPr>
            <w:tcW w:type="dxa" w:w="3888"/>
            <w:tcMar>
              <w:top w:w="65" w:type="dxa"/>
              <w:start w:w="80" w:type="dxa"/>
              <w:bottom w:w="65" w:type="dxa"/>
              <w:end w:w="80" w:type="dxa"/>
            </w:tcMar>
            <w:vAlign w:val="top"/>
          </w:tcPr>
          <w:p>
            <w:pPr>
              <w:spacing w:after="0" w:line="240" w:lineRule="auto"/>
            </w:pPr>
            <w:r>
              <w:rPr>
                <w:rFonts w:ascii="Liberation Serif" w:hAnsi="Liberation Serif"/>
                <w:color w:val="1F2937"/>
                <w:sz w:val="17"/>
              </w:rPr>
              <w:t>callee, receiver, arguments, call site, new target</w:t>
            </w:r>
          </w:p>
        </w:tc>
        <w:tc>
          <w:tcPr>
            <w:tcW w:type="dxa" w:w="3960"/>
            <w:tcMar>
              <w:top w:w="65" w:type="dxa"/>
              <w:start w:w="80" w:type="dxa"/>
              <w:bottom w:w="65" w:type="dxa"/>
              <w:end w:w="80" w:type="dxa"/>
            </w:tcMar>
            <w:vAlign w:val="top"/>
          </w:tcPr>
          <w:p>
            <w:pPr>
              <w:spacing w:after="0" w:line="240" w:lineRule="auto"/>
            </w:pPr>
            <w:r>
              <w:rPr>
                <w:rFonts w:ascii="Liberation Serif" w:hAnsi="Liberation Serif"/>
                <w:color w:val="1F2937"/>
                <w:sz w:val="17"/>
              </w:rPr>
              <w:t>latency, contracts, call graph, policy</w:t>
            </w:r>
          </w:p>
        </w:tc>
      </w:tr>
      <w:tr>
        <w:trPr>
          <w:cantSplit/>
        </w:trPr>
        <w:tc>
          <w:tcPr>
            <w:tcW w:type="dxa" w:w="2016"/>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Function lifecycle</w:t>
            </w:r>
          </w:p>
        </w:tc>
        <w:tc>
          <w:tcPr>
            <w:tcW w:type="dxa" w:w="3888"/>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function, frame, entry/return/throw, result or exception</w:t>
            </w:r>
          </w:p>
        </w:tc>
        <w:tc>
          <w:tcPr>
            <w:tcW w:type="dxa" w:w="3960"/>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pre/post invariants, recursion, summaries</w:t>
            </w:r>
          </w:p>
        </w:tc>
      </w:tr>
      <w:tr>
        <w:trPr>
          <w:cantSplit/>
        </w:trPr>
        <w:tc>
          <w:tcPr>
            <w:tcW w:type="dxa" w:w="2016"/>
            <w:tcMar>
              <w:top w:w="65" w:type="dxa"/>
              <w:start w:w="80" w:type="dxa"/>
              <w:bottom w:w="65" w:type="dxa"/>
              <w:end w:w="80" w:type="dxa"/>
            </w:tcMar>
            <w:vAlign w:val="top"/>
          </w:tcPr>
          <w:p>
            <w:pPr>
              <w:spacing w:after="0" w:line="240" w:lineRule="auto"/>
            </w:pPr>
            <w:r>
              <w:rPr>
                <w:rFonts w:ascii="Liberation Serif" w:hAnsi="Liberation Serif"/>
                <w:color w:val="1F2937"/>
                <w:sz w:val="17"/>
              </w:rPr>
              <w:t>Object effects</w:t>
            </w:r>
          </w:p>
        </w:tc>
        <w:tc>
          <w:tcPr>
            <w:tcW w:type="dxa" w:w="3888"/>
            <w:tcMar>
              <w:top w:w="65" w:type="dxa"/>
              <w:start w:w="80" w:type="dxa"/>
              <w:bottom w:w="65" w:type="dxa"/>
              <w:end w:w="80" w:type="dxa"/>
            </w:tcMar>
            <w:vAlign w:val="top"/>
          </w:tcPr>
          <w:p>
            <w:pPr>
              <w:spacing w:after="0" w:line="240" w:lineRule="auto"/>
            </w:pPr>
            <w:r>
              <w:rPr>
                <w:rFonts w:ascii="Liberation Serif" w:hAnsi="Liberation Serif"/>
                <w:color w:val="1F2937"/>
                <w:sz w:val="17"/>
              </w:rPr>
              <w:t>base identity, property key, descriptor mode, value projection</w:t>
            </w:r>
          </w:p>
        </w:tc>
        <w:tc>
          <w:tcPr>
            <w:tcW w:type="dxa" w:w="3960"/>
            <w:tcMar>
              <w:top w:w="65" w:type="dxa"/>
              <w:start w:w="80" w:type="dxa"/>
              <w:bottom w:w="65" w:type="dxa"/>
              <w:end w:w="80" w:type="dxa"/>
            </w:tcMar>
            <w:vAlign w:val="top"/>
          </w:tcPr>
          <w:p>
            <w:pPr>
              <w:spacing w:after="0" w:line="240" w:lineRule="auto"/>
            </w:pPr>
            <w:r>
              <w:rPr>
                <w:rFonts w:ascii="Liberation Serif" w:hAnsi="Liberation Serif"/>
                <w:color w:val="1F2937"/>
                <w:sz w:val="17"/>
              </w:rPr>
              <w:t>shape analysis, taint, effect summaries</w:t>
            </w:r>
          </w:p>
        </w:tc>
      </w:tr>
      <w:tr>
        <w:trPr>
          <w:cantSplit/>
        </w:trPr>
        <w:tc>
          <w:tcPr>
            <w:tcW w:type="dxa" w:w="2016"/>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Jobs / async</w:t>
            </w:r>
          </w:p>
        </w:tc>
        <w:tc>
          <w:tcPr>
            <w:tcW w:type="dxa" w:w="3888"/>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job, Promise, continuation, cause, realm/host queue</w:t>
            </w:r>
          </w:p>
        </w:tc>
        <w:tc>
          <w:tcPr>
            <w:tcW w:type="dxa" w:w="3960"/>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causal traces, protocol monitors, scheduling studies</w:t>
            </w:r>
          </w:p>
        </w:tc>
      </w:tr>
      <w:tr>
        <w:trPr>
          <w:cantSplit/>
        </w:trPr>
        <w:tc>
          <w:tcPr>
            <w:tcW w:type="dxa" w:w="2016"/>
            <w:tcMar>
              <w:top w:w="65" w:type="dxa"/>
              <w:start w:w="80" w:type="dxa"/>
              <w:bottom w:w="65" w:type="dxa"/>
              <w:end w:w="80" w:type="dxa"/>
            </w:tcMar>
            <w:vAlign w:val="top"/>
          </w:tcPr>
          <w:p>
            <w:pPr>
              <w:spacing w:after="0" w:line="240" w:lineRule="auto"/>
            </w:pPr>
            <w:r>
              <w:rPr>
                <w:rFonts w:ascii="Liberation Serif" w:hAnsi="Liberation Serif"/>
                <w:color w:val="1F2937"/>
                <w:sz w:val="17"/>
              </w:rPr>
              <w:t>Control flow</w:t>
            </w:r>
          </w:p>
        </w:tc>
        <w:tc>
          <w:tcPr>
            <w:tcW w:type="dxa" w:w="3888"/>
            <w:tcMar>
              <w:top w:w="65" w:type="dxa"/>
              <w:start w:w="80" w:type="dxa"/>
              <w:bottom w:w="65" w:type="dxa"/>
              <w:end w:w="80" w:type="dxa"/>
            </w:tcMar>
            <w:vAlign w:val="top"/>
          </w:tcPr>
          <w:p>
            <w:pPr>
              <w:spacing w:after="0" w:line="240" w:lineRule="auto"/>
            </w:pPr>
            <w:r>
              <w:rPr>
                <w:rFonts w:ascii="Liberation Serif" w:hAnsi="Liberation Serif"/>
                <w:color w:val="1F2937"/>
                <w:sz w:val="17"/>
              </w:rPr>
              <w:t>branch site, outcome, rule ID</w:t>
            </w:r>
          </w:p>
        </w:tc>
        <w:tc>
          <w:tcPr>
            <w:tcW w:type="dxa" w:w="3960"/>
            <w:tcMar>
              <w:top w:w="65" w:type="dxa"/>
              <w:start w:w="80" w:type="dxa"/>
              <w:bottom w:w="65" w:type="dxa"/>
              <w:end w:w="80" w:type="dxa"/>
            </w:tcMar>
            <w:vAlign w:val="top"/>
          </w:tcPr>
          <w:p>
            <w:pPr>
              <w:spacing w:after="0" w:line="240" w:lineRule="auto"/>
            </w:pPr>
            <w:r>
              <w:rPr>
                <w:rFonts w:ascii="Liberation Serif" w:hAnsi="Liberation Serif"/>
                <w:color w:val="1F2937"/>
                <w:sz w:val="17"/>
              </w:rPr>
              <w:t>coverage, path profiles, symbolic alignment</w:t>
            </w:r>
          </w:p>
        </w:tc>
      </w:tr>
      <w:tr>
        <w:trPr>
          <w:cantSplit/>
        </w:trPr>
        <w:tc>
          <w:tcPr>
            <w:tcW w:type="dxa" w:w="2016"/>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Resource</w:t>
            </w:r>
          </w:p>
        </w:tc>
        <w:tc>
          <w:tcPr>
            <w:tcW w:type="dxa" w:w="3888"/>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allocation site, size class, operation count</w:t>
            </w:r>
          </w:p>
        </w:tc>
        <w:tc>
          <w:tcPr>
            <w:tcW w:type="dxa" w:w="3960"/>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cost semantics, leak detection, resource contracts</w:t>
            </w:r>
          </w:p>
        </w:tc>
      </w:tr>
    </w:tbl>
    <w:p>
      <w:pPr>
        <w:spacing w:after="0"/>
      </w:pPr>
    </w:p>
    <w:p>
      <w:pPr>
        <w:pStyle w:val="Heading2"/>
      </w:pPr>
      <w:r>
        <w:rPr>
          <w:rFonts w:ascii="Liberation Sans" w:hAnsi="Liberation Sans"/>
          <w:b/>
          <w:color w:val="193E5D"/>
          <w:sz w:val="30"/>
        </w:rPr>
        <w:t>6. From VM instructions to semantic macro-events</w:t>
      </w:r>
    </w:p>
    <w:p>
      <w:pPr>
        <w:spacing w:after="140" w:line="259" w:lineRule="auto"/>
      </w:pPr>
      <w:r>
        <w:rPr>
          <w:rFonts w:ascii="Liberation Serif" w:hAnsi="Liberation Serif"/>
          <w:i/>
          <w:color w:val="193E5D"/>
          <w:sz w:val="22"/>
        </w:rPr>
        <w:t>The event mapping is an abstraction proof problem: sequences of implementation transitions must implement one declared semantic transition.</w:t>
      </w:r>
    </w:p>
    <w:p>
      <w:pPr>
        <w:pStyle w:val="Heading3"/>
      </w:pPr>
      <w:r>
        <w:rPr>
          <w:rFonts w:ascii="Liberation Sans" w:hAnsi="Liberation Sans"/>
          <w:b/>
          <w:color w:val="245C8A"/>
          <w:sz w:val="23"/>
        </w:rPr>
        <w:t>6.1 Why source rewriting is insufficient</w:t>
      </w:r>
    </w:p>
    <w:p>
      <w:pPr>
        <w:spacing w:line="259" w:lineRule="auto" w:after="80"/>
        <w:ind w:firstLine="317"/>
      </w:pPr>
      <w:r>
        <w:rPr>
          <w:rFonts w:ascii="Liberation Serif" w:hAnsi="Liberation Serif"/>
          <w:color w:val="1F2937"/>
          <w:sz w:val="20"/>
        </w:rPr>
        <w:t>Source or AST rewriting can validate user-facing syntax quickly, but it does not provide complete event coverage. JavaScript calls may arise from getters, setters, proxies, bound functions, native functions, constructors, iterators, Promise reactions, and direct evaluation. Source rewriting also changes source positions, stack traces, closure structure, and possibly optimization behavior. It remains useful as a prototype or an independent differential implementation, not as the final semantic source of truth.</w:t>
      </w:r>
    </w:p>
    <w:p>
      <w:pPr>
        <w:spacing w:line="259" w:lineRule="auto" w:after="80"/>
        <w:ind w:firstLine="317"/>
      </w:pPr>
      <w:r>
        <w:rPr>
          <w:rFonts w:ascii="Liberation Serif" w:hAnsi="Liberation Serif"/>
          <w:color w:val="1F2937"/>
          <w:sz w:val="20"/>
        </w:rPr>
        <w:t>At the other extreme, wrapping every VM instruction yields implementation completeness but forces consumers to reconstruct source semantics from unstable stack effects. A semantic event layer should instead intercept central transitions: the call dispatch path, function prologue completion, normal return, exception unwinding, constructor dispatch, generator suspension/resumption, async runner transitions, and job scheduling. The precise patch points are engineering choices; the event contracts are semantic commitments.</w:t>
      </w:r>
    </w:p>
    <w:p>
      <w:pPr>
        <w:pStyle w:val="Heading3"/>
      </w:pPr>
      <w:r>
        <w:rPr>
          <w:rFonts w:ascii="Liberation Sans" w:hAnsi="Liberation Sans"/>
          <w:b/>
          <w:color w:val="245C8A"/>
          <w:sz w:val="23"/>
        </w:rPr>
        <w:t>6.2 Macro-step simulation</w:t>
      </w:r>
    </w:p>
    <w:p>
      <w:pPr>
        <w:spacing w:line="259" w:lineRule="auto" w:after="80"/>
        <w:ind w:firstLine="317"/>
      </w:pPr>
      <w:r>
        <w:rPr>
          <w:rFonts w:ascii="Liberation Serif" w:hAnsi="Liberation Serif"/>
          <w:color w:val="1F2937"/>
          <w:sz w:val="20"/>
        </w:rPr>
        <w:t>Let alpha map a VM state V to a source configuration C, possibly partially. A macro-event implementation is sound when a VM segment V -&gt;* V' beginning and ending at event boundaries corresponds to a source transition alpha(V) -[e]-&gt; alpha(V'). Internal VM steps are hidden. The proof may be a forward simulation, backward simulation, bisimulation, or translation-validation check, depending on the desired guarantees and whether compilation is included (Leroy 2009; Pnueli, Siegel, and Singerman 1998).</w:t>
      </w:r>
    </w:p>
    <w:tbl>
      <w:tblPr>
        <w:tblW w:type="auto" w:w="0"/>
        <w:jc w:val="center"/>
        <w:tblLayout w:type="autofit"/>
        <w:tblLook w:firstColumn="1" w:firstRow="1" w:lastColumn="0" w:lastRow="0" w:noHBand="0" w:noVBand="1" w:val="04A0"/>
      </w:tblPr>
      <w:tblGrid>
        <w:gridCol w:w="9994"/>
      </w:tblGrid>
      <w:tr>
        <w:tc>
          <w:tcPr>
            <w:tcW w:type="dxa" w:w="9994"/>
            <w:shd w:fill="F3F5F7" w:val="clear"/>
            <w:tcBorders>
              <w:top w:val="single" w:sz="6" w:color="9CA8B3"/>
              <w:left w:val="single" w:sz="6" w:color="9CA8B3"/>
              <w:bottom w:val="single" w:sz="6" w:color="9CA8B3"/>
              <w:right w:val="single" w:sz="6" w:color="9CA8B3"/>
            </w:tcBorders>
            <w:tcMar>
              <w:top w:w="110" w:type="dxa"/>
              <w:start w:w="150" w:type="dxa"/>
              <w:bottom w:w="110" w:type="dxa"/>
              <w:end w:w="150" w:type="dxa"/>
            </w:tcMar>
          </w:tcPr>
          <w:p>
            <w:pPr>
              <w:jc w:val="center"/>
            </w:pPr>
            <w:r>
              <w:rPr>
                <w:rFonts w:ascii="DejaVu Sans Mono" w:hAnsi="DejaVu Sans Mono"/>
                <w:color w:val="193E5D"/>
                <w:sz w:val="18"/>
              </w:rPr>
              <w:t>V  -&gt;*  V'    and    alpha(V)=C    imply    C -[e]-&gt; alpha(V')</w:t>
            </w:r>
          </w:p>
          <w:p>
            <w:pPr>
              <w:jc w:val="center"/>
            </w:pPr>
            <w:r>
              <w:rPr>
                <w:rFonts w:ascii="Liberation Serif" w:hAnsi="Liberation Serif"/>
                <w:i/>
                <w:color w:val="586474"/>
                <w:sz w:val="17"/>
              </w:rPr>
              <w:t>Schematic event-soundness condition for one VM macro-step.</w:t>
            </w:r>
          </w:p>
        </w:tc>
      </w:tr>
    </w:tbl>
    <w:p>
      <w:pPr>
        <w:spacing w:after="0"/>
      </w:pPr>
    </w:p>
    <w:p>
      <w:pPr>
        <w:spacing w:line="259" w:lineRule="auto" w:after="80"/>
        <w:ind w:firstLine="317"/>
      </w:pPr>
      <w:r>
        <w:rPr>
          <w:rFonts w:ascii="Liberation Serif" w:hAnsi="Liberation Serif"/>
          <w:color w:val="1F2937"/>
          <w:sz w:val="20"/>
        </w:rPr>
        <w:t>For a realistic interpreter, a full mechanized refinement proof is a major project. A staged strategy is still rigorous: prove the property for a small abstract machine; encode runtime assertions over event preconditions and postconditions; differential-test events against a specification-oriented interpreter; use semantic-rule coverage; and pin every trace to the implementation and schema version. Translation validation can check per-program metadata and compilation facts without requiring a once-and-for-all proof of the entire compiler.</w:t>
      </w:r>
    </w:p>
    <w:p>
      <w:pPr>
        <w:pStyle w:val="Heading3"/>
      </w:pPr>
      <w:r>
        <w:rPr>
          <w:rFonts w:ascii="Liberation Sans" w:hAnsi="Liberation Sans"/>
          <w:b/>
          <w:color w:val="245C8A"/>
          <w:sz w:val="23"/>
        </w:rPr>
        <w:t>6.3 Normal return and abrupt completion</w:t>
      </w:r>
    </w:p>
    <w:p>
      <w:pPr>
        <w:spacing w:line="259" w:lineRule="auto" w:after="80"/>
        <w:ind w:firstLine="317"/>
      </w:pPr>
      <w:r>
        <w:rPr>
          <w:rFonts w:ascii="Liberation Serif" w:hAnsi="Liberation Serif"/>
          <w:color w:val="1F2937"/>
          <w:sz w:val="20"/>
        </w:rPr>
        <w:t>Normal return is not merely execution of a return opcode. A return expression may transfer control through one or more finally blocks, and a finally block may replace the pending completion. The semantic return event should therefore occur when the final normal completion crosses the function boundary. Likewise, a throw instruction creates an abrupt completion, but FunctionThrow occurs only when unwinding crosses that function. If a catch in the same function handles the exception, no function-exit event has occurred.</w:t>
      </w:r>
    </w:p>
    <w:p>
      <w:pPr>
        <w:spacing w:line="259" w:lineRule="auto" w:after="80"/>
        <w:ind w:firstLine="317"/>
      </w:pPr>
      <w:r>
        <w:rPr>
          <w:rFonts w:ascii="Liberation Serif" w:hAnsi="Liberation Serif"/>
          <w:color w:val="1F2937"/>
          <w:sz w:val="20"/>
        </w:rPr>
        <w:t>This difference creates a concrete test oracle. Construct programs with nested try/catch/finally blocks, returns overridden by finally, exceptions rethrown after mutation, and multi-frame unwinds. The event trace should match the formal completion structure, not the surface location of throw or return statements. These cases are essential for event completeness tests.</w:t>
      </w:r>
    </w:p>
    <w:p>
      <w:pPr>
        <w:pStyle w:val="Heading3"/>
      </w:pPr>
      <w:r>
        <w:rPr>
          <w:rFonts w:ascii="Liberation Sans" w:hAnsi="Liberation Sans"/>
          <w:b/>
          <w:color w:val="245C8A"/>
          <w:sz w:val="23"/>
        </w:rPr>
        <w:t>6.4 Stable site identity</w:t>
      </w:r>
    </w:p>
    <w:p>
      <w:pPr>
        <w:spacing w:line="259" w:lineRule="auto" w:after="80"/>
        <w:ind w:firstLine="317"/>
      </w:pPr>
      <w:r>
        <w:rPr>
          <w:rFonts w:ascii="Liberation Serif" w:hAnsi="Liberation Serif"/>
          <w:color w:val="1F2937"/>
          <w:sz w:val="20"/>
        </w:rPr>
        <w:t>Attaching by function name or line number alone is not stable. Names may be anonymous or duplicated; lines contain multiple expressions; source maps transform positions; and generated code may have no durable path. Compilation should assign ProgramID, FunctionID, CallSiteID, BindingID, and EffectSiteID values derived from a content hash plus deterministic local numbering. Human selectors resolve to these IDs before execution. The hot path performs integer or bitset membership checks, not string matching.</w:t>
      </w:r>
    </w:p>
    <w:p>
      <w:pPr>
        <w:pStyle w:val="Heading2"/>
      </w:pPr>
      <w:r>
        <w:rPr>
          <w:rFonts w:ascii="Liberation Sans" w:hAnsi="Liberation Sans"/>
          <w:b/>
          <w:color w:val="193E5D"/>
          <w:sz w:val="30"/>
        </w:rPr>
        <w:t>7. Product semantics for runtime monitors</w:t>
      </w:r>
    </w:p>
    <w:p>
      <w:pPr>
        <w:spacing w:after="140" w:line="259" w:lineRule="auto"/>
      </w:pPr>
      <w:r>
        <w:rPr>
          <w:rFonts w:ascii="Liberation Serif" w:hAnsi="Liberation Serif"/>
          <w:i/>
          <w:color w:val="193E5D"/>
          <w:sz w:val="22"/>
        </w:rPr>
        <w:t>A monitor is a second state machine whose product with the program machine yields the monitored execution.</w:t>
      </w:r>
    </w:p>
    <w:p>
      <w:pPr>
        <w:spacing w:after="40"/>
        <w:jc w:val="center"/>
        <w:keepNext/>
      </w:pPr>
      <w:r>
        <w:drawing>
          <wp:inline xmlns:a="http://schemas.openxmlformats.org/drawingml/2006/main" xmlns:pic="http://schemas.openxmlformats.org/drawingml/2006/picture">
            <wp:extent cx="6172200" cy="3192517"/>
            <wp:docPr id="4" name="Picture 4" title="Figure 4. Program and monitor evolve together through an event and bounded observation." descr="Product-semantics diagram with program configuration C transitioning to C prime and monitor state m transitioning to m prime through a monitor transition function and action."/>
            <wp:cNvGraphicFramePr>
              <a:graphicFrameLocks noChangeAspect="1"/>
            </wp:cNvGraphicFramePr>
            <a:graphic>
              <a:graphicData uri="http://schemas.openxmlformats.org/drawingml/2006/picture">
                <pic:pic>
                  <pic:nvPicPr>
                    <pic:cNvPr id="0" name="product_semantics.png"/>
                    <pic:cNvPicPr/>
                  </pic:nvPicPr>
                  <pic:blipFill>
                    <a:blip r:embed="rId14"/>
                    <a:stretch>
                      <a:fillRect/>
                    </a:stretch>
                  </pic:blipFill>
                  <pic:spPr>
                    <a:xfrm>
                      <a:off x="0" y="0"/>
                      <a:ext cx="6172200" cy="3192517"/>
                    </a:xfrm>
                    <a:prstGeom prst="rect"/>
                  </pic:spPr>
                </pic:pic>
              </a:graphicData>
            </a:graphic>
          </wp:inline>
        </w:drawing>
      </w:r>
    </w:p>
    <w:p>
      <w:pPr>
        <w:spacing w:after="140"/>
        <w:jc w:val="center"/>
      </w:pPr>
      <w:r>
        <w:rPr>
          <w:rFonts w:ascii="Liberation Serif" w:hAnsi="Liberation Serif"/>
          <w:i/>
          <w:color w:val="586474"/>
          <w:sz w:val="17"/>
        </w:rPr>
        <w:t>Figure 4. Program and monitor evolve together through an event and bounded observation.</w:t>
      </w:r>
    </w:p>
    <w:p>
      <w:pPr>
        <w:pStyle w:val="Heading3"/>
      </w:pPr>
      <w:r>
        <w:rPr>
          <w:rFonts w:ascii="Liberation Sans" w:hAnsi="Liberation Sans"/>
          <w:b/>
          <w:color w:val="245C8A"/>
          <w:sz w:val="23"/>
        </w:rPr>
        <w:t>7.1 The basic product construction</w:t>
      </w:r>
    </w:p>
    <w:p>
      <w:pPr>
        <w:spacing w:line="259" w:lineRule="auto" w:after="80"/>
        <w:ind w:firstLine="317"/>
      </w:pPr>
      <w:r>
        <w:rPr>
          <w:rFonts w:ascii="Liberation Serif" w:hAnsi="Liberation Serif"/>
          <w:color w:val="1F2937"/>
          <w:sz w:val="20"/>
        </w:rPr>
        <w:t>Let M be monitor state, E the event alphabet, O the observation domain, and A the action domain. The monitor transition function delta : M x E x O -&gt; M x A is deterministic for a fixed probe program, or explicitly nondeterministic if the specification requires it. The monitored configuration is the pair (C,m). Internal program transitions leave m unchanged; labelled transitions update both components. This construction is standard for automata-based runtime verification and makes stateful invariants mathematically explicit (Leucker and Schallhart 2009; Bartocci and Falcone 2018).</w:t>
      </w:r>
    </w:p>
    <w:tbl>
      <w:tblPr>
        <w:tblW w:type="auto" w:w="0"/>
        <w:jc w:val="center"/>
        <w:tblLayout w:type="autofit"/>
        <w:tblLook w:firstColumn="1" w:firstRow="1" w:lastColumn="0" w:lastRow="0" w:noHBand="0" w:noVBand="1" w:val="04A0"/>
      </w:tblPr>
      <w:tblGrid>
        <w:gridCol w:w="9994"/>
      </w:tblGrid>
      <w:tr>
        <w:tc>
          <w:tcPr>
            <w:tcW w:type="dxa" w:w="9994"/>
            <w:shd w:fill="F3F5F7" w:val="clear"/>
            <w:tcBorders>
              <w:top w:val="single" w:sz="6" w:color="9CA8B3"/>
              <w:left w:val="single" w:sz="6" w:color="9CA8B3"/>
              <w:bottom w:val="single" w:sz="6" w:color="9CA8B3"/>
              <w:right w:val="single" w:sz="6" w:color="9CA8B3"/>
            </w:tcBorders>
            <w:tcMar>
              <w:top w:w="110" w:type="dxa"/>
              <w:start w:w="150" w:type="dxa"/>
              <w:bottom w:w="110" w:type="dxa"/>
              <w:end w:w="150" w:type="dxa"/>
            </w:tcMar>
          </w:tcPr>
          <w:p>
            <w:pPr>
              <w:jc w:val="center"/>
            </w:pPr>
            <w:r>
              <w:rPr>
                <w:rFonts w:ascii="DejaVu Sans Mono" w:hAnsi="DejaVu Sans Mono"/>
                <w:color w:val="193E5D"/>
                <w:sz w:val="18"/>
              </w:rPr>
              <w:t>delta : M x E x O  -&gt;  M x A</w:t>
            </w:r>
          </w:p>
          <w:p>
            <w:pPr>
              <w:jc w:val="center"/>
            </w:pPr>
            <w:r>
              <w:rPr>
                <w:rFonts w:ascii="Liberation Serif" w:hAnsi="Liberation Serif"/>
                <w:i/>
                <w:color w:val="586474"/>
                <w:sz w:val="17"/>
              </w:rPr>
              <w:t>A is normally Continue, Report, or Violate; intervention requires a different transition system.</w:t>
            </w:r>
          </w:p>
        </w:tc>
      </w:tr>
    </w:tbl>
    <w:p>
      <w:pPr>
        <w:spacing w:after="0"/>
      </w:pPr>
    </w:p>
    <w:p>
      <w:pPr>
        <w:pStyle w:val="Heading3"/>
      </w:pPr>
      <w:r>
        <w:rPr>
          <w:rFonts w:ascii="Liberation Sans" w:hAnsi="Liberation Sans"/>
          <w:b/>
          <w:color w:val="245C8A"/>
          <w:sz w:val="23"/>
        </w:rPr>
        <w:t>7.2 Safety properties and bad prefixes</w:t>
      </w:r>
    </w:p>
    <w:p>
      <w:pPr>
        <w:spacing w:line="259" w:lineRule="auto" w:after="80"/>
        <w:ind w:firstLine="317"/>
      </w:pPr>
      <w:r>
        <w:rPr>
          <w:rFonts w:ascii="Liberation Serif" w:hAnsi="Liberation Serif"/>
          <w:color w:val="1F2937"/>
          <w:sz w:val="20"/>
        </w:rPr>
        <w:t>Many runtime-enforceable invariants are safety properties: every violation has a finite bad prefix. Examples include a balance becoming negative, a file being used after close, a transaction committing before begin, a Promise continuation resuming twice, or an exception crossing a forbidden boundary. The monitor reaches a bad state as soon as the prefix suffices to demonstrate failure. Schneider formalizes the relationship between security policies and execution monitors; edit automata extend monitors with suppression and insertion capabilities (Schneider 2000; Ligatti, Bauer, and Walker 2005).</w:t>
      </w:r>
    </w:p>
    <w:p>
      <w:pPr>
        <w:spacing w:line="259" w:lineRule="auto" w:after="80"/>
        <w:ind w:firstLine="317"/>
      </w:pPr>
      <w:r>
        <w:rPr>
          <w:rFonts w:ascii="Liberation Serif" w:hAnsi="Liberation Serif"/>
          <w:color w:val="1F2937"/>
          <w:sz w:val="20"/>
        </w:rPr>
        <w:t>The architecture should report the property class. A finite-run monitor can return satisfied, violated, or inconclusive. A liveness property such as every request is eventually answered cannot generally be confirmed from an arbitrary finite prefix. End-of-run assumptions, time bounds, fairness assumptions, or conversion to a bounded response property must be explicit (Alpern and Schneider 1985; Bauer, Leucker, and Schallhart 2010).</w:t>
      </w:r>
    </w:p>
    <w:p>
      <w:pPr>
        <w:pStyle w:val="Heading3"/>
      </w:pPr>
      <w:r>
        <w:rPr>
          <w:rFonts w:ascii="Liberation Sans" w:hAnsi="Liberation Sans"/>
          <w:b/>
          <w:color w:val="245C8A"/>
          <w:sz w:val="23"/>
        </w:rPr>
        <w:t>7.3 Parametric monitor instances</w:t>
      </w:r>
    </w:p>
    <w:p>
      <w:pPr>
        <w:spacing w:line="259" w:lineRule="auto" w:after="80"/>
        <w:ind w:firstLine="317"/>
      </w:pPr>
      <w:r>
        <w:rPr>
          <w:rFonts w:ascii="Liberation Serif" w:hAnsi="Liberation Serif"/>
          <w:color w:val="1F2937"/>
          <w:sz w:val="20"/>
        </w:rPr>
        <w:t>Events frequently carry data parameters: a transaction ID, object identity, Promise ID, request key, or module instance. Parametric monitoring treats a property as a family of monitor instances indexed by compatible parameter bindings. The global trace is sliced into the events relevant to each binding, and the base monitor runs on each slice. This avoids writing one enormous monitor state machine and provides a semantics for per-object typestate or per-request protocols (Rosu and Chen 2012; Havelund et al. 2018).</w:t>
      </w:r>
    </w:p>
    <w:p>
      <w:pPr>
        <w:spacing w:line="259" w:lineRule="auto" w:after="80"/>
        <w:ind w:firstLine="317"/>
      </w:pPr>
      <w:r>
        <w:rPr>
          <w:rFonts w:ascii="Liberation Serif" w:hAnsi="Liberation Serif"/>
          <w:color w:val="1F2937"/>
          <w:sz w:val="20"/>
        </w:rPr>
        <w:t>Typed maps can implement this efficiently, but map lifetime is part of semantics. The system needs explicit creation, garbage collection, eviction, and finalization policies. An LRU map may be acceptable for telemetry but unsound for proof-mode monitoring because eviction silently forgets obligations. Proof mode should use non-evicting bounded maps, reject execution when capacity is exceeded, or prove a bound on live instances.</w:t>
      </w:r>
    </w:p>
    <w:p>
      <w:pPr>
        <w:pStyle w:val="Heading3"/>
      </w:pPr>
      <w:r>
        <w:rPr>
          <w:rFonts w:ascii="Liberation Sans" w:hAnsi="Liberation Sans"/>
          <w:b/>
          <w:color w:val="245C8A"/>
          <w:sz w:val="23"/>
        </w:rPr>
        <w:t>7.4 Monitor composition</w:t>
      </w:r>
    </w:p>
    <w:p>
      <w:pPr>
        <w:spacing w:line="259" w:lineRule="auto" w:after="80"/>
        <w:ind w:firstLine="317"/>
      </w:pPr>
      <w:r>
        <w:rPr>
          <w:rFonts w:ascii="Liberation Serif" w:hAnsi="Liberation Serif"/>
          <w:color w:val="1F2937"/>
          <w:sz w:val="20"/>
        </w:rPr>
        <w:t>Independent monitors compose by product: delta_1 x delta_2 updates both states on each event. The practical engine can fuse event filtering and share decoded observations, but verdict semantics must define conflicts. If one monitor reports and another violates, violation dominates. If an intervention-capable monitor rewrites an argument, later monitors must know whether they observe the original or rewritten value. This is another reason to keep intervention in a separate capability and event phase.</w:t>
      </w:r>
    </w:p>
    <w:p>
      <w:pPr>
        <w:pStyle w:val="Heading2"/>
      </w:pPr>
      <w:r>
        <w:rPr>
          <w:rFonts w:ascii="Liberation Sans" w:hAnsi="Liberation Sans"/>
          <w:b/>
          <w:color w:val="193E5D"/>
          <w:sz w:val="30"/>
        </w:rPr>
        <w:t>8. Correctness obligations for the event layer</w:t>
      </w:r>
    </w:p>
    <w:p>
      <w:pPr>
        <w:spacing w:after="140" w:line="259" w:lineRule="auto"/>
      </w:pPr>
      <w:r>
        <w:rPr>
          <w:rFonts w:ascii="Liberation Serif" w:hAnsi="Liberation Serif"/>
          <w:i/>
          <w:color w:val="193E5D"/>
          <w:sz w:val="22"/>
        </w:rPr>
        <w:t>Probe safety is necessary, but the scientific value of the system depends on stronger obligations connecting events, traces, and source behavior.</w:t>
      </w:r>
    </w:p>
    <w:p>
      <w:pPr>
        <w:pStyle w:val="Heading3"/>
      </w:pPr>
      <w:r>
        <w:rPr>
          <w:rFonts w:ascii="Liberation Sans" w:hAnsi="Liberation Sans"/>
          <w:b/>
          <w:color w:val="245C8A"/>
          <w:sz w:val="23"/>
        </w:rPr>
        <w:t>8.1 Erasure and transparency</w:t>
      </w:r>
    </w:p>
    <w:p>
      <w:pPr>
        <w:spacing w:line="259" w:lineRule="auto" w:after="80"/>
        <w:ind w:firstLine="317"/>
      </w:pPr>
      <w:r>
        <w:rPr>
          <w:rFonts w:ascii="Liberation Serif" w:hAnsi="Liberation Serif"/>
          <w:color w:val="1F2937"/>
          <w:sz w:val="20"/>
        </w:rPr>
        <w:t>For a purely observational probe, erasure forgets monitor state and event records. A strong theorem states that erasing an instrumented execution yields the same source behavior as the uninstrumented execution. In practice the statement must identify observables. If JavaScript can observe wall-clock duration, allocation pressure, finalization timing, host scheduling, or resource exhaustion, instrumentation can perturb behavior even without modifying language values. A realistic theorem may establish functional transparency under a host abstraction while documenting that quantitative observations are outside the relation.</w:t>
      </w:r>
    </w:p>
    <w:tbl>
      <w:tblPr>
        <w:tblW w:type="auto" w:w="0"/>
        <w:jc w:val="center"/>
        <w:tblLayout w:type="autofit"/>
        <w:tblLook w:firstColumn="1" w:firstRow="1" w:lastColumn="0" w:lastRow="0" w:noHBand="0" w:noVBand="1" w:val="04A0"/>
      </w:tblPr>
      <w:tblGrid>
        <w:gridCol w:w="9994"/>
      </w:tblGrid>
      <w:tr>
        <w:tc>
          <w:tcPr>
            <w:tcW w:type="dxa" w:w="9994"/>
            <w:shd w:fill="F3F5F7" w:val="clear"/>
            <w:tcBorders>
              <w:top w:val="single" w:sz="6" w:color="9CA8B3"/>
              <w:left w:val="single" w:sz="6" w:color="9CA8B3"/>
              <w:bottom w:val="single" w:sz="6" w:color="9CA8B3"/>
              <w:right w:val="single" w:sz="6" w:color="9CA8B3"/>
            </w:tcBorders>
            <w:tcMar>
              <w:top w:w="110" w:type="dxa"/>
              <w:start w:w="150" w:type="dxa"/>
              <w:bottom w:w="110" w:type="dxa"/>
              <w:end w:w="150" w:type="dxa"/>
            </w:tcMar>
          </w:tcPr>
          <w:p>
            <w:pPr>
              <w:jc w:val="center"/>
            </w:pPr>
            <w:r>
              <w:rPr>
                <w:rFonts w:ascii="DejaVu Sans Mono" w:hAnsi="DejaVu Sans Mono"/>
                <w:color w:val="193E5D"/>
                <w:sz w:val="18"/>
              </w:rPr>
              <w:t>erase(run_instrumented(p, m))  observationally-equivalent-to  run(p)</w:t>
            </w:r>
          </w:p>
          <w:p>
            <w:pPr>
              <w:jc w:val="center"/>
            </w:pPr>
            <w:r>
              <w:rPr>
                <w:rFonts w:ascii="Liberation Serif" w:hAnsi="Liberation Serif"/>
                <w:i/>
                <w:color w:val="586474"/>
                <w:sz w:val="17"/>
              </w:rPr>
              <w:t>The equivalence relation must state which host and quantitative observations are ignored.</w:t>
            </w:r>
          </w:p>
        </w:tc>
      </w:tr>
    </w:tbl>
    <w:p>
      <w:pPr>
        <w:spacing w:after="0"/>
      </w:pPr>
    </w:p>
    <w:p>
      <w:pPr>
        <w:spacing w:line="259" w:lineRule="auto" w:after="80"/>
        <w:ind w:firstLine="317"/>
      </w:pPr>
      <w:r>
        <w:rPr>
          <w:rFonts w:ascii="Liberation Serif" w:hAnsi="Liberation Serif"/>
          <w:color w:val="1F2937"/>
          <w:sz w:val="20"/>
        </w:rPr>
        <w:t>Weak bisimulation is often appropriate because probe execution introduces internal administrative steps that should be hidden. Contextual equivalence or trace equivalence may be stronger or weaker depending on the event vocabulary and host model. The document therefore avoids the unqualified claim zero semantic effect; it asks for a theorem relative to a declared observation model (Pitts 1997; Sangiorgi 2011).</w:t>
      </w:r>
    </w:p>
    <w:p>
      <w:pPr>
        <w:pStyle w:val="Heading3"/>
      </w:pPr>
      <w:r>
        <w:rPr>
          <w:rFonts w:ascii="Liberation Sans" w:hAnsi="Liberation Sans"/>
          <w:b/>
          <w:color w:val="245C8A"/>
          <w:sz w:val="23"/>
        </w:rPr>
        <w:t>8.2 Event soundness, completeness, and uniqueness</w:t>
      </w:r>
    </w:p>
    <w:p>
      <w:pPr>
        <w:spacing w:after="60"/>
        <w:keepNext/>
      </w:pPr>
      <w:r>
        <w:rPr>
          <w:rFonts w:ascii="Liberation Sans" w:hAnsi="Liberation Sans"/>
          <w:b/>
          <w:color w:val="193E5D"/>
          <w:sz w:val="18"/>
        </w:rPr>
        <w:t>Table 5. Principal event-correctness obligations.</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1944"/>
            <w:shd w:fill="245C8A" w:val="clear"/>
            <w:tcMar>
              <w:top w:w="70" w:type="dxa"/>
              <w:start w:w="80" w:type="dxa"/>
              <w:bottom w:w="70" w:type="dxa"/>
              <w:end w:w="80" w:type="dxa"/>
            </w:tcMar>
            <w:vAlign w:val="center"/>
          </w:tcPr>
          <w:p>
            <w:pPr>
              <w:jc w:val="left"/>
            </w:pPr>
            <w:r>
              <w:rPr>
                <w:rFonts w:ascii="Liberation Sans" w:hAnsi="Liberation Sans"/>
                <w:b/>
                <w:color w:val="FFFFFF"/>
                <w:sz w:val="17"/>
              </w:rPr>
              <w:t>Property</w:t>
            </w:r>
          </w:p>
        </w:tc>
        <w:tc>
          <w:tcPr>
            <w:tcW w:type="dxa" w:w="4320"/>
            <w:shd w:fill="245C8A" w:val="clear"/>
            <w:tcMar>
              <w:top w:w="70" w:type="dxa"/>
              <w:start w:w="80" w:type="dxa"/>
              <w:bottom w:w="70" w:type="dxa"/>
              <w:end w:w="80" w:type="dxa"/>
            </w:tcMar>
            <w:vAlign w:val="center"/>
          </w:tcPr>
          <w:p>
            <w:pPr>
              <w:jc w:val="left"/>
            </w:pPr>
            <w:r>
              <w:rPr>
                <w:rFonts w:ascii="Liberation Sans" w:hAnsi="Liberation Sans"/>
                <w:b/>
                <w:color w:val="FFFFFF"/>
                <w:sz w:val="17"/>
              </w:rPr>
              <w:t>Required statement</w:t>
            </w:r>
          </w:p>
        </w:tc>
        <w:tc>
          <w:tcPr>
            <w:tcW w:type="dxa" w:w="3672"/>
            <w:shd w:fill="245C8A" w:val="clear"/>
            <w:tcMar>
              <w:top w:w="70" w:type="dxa"/>
              <w:start w:w="80" w:type="dxa"/>
              <w:bottom w:w="70" w:type="dxa"/>
              <w:end w:w="80" w:type="dxa"/>
            </w:tcMar>
            <w:vAlign w:val="center"/>
          </w:tcPr>
          <w:p>
            <w:pPr>
              <w:jc w:val="left"/>
            </w:pPr>
            <w:r>
              <w:rPr>
                <w:rFonts w:ascii="Liberation Sans" w:hAnsi="Liberation Sans"/>
                <w:b/>
                <w:color w:val="FFFFFF"/>
                <w:sz w:val="17"/>
              </w:rPr>
              <w:t>Typical defect</w:t>
            </w:r>
          </w:p>
        </w:tc>
      </w:tr>
      <w:tr>
        <w:trPr>
          <w:cantSplit/>
        </w:trPr>
        <w:tc>
          <w:tcPr>
            <w:tcW w:type="dxa" w:w="1944"/>
            <w:tcMar>
              <w:top w:w="65" w:type="dxa"/>
              <w:start w:w="80" w:type="dxa"/>
              <w:bottom w:w="65" w:type="dxa"/>
              <w:end w:w="80" w:type="dxa"/>
            </w:tcMar>
            <w:vAlign w:val="top"/>
          </w:tcPr>
          <w:p>
            <w:pPr>
              <w:spacing w:after="0" w:line="240" w:lineRule="auto"/>
            </w:pPr>
            <w:r>
              <w:rPr>
                <w:rFonts w:ascii="Liberation Serif" w:hAnsi="Liberation Serif"/>
                <w:color w:val="1F2937"/>
                <w:sz w:val="17"/>
              </w:rPr>
              <w:t>Soundness / adequacy</w:t>
            </w:r>
          </w:p>
        </w:tc>
        <w:tc>
          <w:tcPr>
            <w:tcW w:type="dxa" w:w="4320"/>
            <w:tcMar>
              <w:top w:w="65" w:type="dxa"/>
              <w:start w:w="80" w:type="dxa"/>
              <w:bottom w:w="65" w:type="dxa"/>
              <w:end w:w="80" w:type="dxa"/>
            </w:tcMar>
            <w:vAlign w:val="top"/>
          </w:tcPr>
          <w:p>
            <w:pPr>
              <w:spacing w:after="0" w:line="240" w:lineRule="auto"/>
            </w:pPr>
            <w:r>
              <w:rPr>
                <w:rFonts w:ascii="Liberation Serif" w:hAnsi="Liberation Serif"/>
                <w:color w:val="1F2937"/>
                <w:sz w:val="17"/>
              </w:rPr>
              <w:t>Every emitted event corresponds to a declared source or specification transition.</w:t>
            </w:r>
          </w:p>
        </w:tc>
        <w:tc>
          <w:tcPr>
            <w:tcW w:type="dxa" w:w="3672"/>
            <w:tcMar>
              <w:top w:w="65" w:type="dxa"/>
              <w:start w:w="80" w:type="dxa"/>
              <w:bottom w:w="65" w:type="dxa"/>
              <w:end w:w="80" w:type="dxa"/>
            </w:tcMar>
            <w:vAlign w:val="top"/>
          </w:tcPr>
          <w:p>
            <w:pPr>
              <w:spacing w:after="0" w:line="240" w:lineRule="auto"/>
            </w:pPr>
            <w:r>
              <w:rPr>
                <w:rFonts w:ascii="Liberation Serif" w:hAnsi="Liberation Serif"/>
                <w:color w:val="1F2937"/>
                <w:sz w:val="17"/>
              </w:rPr>
              <w:t>FunctionReturn emitted before finally changes the completion.</w:t>
            </w:r>
          </w:p>
        </w:tc>
      </w:tr>
      <w:tr>
        <w:trPr>
          <w:cantSplit/>
        </w:trPr>
        <w:tc>
          <w:tcPr>
            <w:tcW w:type="dxa" w:w="1944"/>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Completeness</w:t>
            </w:r>
          </w:p>
        </w:tc>
        <w:tc>
          <w:tcPr>
            <w:tcW w:type="dxa" w:w="4320"/>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Every selected transition emits an event when the event family is enabled.</w:t>
            </w:r>
          </w:p>
        </w:tc>
        <w:tc>
          <w:tcPr>
            <w:tcW w:type="dxa" w:w="3672"/>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Native or proxy-mediated calls bypass the central hook.</w:t>
            </w:r>
          </w:p>
        </w:tc>
      </w:tr>
      <w:tr>
        <w:trPr>
          <w:cantSplit/>
        </w:trPr>
        <w:tc>
          <w:tcPr>
            <w:tcW w:type="dxa" w:w="1944"/>
            <w:tcMar>
              <w:top w:w="65" w:type="dxa"/>
              <w:start w:w="80" w:type="dxa"/>
              <w:bottom w:w="65" w:type="dxa"/>
              <w:end w:w="80" w:type="dxa"/>
            </w:tcMar>
            <w:vAlign w:val="top"/>
          </w:tcPr>
          <w:p>
            <w:pPr>
              <w:spacing w:after="0" w:line="240" w:lineRule="auto"/>
            </w:pPr>
            <w:r>
              <w:rPr>
                <w:rFonts w:ascii="Liberation Serif" w:hAnsi="Liberation Serif"/>
                <w:color w:val="1F2937"/>
                <w:sz w:val="17"/>
              </w:rPr>
              <w:t>Uniqueness</w:t>
            </w:r>
          </w:p>
        </w:tc>
        <w:tc>
          <w:tcPr>
            <w:tcW w:type="dxa" w:w="4320"/>
            <w:tcMar>
              <w:top w:w="65" w:type="dxa"/>
              <w:start w:w="80" w:type="dxa"/>
              <w:bottom w:w="65" w:type="dxa"/>
              <w:end w:w="80" w:type="dxa"/>
            </w:tcMar>
            <w:vAlign w:val="top"/>
          </w:tcPr>
          <w:p>
            <w:pPr>
              <w:spacing w:after="0" w:line="240" w:lineRule="auto"/>
            </w:pPr>
            <w:r>
              <w:rPr>
                <w:rFonts w:ascii="Liberation Serif" w:hAnsi="Liberation Serif"/>
                <w:color w:val="1F2937"/>
                <w:sz w:val="17"/>
              </w:rPr>
              <w:t>A transition produces the declared number of events, usually exactly one.</w:t>
            </w:r>
          </w:p>
        </w:tc>
        <w:tc>
          <w:tcPr>
            <w:tcW w:type="dxa" w:w="3672"/>
            <w:tcMar>
              <w:top w:w="65" w:type="dxa"/>
              <w:start w:w="80" w:type="dxa"/>
              <w:bottom w:w="65" w:type="dxa"/>
              <w:end w:w="80" w:type="dxa"/>
            </w:tcMar>
            <w:vAlign w:val="top"/>
          </w:tcPr>
          <w:p>
            <w:pPr>
              <w:spacing w:after="0" w:line="240" w:lineRule="auto"/>
            </w:pPr>
            <w:r>
              <w:rPr>
                <w:rFonts w:ascii="Liberation Serif" w:hAnsi="Liberation Serif"/>
                <w:color w:val="1F2937"/>
                <w:sz w:val="17"/>
              </w:rPr>
              <w:t>Return is emitted both at opcode execution and at frame pop.</w:t>
            </w:r>
          </w:p>
        </w:tc>
      </w:tr>
      <w:tr>
        <w:trPr>
          <w:cantSplit/>
        </w:trPr>
        <w:tc>
          <w:tcPr>
            <w:tcW w:type="dxa" w:w="1944"/>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Ordering</w:t>
            </w:r>
          </w:p>
        </w:tc>
        <w:tc>
          <w:tcPr>
            <w:tcW w:type="dxa" w:w="4320"/>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Events respect program order and declared causal order.</w:t>
            </w:r>
          </w:p>
        </w:tc>
        <w:tc>
          <w:tcPr>
            <w:tcW w:type="dxa" w:w="3672"/>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Async resume appears before the job-start event that caused it.</w:t>
            </w:r>
          </w:p>
        </w:tc>
      </w:tr>
      <w:tr>
        <w:trPr>
          <w:cantSplit/>
        </w:trPr>
        <w:tc>
          <w:tcPr>
            <w:tcW w:type="dxa" w:w="1944"/>
            <w:tcMar>
              <w:top w:w="65" w:type="dxa"/>
              <w:start w:w="80" w:type="dxa"/>
              <w:bottom w:w="65" w:type="dxa"/>
              <w:end w:w="80" w:type="dxa"/>
            </w:tcMar>
            <w:vAlign w:val="top"/>
          </w:tcPr>
          <w:p>
            <w:pPr>
              <w:spacing w:after="0" w:line="240" w:lineRule="auto"/>
            </w:pPr>
            <w:r>
              <w:rPr>
                <w:rFonts w:ascii="Liberation Serif" w:hAnsi="Liberation Serif"/>
                <w:color w:val="1F2937"/>
                <w:sz w:val="17"/>
              </w:rPr>
              <w:t>Projection validity</w:t>
            </w:r>
          </w:p>
        </w:tc>
        <w:tc>
          <w:tcPr>
            <w:tcW w:type="dxa" w:w="4320"/>
            <w:tcMar>
              <w:top w:w="65" w:type="dxa"/>
              <w:start w:w="80" w:type="dxa"/>
              <w:bottom w:w="65" w:type="dxa"/>
              <w:end w:w="80" w:type="dxa"/>
            </w:tcMar>
            <w:vAlign w:val="top"/>
          </w:tcPr>
          <w:p>
            <w:pPr>
              <w:spacing w:after="0" w:line="240" w:lineRule="auto"/>
            </w:pPr>
            <w:r>
              <w:rPr>
                <w:rFonts w:ascii="Liberation Serif" w:hAnsi="Liberation Serif"/>
                <w:color w:val="1F2937"/>
                <w:sz w:val="17"/>
              </w:rPr>
              <w:t>Each observation field is derived from the promised pre- or post-state.</w:t>
            </w:r>
          </w:p>
        </w:tc>
        <w:tc>
          <w:tcPr>
            <w:tcW w:type="dxa" w:w="3672"/>
            <w:tcMar>
              <w:top w:w="65" w:type="dxa"/>
              <w:start w:w="80" w:type="dxa"/>
              <w:bottom w:w="65" w:type="dxa"/>
              <w:end w:w="80" w:type="dxa"/>
            </w:tcMar>
            <w:vAlign w:val="top"/>
          </w:tcPr>
          <w:p>
            <w:pPr>
              <w:spacing w:after="0" w:line="240" w:lineRule="auto"/>
            </w:pPr>
            <w:r>
              <w:rPr>
                <w:rFonts w:ascii="Liberation Serif" w:hAnsi="Liberation Serif"/>
                <w:color w:val="1F2937"/>
                <w:sz w:val="17"/>
              </w:rPr>
              <w:t>Arguments are read after the stack has been repurposed.</w:t>
            </w:r>
          </w:p>
        </w:tc>
      </w:tr>
      <w:tr>
        <w:trPr>
          <w:cantSplit/>
        </w:trPr>
        <w:tc>
          <w:tcPr>
            <w:tcW w:type="dxa" w:w="1944"/>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No silent loss</w:t>
            </w:r>
          </w:p>
        </w:tc>
        <w:tc>
          <w:tcPr>
            <w:tcW w:type="dxa" w:w="4320"/>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Proof-mode streams cannot drop, sample, or evict relevant events/state.</w:t>
            </w:r>
          </w:p>
        </w:tc>
        <w:tc>
          <w:tcPr>
            <w:tcW w:type="dxa" w:w="3672"/>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Ring-buffer overflow is reported only as a metric.</w:t>
            </w:r>
          </w:p>
        </w:tc>
      </w:tr>
    </w:tbl>
    <w:p>
      <w:pPr>
        <w:spacing w:after="0"/>
      </w:pPr>
    </w:p>
    <w:p>
      <w:pPr>
        <w:pStyle w:val="Heading3"/>
      </w:pPr>
      <w:r>
        <w:rPr>
          <w:rFonts w:ascii="Liberation Sans" w:hAnsi="Liberation Sans"/>
          <w:b/>
          <w:color w:val="245C8A"/>
          <w:sz w:val="23"/>
        </w:rPr>
        <w:t>8.3 Monitor compiler correctness</w:t>
      </w:r>
    </w:p>
    <w:p>
      <w:pPr>
        <w:spacing w:line="259" w:lineRule="auto" w:after="80"/>
        <w:ind w:firstLine="317"/>
      </w:pPr>
      <w:r>
        <w:rPr>
          <w:rFonts w:ascii="Liberation Serif" w:hAnsi="Liberation Serif"/>
          <w:color w:val="1F2937"/>
          <w:sz w:val="20"/>
        </w:rPr>
        <w:t>If a temporal formula, contract, or automaton is compiled to the probe IR, a separate theorem should relate source-property semantics to IR execution. The runtime verifier may establish that the compiled program is well typed and bounded without establishing that it implements the formula. A trustworthy toolchain therefore separates the property compiler, its proof or tests, and the low-level verifier. This separation mirrors proof-carrying code: a small checker validates evidence supplied by a more complex producer (Necula 1997).</w:t>
      </w:r>
    </w:p>
    <w:p>
      <w:pPr>
        <w:pStyle w:val="Heading3"/>
      </w:pPr>
      <w:r>
        <w:rPr>
          <w:rFonts w:ascii="Liberation Sans" w:hAnsi="Liberation Sans"/>
          <w:b/>
          <w:color w:val="245C8A"/>
          <w:sz w:val="23"/>
        </w:rPr>
        <w:t>8.4 Refinement from goja to JavaScript semantics</w:t>
      </w:r>
    </w:p>
    <w:p>
      <w:pPr>
        <w:spacing w:line="259" w:lineRule="auto" w:after="80"/>
        <w:ind w:firstLine="317"/>
      </w:pPr>
      <w:r>
        <w:rPr>
          <w:rFonts w:ascii="Liberation Serif" w:hAnsi="Liberation Serif"/>
          <w:color w:val="1F2937"/>
          <w:sz w:val="20"/>
        </w:rPr>
        <w:t>The strongest long-term goal is a refinement statement relating goja traces to a formal JavaScript semantics. Because goja implements a practical language subset plus extensions, the relation must account for host functions, native objects, event-loop behavior, unsupported features, and implementation choices. The initial relation can be partial: for executions staying inside a modeled subset and using native modules with declared summaries, normalized goja traces should belong to the trace set of the formal model.</w:t>
      </w:r>
    </w:p>
    <w:tbl>
      <w:tblPr>
        <w:tblW w:type="auto" w:w="0"/>
        <w:jc w:val="center"/>
        <w:tblLook w:firstColumn="1" w:firstRow="1" w:lastColumn="0" w:lastRow="0" w:noHBand="0" w:noVBand="1" w:val="04A0"/>
      </w:tblPr>
      <w:tblGrid>
        <w:gridCol w:w="9994"/>
      </w:tblGrid>
      <w:tr>
        <w:tc>
          <w:tcPr>
            <w:tcW w:type="dxa" w:w="9994"/>
            <w:shd w:fill="E8F0F7" w:val="clear"/>
            <w:tcBorders>
              <w:top w:val="single" w:sz="8" w:color="245C8A"/>
              <w:left w:val="single" w:sz="8" w:color="245C8A"/>
              <w:bottom w:val="single" w:sz="8" w:color="245C8A"/>
              <w:right w:val="single" w:sz="8" w:color="245C8A"/>
            </w:tcBorders>
            <w:tcMar>
              <w:top w:w="110" w:type="dxa"/>
              <w:start w:w="150" w:type="dxa"/>
              <w:bottom w:w="110" w:type="dxa"/>
              <w:end w:w="150" w:type="dxa"/>
            </w:tcMar>
          </w:tcPr>
          <w:p>
            <w:pPr>
              <w:spacing w:after="60"/>
            </w:pPr>
            <w:r>
              <w:rPr>
                <w:rFonts w:ascii="Liberation Sans" w:hAnsi="Liberation Sans"/>
                <w:b/>
                <w:color w:val="193E5D"/>
                <w:sz w:val="17"/>
              </w:rPr>
              <w:t>RESEARCH GROUNDING  |  Evidence hierarchy</w:t>
            </w:r>
          </w:p>
          <w:p>
            <w:pPr>
              <w:spacing w:after="40" w:line="247" w:lineRule="auto"/>
            </w:pPr>
            <w:r>
              <w:rPr>
                <w:rFonts w:ascii="Liberation Serif" w:hAnsi="Liberation Serif"/>
                <w:color w:val="1F2937"/>
                <w:sz w:val="18"/>
              </w:rPr>
              <w:t>Unit tests show local event order for selected cases.</w:t>
            </w:r>
          </w:p>
          <w:p>
            <w:pPr>
              <w:spacing w:after="40" w:line="247" w:lineRule="auto"/>
            </w:pPr>
            <w:r>
              <w:rPr>
                <w:rFonts w:ascii="Liberation Serif" w:hAnsi="Liberation Serif"/>
                <w:color w:val="1F2937"/>
                <w:sz w:val="18"/>
              </w:rPr>
              <w:t>Differential semantic tests show agreement with an independently implemented model on generated programs.</w:t>
            </w:r>
          </w:p>
          <w:p>
            <w:pPr>
              <w:spacing w:after="40" w:line="247" w:lineRule="auto"/>
            </w:pPr>
            <w:r>
              <w:rPr>
                <w:rFonts w:ascii="Liberation Serif" w:hAnsi="Liberation Serif"/>
                <w:color w:val="1F2937"/>
                <w:sz w:val="18"/>
              </w:rPr>
              <w:t>Translation-validation checks establish per-program metadata and compiler facts.</w:t>
            </w:r>
          </w:p>
          <w:p>
            <w:pPr>
              <w:spacing w:after="40" w:line="247" w:lineRule="auto"/>
            </w:pPr>
            <w:r>
              <w:rPr>
                <w:rFonts w:ascii="Liberation Serif" w:hAnsi="Liberation Serif"/>
                <w:color w:val="1F2937"/>
                <w:sz w:val="18"/>
              </w:rPr>
              <w:t>A mechanized simulation establishes the general correspondence theorem for a defined language subset.</w:t>
            </w:r>
          </w:p>
        </w:tc>
      </w:tr>
    </w:tbl>
    <w:p>
      <w:pPr>
        <w:spacing w:after="0"/>
      </w:pPr>
    </w:p>
    <w:p>
      <w:pPr>
        <w:pStyle w:val="Heading2"/>
      </w:pPr>
      <w:r>
        <w:rPr>
          <w:rFonts w:ascii="Liberation Sans" w:hAnsi="Liberation Sans"/>
          <w:b/>
          <w:color w:val="193E5D"/>
          <w:sz w:val="30"/>
        </w:rPr>
        <w:t>9. Exceptions, constructors, generators, async functions, and jobs</w:t>
      </w:r>
    </w:p>
    <w:p>
      <w:pPr>
        <w:spacing w:after="140" w:line="259" w:lineRule="auto"/>
      </w:pPr>
      <w:r>
        <w:rPr>
          <w:rFonts w:ascii="Liberation Serif" w:hAnsi="Liberation Serif"/>
          <w:i/>
          <w:color w:val="193E5D"/>
          <w:sz w:val="22"/>
        </w:rPr>
        <w:t>Control effects expose where naive enter/return hooks fail and where the event model must represent suspension, unwinding, and host scheduling explicitly.</w:t>
      </w:r>
    </w:p>
    <w:p>
      <w:pPr>
        <w:pStyle w:val="Heading3"/>
      </w:pPr>
      <w:r>
        <w:rPr>
          <w:rFonts w:ascii="Liberation Sans" w:hAnsi="Liberation Sans"/>
          <w:b/>
          <w:color w:val="245C8A"/>
          <w:sz w:val="23"/>
        </w:rPr>
        <w:t>9.1 Exceptions and finally</w:t>
      </w:r>
    </w:p>
    <w:p>
      <w:pPr>
        <w:spacing w:line="259" w:lineRule="auto" w:after="80"/>
        <w:ind w:firstLine="317"/>
      </w:pPr>
      <w:r>
        <w:rPr>
          <w:rFonts w:ascii="Liberation Serif" w:hAnsi="Liberation Serif"/>
          <w:color w:val="1F2937"/>
          <w:sz w:val="20"/>
        </w:rPr>
        <w:t>An exception has at least three distinct event points: creation of an abrupt completion, handling by a catch or finally mechanism, and propagation across a function or host boundary. Runtime verification often cares about the boundary crossing because that determines which function failed to establish its postcondition. Debugging may also need the original throw site. The schema should expose separate Throw, Catch, FinallyEnter, FunctionThrow, and HostThrow events or a smaller vocabulary with explicit phases.</w:t>
      </w:r>
    </w:p>
    <w:p>
      <w:pPr>
        <w:spacing w:line="259" w:lineRule="auto" w:after="80"/>
        <w:ind w:firstLine="317"/>
      </w:pPr>
      <w:r>
        <w:rPr>
          <w:rFonts w:ascii="Liberation Serif" w:hAnsi="Liberation Serif"/>
          <w:color w:val="1F2937"/>
          <w:sz w:val="20"/>
        </w:rPr>
        <w:t>The unwind algorithm must emit exit events for every discarded frame before its state becomes unavailable. It must not run ordinary JavaScript helpers during unwinding, because reentrancy can mutate the very stacks being inspected. Probe execution should use only the bounded observation VM and should have a defined failure policy if a probe itself reports a violation during an existing abrupt completion.</w:t>
      </w:r>
    </w:p>
    <w:p>
      <w:pPr>
        <w:pStyle w:val="Heading3"/>
      </w:pPr>
      <w:r>
        <w:rPr>
          <w:rFonts w:ascii="Liberation Sans" w:hAnsi="Liberation Sans"/>
          <w:b/>
          <w:color w:val="245C8A"/>
          <w:sz w:val="23"/>
        </w:rPr>
        <w:t>9.2 Constructors and derived this</w:t>
      </w:r>
    </w:p>
    <w:p>
      <w:pPr>
        <w:spacing w:line="259" w:lineRule="auto" w:after="80"/>
        <w:ind w:firstLine="317"/>
      </w:pPr>
      <w:r>
        <w:rPr>
          <w:rFonts w:ascii="Liberation Serif" w:hAnsi="Liberation Serif"/>
          <w:color w:val="1F2937"/>
          <w:sz w:val="20"/>
        </w:rPr>
        <w:t>Constructor semantics differs from ordinary calls. A base constructor creates or receives an instance; a derived constructor cannot access this before super succeeds; returning an object can replace the constructed instance; returning a primitive from a derived constructor is an error. ConstructBefore, ConstructAfter, and ConstructThrow therefore need constructor identity, new-target identity, argument view, derived/base status, and the final instance. A pre-entry function probe cannot always expose this because it may not yet exist.</w:t>
      </w:r>
    </w:p>
    <w:p>
      <w:pPr>
        <w:pStyle w:val="Heading3"/>
      </w:pPr>
      <w:r>
        <w:rPr>
          <w:rFonts w:ascii="Liberation Sans" w:hAnsi="Liberation Sans"/>
          <w:b/>
          <w:color w:val="245C8A"/>
          <w:sz w:val="23"/>
        </w:rPr>
        <w:t>9.3 Generators</w:t>
      </w:r>
    </w:p>
    <w:p>
      <w:pPr>
        <w:spacing w:line="259" w:lineRule="auto" w:after="80"/>
        <w:ind w:firstLine="317"/>
      </w:pPr>
      <w:r>
        <w:rPr>
          <w:rFonts w:ascii="Liberation Serif" w:hAnsi="Liberation Serif"/>
          <w:color w:val="1F2937"/>
          <w:sz w:val="20"/>
        </w:rPr>
        <w:t>Invoking a generator function creates a generator object without immediately running the body. The first next call enters the body; yield suspends a continuation; later next, throw, or return calls resume it; completion is distinct from ordinary function invocation return. Treating generator invocation as FunctionEnter would be semantically wrong. The event vocabulary needs GeneratorCreate, GeneratorEnter, Yield, Resume, Complete, and GeneratorThrow, correlated by generator and continuation identities.</w:t>
      </w:r>
    </w:p>
    <w:p>
      <w:pPr>
        <w:pStyle w:val="Heading3"/>
      </w:pPr>
      <w:r>
        <w:rPr>
          <w:rFonts w:ascii="Liberation Sans" w:hAnsi="Liberation Sans"/>
          <w:b/>
          <w:color w:val="245C8A"/>
          <w:sz w:val="23"/>
        </w:rPr>
        <w:t>9.4 Async functions and Promise jobs</w:t>
      </w:r>
    </w:p>
    <w:p>
      <w:pPr>
        <w:spacing w:line="259" w:lineRule="auto" w:after="80"/>
        <w:ind w:firstLine="317"/>
      </w:pPr>
      <w:r>
        <w:rPr>
          <w:rFonts w:ascii="Liberation Serif" w:hAnsi="Liberation Serif"/>
          <w:color w:val="1F2937"/>
          <w:sz w:val="20"/>
        </w:rPr>
        <w:t>An async function invocation normally returns a Promise before the eventual computation settles. FunctionReturn at invocation time therefore means returned the Promise, not completed the async computation. Await suspends the current async continuation and schedules resumption through Promise machinery. A later job resumes the continuation and may resolve or reject the outer Promise. Runtime contracts often need both levels: a synchronous contract over the returned Promise and an eventual contract over settlement.</w:t>
      </w:r>
    </w:p>
    <w:p>
      <w:pPr>
        <w:spacing w:after="40"/>
        <w:jc w:val="center"/>
        <w:keepNext/>
      </w:pPr>
      <w:r>
        <w:drawing>
          <wp:inline xmlns:a="http://schemas.openxmlformats.org/drawingml/2006/main" xmlns:pic="http://schemas.openxmlformats.org/drawingml/2006/picture">
            <wp:extent cx="6172200" cy="3192517"/>
            <wp:docPr id="5" name="Picture 5" title="Figure 5. Async traces require frame, Promise, job, continuation, and causal identities." descr="Causal chain from await suspension in a function frame through Promise reaction registration and host job enqueue to job start, continuation resume, result settlement, and dependent jobs."/>
            <wp:cNvGraphicFramePr>
              <a:graphicFrameLocks noChangeAspect="1"/>
            </wp:cNvGraphicFramePr>
            <a:graphic>
              <a:graphicData uri="http://schemas.openxmlformats.org/drawingml/2006/picture">
                <pic:pic>
                  <pic:nvPicPr>
                    <pic:cNvPr id="0" name="async_causality.png"/>
                    <pic:cNvPicPr/>
                  </pic:nvPicPr>
                  <pic:blipFill>
                    <a:blip r:embed="rId15"/>
                    <a:stretch>
                      <a:fillRect/>
                    </a:stretch>
                  </pic:blipFill>
                  <pic:spPr>
                    <a:xfrm>
                      <a:off x="0" y="0"/>
                      <a:ext cx="6172200" cy="3192517"/>
                    </a:xfrm>
                    <a:prstGeom prst="rect"/>
                  </pic:spPr>
                </pic:pic>
              </a:graphicData>
            </a:graphic>
          </wp:inline>
        </w:drawing>
      </w:r>
    </w:p>
    <w:p>
      <w:pPr>
        <w:spacing w:after="140"/>
        <w:jc w:val="center"/>
      </w:pPr>
      <w:r>
        <w:rPr>
          <w:rFonts w:ascii="Liberation Serif" w:hAnsi="Liberation Serif"/>
          <w:i/>
          <w:color w:val="586474"/>
          <w:sz w:val="17"/>
        </w:rPr>
        <w:t>Figure 5. Async traces require frame, Promise, job, continuation, and causal identities.</w:t>
      </w:r>
    </w:p>
    <w:p>
      <w:pPr>
        <w:spacing w:line="259" w:lineRule="auto" w:after="80"/>
        <w:ind w:firstLine="317"/>
      </w:pPr>
      <w:r>
        <w:rPr>
          <w:rFonts w:ascii="Liberation Serif" w:hAnsi="Liberation Serif"/>
          <w:color w:val="1F2937"/>
          <w:sz w:val="20"/>
        </w:rPr>
        <w:t>ECMA-262 defines Jobs as abstract closures scheduled by host operations and states constraints on when they run; actual priority and surrounding event-loop behavior remain host responsibilities (ECMA International 2026). go-go-goja uses an event-loop and runtime-owner abstraction, so a complete semantic trace must include both core ECMAScript job events and host scheduling events. Otherwise two traces may agree on JavaScript function calls while disagreeing on causality and ordering.</w:t>
      </w:r>
    </w:p>
    <w:p>
      <w:pPr>
        <w:pStyle w:val="Heading3"/>
      </w:pPr>
      <w:r>
        <w:rPr>
          <w:rFonts w:ascii="Liberation Sans" w:hAnsi="Liberation Sans"/>
          <w:b/>
          <w:color w:val="245C8A"/>
          <w:sz w:val="23"/>
        </w:rPr>
        <w:t>9.5 Dynamic code and reflection</w:t>
      </w:r>
    </w:p>
    <w:p>
      <w:pPr>
        <w:spacing w:line="259" w:lineRule="auto" w:after="80"/>
        <w:ind w:firstLine="317"/>
      </w:pPr>
      <w:r>
        <w:rPr>
          <w:rFonts w:ascii="Liberation Serif" w:hAnsi="Liberation Serif"/>
          <w:color w:val="1F2937"/>
          <w:sz w:val="20"/>
        </w:rPr>
        <w:t>Direct eval, Function construction, module loading, and generated code threaten closed-world analysis. The implementation should route every dynamic compilation through the metadata pipeline, assign a content-derived ProgramID, apply the current probe-attachment policy, and record the origin event that caused compilation. Proof modes may instead reject dynamic code or require a trusted loader to provide a preverified artifact. Reflective constructs such as with, proxies, and dynamic property access should be modeled conservatively and marked as precision barriers in static analysis.</w:t>
      </w:r>
    </w:p>
    <w:p>
      <w:pPr>
        <w:pStyle w:val="Heading2"/>
      </w:pPr>
      <w:r>
        <w:rPr>
          <w:rFonts w:ascii="Liberation Sans" w:hAnsi="Liberation Sans"/>
          <w:b/>
          <w:color w:val="193E5D"/>
          <w:sz w:val="30"/>
        </w:rPr>
        <w:t>10. Observation, enforcement, and intervention</w:t>
      </w:r>
    </w:p>
    <w:p>
      <w:pPr>
        <w:spacing w:after="140" w:line="259" w:lineRule="auto"/>
      </w:pPr>
      <w:r>
        <w:rPr>
          <w:rFonts w:ascii="Liberation Serif" w:hAnsi="Liberation Serif"/>
          <w:i/>
          <w:color w:val="193E5D"/>
          <w:sz w:val="22"/>
        </w:rPr>
        <w:t>These modes have different operational meanings and should be distinct capabilities, APIs, trace records, and research claims.</w:t>
      </w:r>
    </w:p>
    <w:p>
      <w:pPr>
        <w:pStyle w:val="Heading3"/>
      </w:pPr>
      <w:r>
        <w:rPr>
          <w:rFonts w:ascii="Liberation Sans" w:hAnsi="Liberation Sans"/>
          <w:b/>
          <w:color w:val="245C8A"/>
          <w:sz w:val="23"/>
        </w:rPr>
        <w:t>10.1 Observation</w:t>
      </w:r>
    </w:p>
    <w:p>
      <w:pPr>
        <w:spacing w:line="259" w:lineRule="auto" w:after="80"/>
        <w:ind w:firstLine="317"/>
      </w:pPr>
      <w:r>
        <w:rPr>
          <w:rFonts w:ascii="Liberation Serif" w:hAnsi="Liberation Serif"/>
          <w:color w:val="1F2937"/>
          <w:sz w:val="20"/>
        </w:rPr>
        <w:t>Observation reads a bounded projection, updates monitor-local state, and emits telemetry. It cannot change arguments, results, exceptions, JavaScript heap state, scheduling, or module availability. Observation is the mode for which an erasure theorem is plausible. Metrics, call graphs, coverage, invariant mining, trace generation, and most proof debugging belong here.</w:t>
      </w:r>
    </w:p>
    <w:p>
      <w:pPr>
        <w:pStyle w:val="Heading3"/>
      </w:pPr>
      <w:r>
        <w:rPr>
          <w:rFonts w:ascii="Liberation Sans" w:hAnsi="Liberation Sans"/>
          <w:b/>
          <w:color w:val="245C8A"/>
          <w:sz w:val="23"/>
        </w:rPr>
        <w:t>10.2 Enforcement</w:t>
      </w:r>
    </w:p>
    <w:p>
      <w:pPr>
        <w:spacing w:line="259" w:lineRule="auto" w:after="80"/>
        <w:ind w:firstLine="317"/>
      </w:pPr>
      <w:r>
        <w:rPr>
          <w:rFonts w:ascii="Liberation Serif" w:hAnsi="Liberation Serif"/>
          <w:color w:val="1F2937"/>
          <w:sz w:val="20"/>
        </w:rPr>
        <w:t>Enforcement adds a distinguished violation outcome. A monitor recognizes a bad prefix and terminates or quarantines the execution. The monitored semantics therefore accepts a subset of original executions plus explicit violation results. Whether the violation is catchable by JavaScript is a policy choice. For trusted invariants, an uncatchable host error prevents the program from suppressing the check; for ordinary contracts, catchable exceptions and blame objects may be more appropriate.</w:t>
      </w:r>
    </w:p>
    <w:p>
      <w:pPr>
        <w:pStyle w:val="Heading3"/>
      </w:pPr>
      <w:r>
        <w:rPr>
          <w:rFonts w:ascii="Liberation Sans" w:hAnsi="Liberation Sans"/>
          <w:b/>
          <w:color w:val="245C8A"/>
          <w:sz w:val="23"/>
        </w:rPr>
        <w:t>10.3 Intervention</w:t>
      </w:r>
    </w:p>
    <w:p>
      <w:pPr>
        <w:spacing w:line="259" w:lineRule="auto" w:after="80"/>
        <w:ind w:firstLine="317"/>
      </w:pPr>
      <w:r>
        <w:rPr>
          <w:rFonts w:ascii="Liberation Serif" w:hAnsi="Liberation Serif"/>
          <w:color w:val="1F2937"/>
          <w:sz w:val="20"/>
        </w:rPr>
        <w:t>Intervention can suppress a call, rewrite an argument or return value, synthesize an exception, or modify selected state. Edit automata and aspect systems provide relevant theory, but transparency no longer applies (Ligatti, Bauer, and Walker 2005; Kiczales et al. 1997). Intervention is useful for fault injection, security policy, dynamic repair, and experimentation. The trace must record both the original event and the intervention so that downstream analyses do not mistake modified behavior for evidence about the original program.</w:t>
      </w:r>
    </w:p>
    <w:p>
      <w:pPr>
        <w:spacing w:after="60"/>
        <w:keepNext/>
      </w:pPr>
      <w:r>
        <w:rPr>
          <w:rFonts w:ascii="Liberation Sans" w:hAnsi="Liberation Sans"/>
          <w:b/>
          <w:color w:val="193E5D"/>
          <w:sz w:val="18"/>
        </w:rPr>
        <w:t>Table 6. Semantic distinction among probe modes.</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1584"/>
            <w:shd w:fill="245C8A" w:val="clear"/>
            <w:tcMar>
              <w:top w:w="70" w:type="dxa"/>
              <w:start w:w="80" w:type="dxa"/>
              <w:bottom w:w="70" w:type="dxa"/>
              <w:end w:w="80" w:type="dxa"/>
            </w:tcMar>
            <w:vAlign w:val="center"/>
          </w:tcPr>
          <w:p>
            <w:pPr>
              <w:jc w:val="left"/>
            </w:pPr>
            <w:r>
              <w:rPr>
                <w:rFonts w:ascii="Liberation Sans" w:hAnsi="Liberation Sans"/>
                <w:b/>
                <w:color w:val="FFFFFF"/>
                <w:sz w:val="17"/>
              </w:rPr>
              <w:t>Mode</w:t>
            </w:r>
          </w:p>
        </w:tc>
        <w:tc>
          <w:tcPr>
            <w:tcW w:type="dxa" w:w="3888"/>
            <w:shd w:fill="245C8A" w:val="clear"/>
            <w:tcMar>
              <w:top w:w="70" w:type="dxa"/>
              <w:start w:w="80" w:type="dxa"/>
              <w:bottom w:w="70" w:type="dxa"/>
              <w:end w:w="80" w:type="dxa"/>
            </w:tcMar>
            <w:vAlign w:val="center"/>
          </w:tcPr>
          <w:p>
            <w:pPr>
              <w:jc w:val="left"/>
            </w:pPr>
            <w:r>
              <w:rPr>
                <w:rFonts w:ascii="Liberation Sans" w:hAnsi="Liberation Sans"/>
                <w:b/>
                <w:color w:val="FFFFFF"/>
                <w:sz w:val="17"/>
              </w:rPr>
              <w:t>Allowed actions</w:t>
            </w:r>
          </w:p>
        </w:tc>
        <w:tc>
          <w:tcPr>
            <w:tcW w:type="dxa" w:w="4464"/>
            <w:shd w:fill="245C8A" w:val="clear"/>
            <w:tcMar>
              <w:top w:w="70" w:type="dxa"/>
              <w:start w:w="80" w:type="dxa"/>
              <w:bottom w:w="70" w:type="dxa"/>
              <w:end w:w="80" w:type="dxa"/>
            </w:tcMar>
            <w:vAlign w:val="center"/>
          </w:tcPr>
          <w:p>
            <w:pPr>
              <w:jc w:val="left"/>
            </w:pPr>
            <w:r>
              <w:rPr>
                <w:rFonts w:ascii="Liberation Sans" w:hAnsi="Liberation Sans"/>
                <w:b/>
                <w:color w:val="FFFFFF"/>
                <w:sz w:val="17"/>
              </w:rPr>
              <w:t>Suitable claims</w:t>
            </w:r>
          </w:p>
        </w:tc>
      </w:tr>
      <w:tr>
        <w:trPr>
          <w:cantSplit/>
        </w:trPr>
        <w:tc>
          <w:tcPr>
            <w:tcW w:type="dxa" w:w="1584"/>
            <w:tcMar>
              <w:top w:w="65" w:type="dxa"/>
              <w:start w:w="80" w:type="dxa"/>
              <w:bottom w:w="65" w:type="dxa"/>
              <w:end w:w="80" w:type="dxa"/>
            </w:tcMar>
            <w:vAlign w:val="top"/>
          </w:tcPr>
          <w:p>
            <w:pPr>
              <w:spacing w:after="0" w:line="240" w:lineRule="auto"/>
            </w:pPr>
            <w:r>
              <w:rPr>
                <w:rFonts w:ascii="Liberation Serif" w:hAnsi="Liberation Serif"/>
                <w:color w:val="1F2937"/>
                <w:sz w:val="17"/>
              </w:rPr>
              <w:t>Observe</w:t>
            </w:r>
          </w:p>
        </w:tc>
        <w:tc>
          <w:tcPr>
            <w:tcW w:type="dxa" w:w="3888"/>
            <w:tcMar>
              <w:top w:w="65" w:type="dxa"/>
              <w:start w:w="80" w:type="dxa"/>
              <w:bottom w:w="65" w:type="dxa"/>
              <w:end w:w="80" w:type="dxa"/>
            </w:tcMar>
            <w:vAlign w:val="top"/>
          </w:tcPr>
          <w:p>
            <w:pPr>
              <w:spacing w:after="0" w:line="240" w:lineRule="auto"/>
            </w:pPr>
            <w:r>
              <w:rPr>
                <w:rFonts w:ascii="Liberation Serif" w:hAnsi="Liberation Serif"/>
                <w:color w:val="1F2937"/>
                <w:sz w:val="17"/>
              </w:rPr>
              <w:t>Read typed projections, maps, metrics, bounded trace emission</w:t>
            </w:r>
          </w:p>
        </w:tc>
        <w:tc>
          <w:tcPr>
            <w:tcW w:type="dxa" w:w="4464"/>
            <w:tcMar>
              <w:top w:w="65" w:type="dxa"/>
              <w:start w:w="80" w:type="dxa"/>
              <w:bottom w:w="65" w:type="dxa"/>
              <w:end w:w="80" w:type="dxa"/>
            </w:tcMar>
            <w:vAlign w:val="top"/>
          </w:tcPr>
          <w:p>
            <w:pPr>
              <w:spacing w:after="0" w:line="240" w:lineRule="auto"/>
            </w:pPr>
            <w:r>
              <w:rPr>
                <w:rFonts w:ascii="Liberation Serif" w:hAnsi="Liberation Serif"/>
                <w:color w:val="1F2937"/>
                <w:sz w:val="17"/>
              </w:rPr>
              <w:t>Functional transparency relative to declared observables; evidence about the original execution.</w:t>
            </w:r>
          </w:p>
        </w:tc>
      </w:tr>
      <w:tr>
        <w:trPr>
          <w:cantSplit/>
        </w:trPr>
        <w:tc>
          <w:tcPr>
            <w:tcW w:type="dxa" w:w="1584"/>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Enforce</w:t>
            </w:r>
          </w:p>
        </w:tc>
        <w:tc>
          <w:tcPr>
            <w:tcW w:type="dxa" w:w="3888"/>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Observe plus terminate/report a violation</w:t>
            </w:r>
          </w:p>
        </w:tc>
        <w:tc>
          <w:tcPr>
            <w:tcW w:type="dxa" w:w="4464"/>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Safety enforcement; execution accepted only while monitor remains non-bad.</w:t>
            </w:r>
          </w:p>
        </w:tc>
      </w:tr>
      <w:tr>
        <w:trPr>
          <w:cantSplit/>
        </w:trPr>
        <w:tc>
          <w:tcPr>
            <w:tcW w:type="dxa" w:w="1584"/>
            <w:tcMar>
              <w:top w:w="65" w:type="dxa"/>
              <w:start w:w="80" w:type="dxa"/>
              <w:bottom w:w="65" w:type="dxa"/>
              <w:end w:w="80" w:type="dxa"/>
            </w:tcMar>
            <w:vAlign w:val="top"/>
          </w:tcPr>
          <w:p>
            <w:pPr>
              <w:spacing w:after="0" w:line="240" w:lineRule="auto"/>
            </w:pPr>
            <w:r>
              <w:rPr>
                <w:rFonts w:ascii="Liberation Serif" w:hAnsi="Liberation Serif"/>
                <w:color w:val="1F2937"/>
                <w:sz w:val="17"/>
              </w:rPr>
              <w:t>Intervene</w:t>
            </w:r>
          </w:p>
        </w:tc>
        <w:tc>
          <w:tcPr>
            <w:tcW w:type="dxa" w:w="3888"/>
            <w:tcMar>
              <w:top w:w="65" w:type="dxa"/>
              <w:start w:w="80" w:type="dxa"/>
              <w:bottom w:w="65" w:type="dxa"/>
              <w:end w:w="80" w:type="dxa"/>
            </w:tcMar>
            <w:vAlign w:val="top"/>
          </w:tcPr>
          <w:p>
            <w:pPr>
              <w:spacing w:after="0" w:line="240" w:lineRule="auto"/>
            </w:pPr>
            <w:r>
              <w:rPr>
                <w:rFonts w:ascii="Liberation Serif" w:hAnsi="Liberation Serif"/>
                <w:color w:val="1F2937"/>
                <w:sz w:val="17"/>
              </w:rPr>
              <w:t>Rewrite, suppress, insert, or mutate under explicit capabilities</w:t>
            </w:r>
          </w:p>
        </w:tc>
        <w:tc>
          <w:tcPr>
            <w:tcW w:type="dxa" w:w="4464"/>
            <w:tcMar>
              <w:top w:w="65" w:type="dxa"/>
              <w:start w:w="80" w:type="dxa"/>
              <w:bottom w:w="65" w:type="dxa"/>
              <w:end w:w="80" w:type="dxa"/>
            </w:tcMar>
            <w:vAlign w:val="top"/>
          </w:tcPr>
          <w:p>
            <w:pPr>
              <w:spacing w:after="0" w:line="240" w:lineRule="auto"/>
            </w:pPr>
            <w:r>
              <w:rPr>
                <w:rFonts w:ascii="Liberation Serif" w:hAnsi="Liberation Serif"/>
                <w:color w:val="1F2937"/>
                <w:sz w:val="17"/>
              </w:rPr>
              <w:t>Behavior of an extended or repaired semantics; not evidence of original-program equivalence.</w:t>
            </w:r>
          </w:p>
        </w:tc>
      </w:tr>
    </w:tbl>
    <w:p>
      <w:pPr>
        <w:spacing w:after="0"/>
      </w:pPr>
    </w:p>
    <w:p>
      <w:pPr>
        <w:pStyle w:val="Heading3"/>
      </w:pPr>
      <w:r>
        <w:rPr>
          <w:rFonts w:ascii="Liberation Sans" w:hAnsi="Liberation Sans"/>
          <w:b/>
          <w:color w:val="245C8A"/>
          <w:sz w:val="23"/>
        </w:rPr>
        <w:t>10.4 Phase ordering</w:t>
      </w:r>
    </w:p>
    <w:p>
      <w:pPr>
        <w:spacing w:line="259" w:lineRule="auto" w:after="80"/>
        <w:ind w:firstLine="317"/>
      </w:pPr>
      <w:r>
        <w:rPr>
          <w:rFonts w:ascii="Liberation Serif" w:hAnsi="Liberation Serif"/>
          <w:color w:val="1F2937"/>
          <w:sz w:val="20"/>
        </w:rPr>
        <w:t>Even within one mode, phase ordering matters. CallBefore observes raw arguments at the call site; FunctionEnter observes parameters after function prologue initialization; FunctionReturn observes the callee completion; CallAfter observes the caller-visible result. Native calls may complete synchronously between CallBefore and CallAfter. Proxies or wrappers may create nested call events. The schema should state whether monitors execute before or after each transition and whether observations are immutable snapshots or borrowed live handles.</w:t>
      </w:r>
    </w:p>
    <w:p>
      <w:pPr>
        <w:pStyle w:val="Heading2"/>
      </w:pPr>
      <w:r>
        <w:rPr>
          <w:rFonts w:ascii="Liberation Sans" w:hAnsi="Liberation Sans"/>
          <w:b/>
          <w:color w:val="193E5D"/>
          <w:sz w:val="30"/>
        </w:rPr>
        <w:t>11. Causality, host semantics, and multi-agent executions</w:t>
      </w:r>
    </w:p>
    <w:p>
      <w:pPr>
        <w:spacing w:after="140" w:line="259" w:lineRule="auto"/>
      </w:pPr>
      <w:r>
        <w:rPr>
          <w:rFonts w:ascii="Liberation Serif" w:hAnsi="Liberation Serif"/>
          <w:i/>
          <w:color w:val="193E5D"/>
          <w:sz w:val="22"/>
        </w:rPr>
        <w:t>A stack is enough only for synchronous single-agent control; async jobs, host callbacks, workers, and shared memory require explicit causality.</w:t>
      </w:r>
    </w:p>
    <w:p>
      <w:pPr>
        <w:pStyle w:val="Heading3"/>
      </w:pPr>
      <w:r>
        <w:rPr>
          <w:rFonts w:ascii="Liberation Sans" w:hAnsi="Liberation Sans"/>
          <w:b/>
          <w:color w:val="245C8A"/>
          <w:sz w:val="23"/>
        </w:rPr>
        <w:t>11.1 Happens-before and causal predecessors</w:t>
      </w:r>
    </w:p>
    <w:p>
      <w:pPr>
        <w:spacing w:line="259" w:lineRule="auto" w:after="80"/>
        <w:ind w:firstLine="317"/>
      </w:pPr>
      <w:r>
        <w:rPr>
          <w:rFonts w:ascii="Liberation Serif" w:hAnsi="Liberation Serif"/>
          <w:color w:val="1F2937"/>
          <w:sz w:val="20"/>
        </w:rPr>
        <w:t>Lamport's happens-before relation distinguishes causality from physical time. Event records should carry monotonically ordered Sequence values within one runtime owner and explicit causal predecessor IDs across enqueue/start, Promise/reaction, await/resume, callback registration/invocation, and message send/receive boundaries (Lamport 1978). Wall-clock timestamps are useful for performance but do not define semantic ordering in the presence of suspension or multiple agents.</w:t>
      </w:r>
    </w:p>
    <w:p>
      <w:pPr>
        <w:pStyle w:val="Heading3"/>
      </w:pPr>
      <w:r>
        <w:rPr>
          <w:rFonts w:ascii="Liberation Sans" w:hAnsi="Liberation Sans"/>
          <w:b/>
          <w:color w:val="245C8A"/>
          <w:sz w:val="23"/>
        </w:rPr>
        <w:t>11.2 Event structures and partial orders</w:t>
      </w:r>
    </w:p>
    <w:p>
      <w:pPr>
        <w:spacing w:line="259" w:lineRule="auto" w:after="80"/>
        <w:ind w:firstLine="317"/>
      </w:pPr>
      <w:r>
        <w:rPr>
          <w:rFonts w:ascii="Liberation Serif" w:hAnsi="Liberation Serif"/>
          <w:color w:val="1F2937"/>
          <w:sz w:val="20"/>
        </w:rPr>
        <w:t>A linear trace is convenient for replay, but concurrency semantics is often better represented as a partial order of events with causality and conflict. Event structures model events together with causal dependency and incompatible alternatives (Winskel 1986). Even if the first goja implementation is single-owner, using causal IDs now avoids baking a stack-only model into the ABI and supports future workers, host concurrency, and multi-runtime analyses.</w:t>
      </w:r>
    </w:p>
    <w:p>
      <w:pPr>
        <w:pStyle w:val="Heading3"/>
      </w:pPr>
      <w:r>
        <w:rPr>
          <w:rFonts w:ascii="Liberation Sans" w:hAnsi="Liberation Sans"/>
          <w:b/>
          <w:color w:val="245C8A"/>
          <w:sz w:val="23"/>
        </w:rPr>
        <w:t>11.3 Core language versus host model</w:t>
      </w:r>
    </w:p>
    <w:p>
      <w:pPr>
        <w:spacing w:line="259" w:lineRule="auto" w:after="80"/>
        <w:ind w:firstLine="317"/>
      </w:pPr>
      <w:r>
        <w:rPr>
          <w:rFonts w:ascii="Liberation Serif" w:hAnsi="Liberation Serif"/>
          <w:color w:val="1F2937"/>
          <w:sz w:val="20"/>
        </w:rPr>
        <w:t>JavaScript semantics is divided between ECMAScript and the host. Timers, files, network callbacks, process operations, module resolution, and event-loop priorities are host-defined. go-go-goja composes a VM with an event loop, module registry, runtime owner, and native modules. Formal claims should therefore name two models: the core ECMAScript transition system and the host transition system. A HostCall event can be treated as an uninterpreted effect with a contract, a recorded oracle result, or a fully modeled operation.</w:t>
      </w:r>
    </w:p>
    <w:p>
      <w:pPr>
        <w:spacing w:line="259" w:lineRule="auto" w:after="80"/>
        <w:ind w:firstLine="317"/>
      </w:pPr>
      <w:r>
        <w:rPr>
          <w:rFonts w:ascii="Liberation Serif" w:hAnsi="Liberation Serif"/>
          <w:color w:val="1F2937"/>
          <w:sz w:val="20"/>
        </w:rPr>
        <w:t>Native modules require effect summaries if static or proof analyses cross them. A summary may specify argument and result types, heap regions read or written, possible exceptions, scheduling effects, determinism, and resource cost. Without a summary the call is a semantic oracle. The runtime trace can still record its concrete behavior, but a universal proof must assume or verify a contract for the native component.</w:t>
      </w:r>
    </w:p>
    <w:p>
      <w:pPr>
        <w:pStyle w:val="Heading3"/>
      </w:pPr>
      <w:r>
        <w:rPr>
          <w:rFonts w:ascii="Liberation Sans" w:hAnsi="Liberation Sans"/>
          <w:b/>
          <w:color w:val="245C8A"/>
          <w:sz w:val="23"/>
        </w:rPr>
        <w:t>11.4 Replay and nondeterminism</w:t>
      </w:r>
    </w:p>
    <w:p>
      <w:pPr>
        <w:spacing w:line="259" w:lineRule="auto" w:after="80"/>
        <w:ind w:firstLine="317"/>
      </w:pPr>
      <w:r>
        <w:rPr>
          <w:rFonts w:ascii="Liberation Serif" w:hAnsi="Liberation Serif"/>
          <w:color w:val="1F2937"/>
          <w:sz w:val="20"/>
        </w:rPr>
        <w:t>A replayable trace should record nondeterministic inputs and scheduling choices at the abstraction boundary: time, randomness, I/O results, host callback order, module contents, and external cancellation. Replaying every VM instruction is unnecessary if the semantic events and host oracles are sufficient to reproduce the chosen observable behavior. The artifact should state whether replay is exact, functionally equivalent, or merely trace-checking.</w:t>
      </w:r>
    </w:p>
    <w:tbl>
      <w:tblPr>
        <w:tblW w:type="auto" w:w="0"/>
        <w:jc w:val="center"/>
        <w:tblLook w:firstColumn="1" w:firstRow="1" w:lastColumn="0" w:lastRow="0" w:noHBand="0" w:noVBand="1" w:val="04A0"/>
      </w:tblPr>
      <w:tblGrid>
        <w:gridCol w:w="9994"/>
      </w:tblGrid>
      <w:tr>
        <w:tc>
          <w:tcPr>
            <w:tcW w:type="dxa" w:w="9994"/>
            <w:shd w:fill="F7EAEA" w:val="clear"/>
            <w:tcBorders>
              <w:top w:val="single" w:sz="8" w:color="245C8A"/>
              <w:left w:val="single" w:sz="8" w:color="245C8A"/>
              <w:bottom w:val="single" w:sz="8" w:color="245C8A"/>
              <w:right w:val="single" w:sz="8" w:color="245C8A"/>
            </w:tcBorders>
            <w:tcMar>
              <w:top w:w="110" w:type="dxa"/>
              <w:start w:w="150" w:type="dxa"/>
              <w:bottom w:w="110" w:type="dxa"/>
              <w:end w:w="150" w:type="dxa"/>
            </w:tcMar>
          </w:tcPr>
          <w:p>
            <w:pPr>
              <w:spacing w:after="60"/>
            </w:pPr>
            <w:r>
              <w:rPr>
                <w:rFonts w:ascii="Liberation Sans" w:hAnsi="Liberation Sans"/>
                <w:b/>
                <w:color w:val="193E5D"/>
                <w:sz w:val="17"/>
              </w:rPr>
              <w:t>LIMITATION / FAILURE MODE  |  Host-model discipline</w:t>
            </w:r>
          </w:p>
          <w:p>
            <w:pPr>
              <w:spacing w:after="40" w:line="247" w:lineRule="auto"/>
            </w:pPr>
            <w:r>
              <w:rPr>
                <w:rFonts w:ascii="Liberation Serif" w:hAnsi="Liberation Serif"/>
                <w:color w:val="1F2937"/>
                <w:sz w:val="18"/>
              </w:rPr>
              <w:t>No semantics or proof about async JavaScript is complete without stating the host scheduling assumptions. Core Promise-job ordering does not by itself define timers, I/O callbacks, priorities, cancellation, or interactions among runtimes.</w:t>
            </w:r>
          </w:p>
        </w:tc>
      </w:tr>
    </w:tbl>
    <w:p>
      <w:pPr>
        <w:spacing w:after="0"/>
      </w:pPr>
    </w:p>
    <w:p>
      <w:r>
        <w:br w:type="page"/>
      </w:r>
    </w:p>
    <w:p>
      <w:pPr>
        <w:pStyle w:val="Heading1"/>
        <w:spacing w:before="0" w:after="160"/>
      </w:pPr>
      <w:r>
        <w:rPr>
          <w:rFonts w:ascii="Liberation Sans" w:hAnsi="Liberation Sans"/>
          <w:b/>
          <w:color w:val="193E5D"/>
          <w:sz w:val="40"/>
        </w:rPr>
        <w:t>Part III. Denotational and compositional interpretations</w:t>
      </w:r>
    </w:p>
    <w:p>
      <w:pPr>
        <w:spacing w:after="320"/>
      </w:pPr>
      <w:r>
        <w:rPr>
          <w:rFonts w:ascii="Liberation Serif" w:hAnsi="Liberation Serif"/>
          <w:i/>
          <w:color w:val="586474"/>
          <w:sz w:val="22"/>
        </w:rPr>
        <w:t>How an execution becomes a trace-producing computation and how handlers assign different meanings to the same event stream.</w:t>
      </w:r>
    </w:p>
    <w:p>
      <w:pPr>
        <w:pStyle w:val="Heading2"/>
      </w:pPr>
      <w:r>
        <w:rPr>
          <w:rFonts w:ascii="Liberation Sans" w:hAnsi="Liberation Sans"/>
          <w:b/>
          <w:color w:val="193E5D"/>
          <w:sz w:val="30"/>
        </w:rPr>
        <w:t>12. Trace denotations and infinite behavior</w:t>
      </w:r>
    </w:p>
    <w:p>
      <w:pPr>
        <w:spacing w:after="140" w:line="259" w:lineRule="auto"/>
      </w:pPr>
      <w:r>
        <w:rPr>
          <w:rFonts w:ascii="Liberation Serif" w:hAnsi="Liberation Serif"/>
          <w:i/>
          <w:color w:val="193E5D"/>
          <w:sz w:val="22"/>
        </w:rPr>
        <w:t>Denotationally, the event layer enriches the meaning of a program from a final result into an observable behavior that may be finite, infinite, branching, or interactive.</w:t>
      </w:r>
    </w:p>
    <w:p>
      <w:pPr>
        <w:pStyle w:val="Heading3"/>
      </w:pPr>
      <w:r>
        <w:rPr>
          <w:rFonts w:ascii="Liberation Sans" w:hAnsi="Liberation Sans"/>
          <w:b/>
          <w:color w:val="245C8A"/>
          <w:sz w:val="23"/>
        </w:rPr>
        <w:t>12.1 From state transformers to traces</w:t>
      </w:r>
    </w:p>
    <w:p>
      <w:pPr>
        <w:spacing w:line="259" w:lineRule="auto" w:after="80"/>
        <w:ind w:firstLine="317"/>
      </w:pPr>
      <w:r>
        <w:rPr>
          <w:rFonts w:ascii="Liberation Serif" w:hAnsi="Liberation Serif"/>
          <w:color w:val="1F2937"/>
          <w:sz w:val="20"/>
        </w:rPr>
        <w:t>A simple deterministic state semantics maps an initial store to a result and final store. Instrumentation enriches this with a trace of semantic events. For terminating computations one can write [[p]] : Sigma -&gt; Trace(E) x Outcome x Sigma. This is already sufficient for many metrics, contracts, and differential tests. However, JavaScript programs may diverge, interact with a host, schedule future jobs, or depend on nondeterministic inputs. A finite-list trace domain does not capture these behaviors adequately.</w:t>
      </w:r>
    </w:p>
    <w:tbl>
      <w:tblPr>
        <w:tblW w:type="auto" w:w="0"/>
        <w:jc w:val="center"/>
        <w:tblLayout w:type="autofit"/>
        <w:tblLook w:firstColumn="1" w:firstRow="1" w:lastColumn="0" w:lastRow="0" w:noHBand="0" w:noVBand="1" w:val="04A0"/>
      </w:tblPr>
      <w:tblGrid>
        <w:gridCol w:w="9994"/>
      </w:tblGrid>
      <w:tr>
        <w:tc>
          <w:tcPr>
            <w:tcW w:type="dxa" w:w="9994"/>
            <w:shd w:fill="F3F5F7" w:val="clear"/>
            <w:tcBorders>
              <w:top w:val="single" w:sz="6" w:color="9CA8B3"/>
              <w:left w:val="single" w:sz="6" w:color="9CA8B3"/>
              <w:bottom w:val="single" w:sz="6" w:color="9CA8B3"/>
              <w:right w:val="single" w:sz="6" w:color="9CA8B3"/>
            </w:tcBorders>
            <w:tcMar>
              <w:top w:w="110" w:type="dxa"/>
              <w:start w:w="150" w:type="dxa"/>
              <w:bottom w:w="110" w:type="dxa"/>
              <w:end w:w="150" w:type="dxa"/>
            </w:tcMar>
          </w:tcPr>
          <w:p>
            <w:pPr>
              <w:jc w:val="center"/>
            </w:pPr>
            <w:r>
              <w:rPr>
                <w:rFonts w:ascii="DejaVu Sans Mono" w:hAnsi="DejaVu Sans Mono"/>
                <w:color w:val="193E5D"/>
                <w:sz w:val="18"/>
              </w:rPr>
              <w:t>[[p]]_E : Sigma  -&gt;  Trace(E) x Outcome x Sigma</w:t>
            </w:r>
          </w:p>
          <w:p>
            <w:pPr>
              <w:jc w:val="center"/>
            </w:pPr>
            <w:r>
              <w:rPr>
                <w:rFonts w:ascii="Liberation Serif" w:hAnsi="Liberation Serif"/>
                <w:i/>
                <w:color w:val="586474"/>
                <w:sz w:val="17"/>
              </w:rPr>
              <w:t>A basic trace-enriched denotation for terminating deterministic executions.</w:t>
            </w:r>
          </w:p>
        </w:tc>
      </w:tr>
    </w:tbl>
    <w:p>
      <w:pPr>
        <w:spacing w:after="0"/>
      </w:pPr>
    </w:p>
    <w:p>
      <w:pPr>
        <w:spacing w:line="259" w:lineRule="auto" w:after="80"/>
        <w:ind w:firstLine="317"/>
      </w:pPr>
      <w:r>
        <w:rPr>
          <w:rFonts w:ascii="Liberation Serif" w:hAnsi="Liberation Serif"/>
          <w:color w:val="1F2937"/>
          <w:sz w:val="20"/>
        </w:rPr>
        <w:t>A richer semantics uses finite and infinite traces, resumptions, trees, or coinductive processes. Prefix ordering is natural for observations: a longer trace contains more execution evidence than its prefixes. Divergence may produce an infinite sequence of events, an infinite sequence of silent steps, or a finite visible trace followed by silent divergence. These distinctions matter for runtime monitoring and equivalence. A probe that observes only function boundaries cannot distinguish two programs that diverge internally after the same last event.</w:t>
      </w:r>
    </w:p>
    <w:p>
      <w:pPr>
        <w:pStyle w:val="Heading3"/>
      </w:pPr>
      <w:r>
        <w:rPr>
          <w:rFonts w:ascii="Liberation Sans" w:hAnsi="Liberation Sans"/>
          <w:b/>
          <w:color w:val="245C8A"/>
          <w:sz w:val="23"/>
        </w:rPr>
        <w:t>12.2 Trace domains and partiality</w:t>
      </w:r>
    </w:p>
    <w:p>
      <w:pPr>
        <w:spacing w:line="259" w:lineRule="auto" w:after="80"/>
        <w:ind w:firstLine="317"/>
      </w:pPr>
      <w:r>
        <w:rPr>
          <w:rFonts w:ascii="Liberation Serif" w:hAnsi="Liberation Serif"/>
          <w:color w:val="1F2937"/>
          <w:sz w:val="20"/>
        </w:rPr>
        <w:t>A trace domain should distinguish normal completion, abrupt completion, cancellation, resource failure, and nontermination. It should also separate program events from monitor failures and trace-loss conditions. A proof-mode ring-buffer overflow is not a JavaScript exception and should not be encoded as one; it invalidates the evidence channel. Similarly, an interpreter interrupt may be a host termination rather than an ECMAScript throw.</w:t>
      </w:r>
    </w:p>
    <w:p>
      <w:pPr>
        <w:spacing w:after="60"/>
        <w:keepNext/>
      </w:pPr>
      <w:r>
        <w:rPr>
          <w:rFonts w:ascii="Liberation Sans" w:hAnsi="Liberation Sans"/>
          <w:b/>
          <w:color w:val="193E5D"/>
          <w:sz w:val="18"/>
        </w:rPr>
        <w:t>Table 7. Outcomes that should be separated in a trace semantics.</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1944"/>
            <w:shd w:fill="245C8A" w:val="clear"/>
            <w:tcMar>
              <w:top w:w="70" w:type="dxa"/>
              <w:start w:w="80" w:type="dxa"/>
              <w:bottom w:w="70" w:type="dxa"/>
              <w:end w:w="80" w:type="dxa"/>
            </w:tcMar>
            <w:vAlign w:val="center"/>
          </w:tcPr>
          <w:p>
            <w:pPr>
              <w:jc w:val="left"/>
            </w:pPr>
            <w:r>
              <w:rPr>
                <w:rFonts w:ascii="Liberation Sans" w:hAnsi="Liberation Sans"/>
                <w:b/>
                <w:color w:val="FFFFFF"/>
                <w:sz w:val="17"/>
              </w:rPr>
              <w:t>Outcome</w:t>
            </w:r>
          </w:p>
        </w:tc>
        <w:tc>
          <w:tcPr>
            <w:tcW w:type="dxa" w:w="3888"/>
            <w:shd w:fill="245C8A" w:val="clear"/>
            <w:tcMar>
              <w:top w:w="70" w:type="dxa"/>
              <w:start w:w="80" w:type="dxa"/>
              <w:bottom w:w="70" w:type="dxa"/>
              <w:end w:w="80" w:type="dxa"/>
            </w:tcMar>
            <w:vAlign w:val="center"/>
          </w:tcPr>
          <w:p>
            <w:pPr>
              <w:jc w:val="left"/>
            </w:pPr>
            <w:r>
              <w:rPr>
                <w:rFonts w:ascii="Liberation Sans" w:hAnsi="Liberation Sans"/>
                <w:b/>
                <w:color w:val="FFFFFF"/>
                <w:sz w:val="17"/>
              </w:rPr>
              <w:t>Meaning</w:t>
            </w:r>
          </w:p>
        </w:tc>
        <w:tc>
          <w:tcPr>
            <w:tcW w:type="dxa" w:w="3672"/>
            <w:shd w:fill="245C8A" w:val="clear"/>
            <w:tcMar>
              <w:top w:w="70" w:type="dxa"/>
              <w:start w:w="80" w:type="dxa"/>
              <w:bottom w:w="70" w:type="dxa"/>
              <w:end w:w="80" w:type="dxa"/>
            </w:tcMar>
            <w:vAlign w:val="center"/>
          </w:tcPr>
          <w:p>
            <w:pPr>
              <w:jc w:val="left"/>
            </w:pPr>
            <w:r>
              <w:rPr>
                <w:rFonts w:ascii="Liberation Sans" w:hAnsi="Liberation Sans"/>
                <w:b/>
                <w:color w:val="FFFFFF"/>
                <w:sz w:val="17"/>
              </w:rPr>
              <w:t>Monitor consequence</w:t>
            </w:r>
          </w:p>
        </w:tc>
      </w:tr>
      <w:tr>
        <w:trPr>
          <w:cantSplit/>
        </w:trPr>
        <w:tc>
          <w:tcPr>
            <w:tcW w:type="dxa" w:w="1944"/>
            <w:tcMar>
              <w:top w:w="65" w:type="dxa"/>
              <w:start w:w="80" w:type="dxa"/>
              <w:bottom w:w="65" w:type="dxa"/>
              <w:end w:w="80" w:type="dxa"/>
            </w:tcMar>
            <w:vAlign w:val="top"/>
          </w:tcPr>
          <w:p>
            <w:pPr>
              <w:spacing w:after="0" w:line="240" w:lineRule="auto"/>
            </w:pPr>
            <w:r>
              <w:rPr>
                <w:rFonts w:ascii="Liberation Serif" w:hAnsi="Liberation Serif"/>
                <w:color w:val="1F2937"/>
                <w:sz w:val="17"/>
              </w:rPr>
              <w:t>Normal(v)</w:t>
            </w:r>
          </w:p>
        </w:tc>
        <w:tc>
          <w:tcPr>
            <w:tcW w:type="dxa" w:w="3888"/>
            <w:tcMar>
              <w:top w:w="65" w:type="dxa"/>
              <w:start w:w="80" w:type="dxa"/>
              <w:bottom w:w="65" w:type="dxa"/>
              <w:end w:w="80" w:type="dxa"/>
            </w:tcMar>
            <w:vAlign w:val="top"/>
          </w:tcPr>
          <w:p>
            <w:pPr>
              <w:spacing w:after="0" w:line="240" w:lineRule="auto"/>
            </w:pPr>
            <w:r>
              <w:rPr>
                <w:rFonts w:ascii="Liberation Serif" w:hAnsi="Liberation Serif"/>
                <w:color w:val="1F2937"/>
                <w:sz w:val="17"/>
              </w:rPr>
              <w:t>JavaScript computation completes normally with value v.</w:t>
            </w:r>
          </w:p>
        </w:tc>
        <w:tc>
          <w:tcPr>
            <w:tcW w:type="dxa" w:w="3672"/>
            <w:tcMar>
              <w:top w:w="65" w:type="dxa"/>
              <w:start w:w="80" w:type="dxa"/>
              <w:bottom w:w="65" w:type="dxa"/>
              <w:end w:w="80" w:type="dxa"/>
            </w:tcMar>
            <w:vAlign w:val="top"/>
          </w:tcPr>
          <w:p>
            <w:pPr>
              <w:spacing w:after="0" w:line="240" w:lineRule="auto"/>
            </w:pPr>
            <w:r>
              <w:rPr>
                <w:rFonts w:ascii="Liberation Serif" w:hAnsi="Liberation Serif"/>
                <w:color w:val="1F2937"/>
                <w:sz w:val="17"/>
              </w:rPr>
              <w:t>Postconditions and completion properties can be evaluated.</w:t>
            </w:r>
          </w:p>
        </w:tc>
      </w:tr>
      <w:tr>
        <w:trPr>
          <w:cantSplit/>
        </w:trPr>
        <w:tc>
          <w:tcPr>
            <w:tcW w:type="dxa" w:w="1944"/>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Abrupt(x)</w:t>
            </w:r>
          </w:p>
        </w:tc>
        <w:tc>
          <w:tcPr>
            <w:tcW w:type="dxa" w:w="3888"/>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Uncaught JavaScript abrupt completion or declared exception boundary.</w:t>
            </w:r>
          </w:p>
        </w:tc>
        <w:tc>
          <w:tcPr>
            <w:tcW w:type="dxa" w:w="3672"/>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Exceptional postconditions and throw policies apply.</w:t>
            </w:r>
          </w:p>
        </w:tc>
      </w:tr>
      <w:tr>
        <w:trPr>
          <w:cantSplit/>
        </w:trPr>
        <w:tc>
          <w:tcPr>
            <w:tcW w:type="dxa" w:w="1944"/>
            <w:tcMar>
              <w:top w:w="65" w:type="dxa"/>
              <w:start w:w="80" w:type="dxa"/>
              <w:bottom w:w="65" w:type="dxa"/>
              <w:end w:w="80" w:type="dxa"/>
            </w:tcMar>
            <w:vAlign w:val="top"/>
          </w:tcPr>
          <w:p>
            <w:pPr>
              <w:spacing w:after="0" w:line="240" w:lineRule="auto"/>
            </w:pPr>
            <w:r>
              <w:rPr>
                <w:rFonts w:ascii="Liberation Serif" w:hAnsi="Liberation Serif"/>
                <w:color w:val="1F2937"/>
                <w:sz w:val="17"/>
              </w:rPr>
              <w:t>Violation(id)</w:t>
            </w:r>
          </w:p>
        </w:tc>
        <w:tc>
          <w:tcPr>
            <w:tcW w:type="dxa" w:w="3888"/>
            <w:tcMar>
              <w:top w:w="65" w:type="dxa"/>
              <w:start w:w="80" w:type="dxa"/>
              <w:bottom w:w="65" w:type="dxa"/>
              <w:end w:w="80" w:type="dxa"/>
            </w:tcMar>
            <w:vAlign w:val="top"/>
          </w:tcPr>
          <w:p>
            <w:pPr>
              <w:spacing w:after="0" w:line="240" w:lineRule="auto"/>
            </w:pPr>
            <w:r>
              <w:rPr>
                <w:rFonts w:ascii="Liberation Serif" w:hAnsi="Liberation Serif"/>
                <w:color w:val="1F2937"/>
                <w:sz w:val="17"/>
              </w:rPr>
              <w:t>Enforcement monitor recognizes a bad prefix.</w:t>
            </w:r>
          </w:p>
        </w:tc>
        <w:tc>
          <w:tcPr>
            <w:tcW w:type="dxa" w:w="3672"/>
            <w:tcMar>
              <w:top w:w="65" w:type="dxa"/>
              <w:start w:w="80" w:type="dxa"/>
              <w:bottom w:w="65" w:type="dxa"/>
              <w:end w:w="80" w:type="dxa"/>
            </w:tcMar>
            <w:vAlign w:val="top"/>
          </w:tcPr>
          <w:p>
            <w:pPr>
              <w:spacing w:after="0" w:line="240" w:lineRule="auto"/>
            </w:pPr>
            <w:r>
              <w:rPr>
                <w:rFonts w:ascii="Liberation Serif" w:hAnsi="Liberation Serif"/>
                <w:color w:val="1F2937"/>
                <w:sz w:val="17"/>
              </w:rPr>
              <w:t>Execution belongs to monitored semantics, not the original completed behavior.</w:t>
            </w:r>
          </w:p>
        </w:tc>
      </w:tr>
      <w:tr>
        <w:trPr>
          <w:cantSplit/>
        </w:trPr>
        <w:tc>
          <w:tcPr>
            <w:tcW w:type="dxa" w:w="1944"/>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Interrupted(r)</w:t>
            </w:r>
          </w:p>
        </w:tc>
        <w:tc>
          <w:tcPr>
            <w:tcW w:type="dxa" w:w="3888"/>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Host cancels or interrupts the runtime.</w:t>
            </w:r>
          </w:p>
        </w:tc>
        <w:tc>
          <w:tcPr>
            <w:tcW w:type="dxa" w:w="3672"/>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Liveness properties are usually inconclusive unless cancellation is part of the property.</w:t>
            </w:r>
          </w:p>
        </w:tc>
      </w:tr>
      <w:tr>
        <w:trPr>
          <w:cantSplit/>
        </w:trPr>
        <w:tc>
          <w:tcPr>
            <w:tcW w:type="dxa" w:w="1944"/>
            <w:tcMar>
              <w:top w:w="65" w:type="dxa"/>
              <w:start w:w="80" w:type="dxa"/>
              <w:bottom w:w="65" w:type="dxa"/>
              <w:end w:w="80" w:type="dxa"/>
            </w:tcMar>
            <w:vAlign w:val="top"/>
          </w:tcPr>
          <w:p>
            <w:pPr>
              <w:spacing w:after="0" w:line="240" w:lineRule="auto"/>
            </w:pPr>
            <w:r>
              <w:rPr>
                <w:rFonts w:ascii="Liberation Serif" w:hAnsi="Liberation Serif"/>
                <w:color w:val="1F2937"/>
                <w:sz w:val="17"/>
              </w:rPr>
              <w:t>EvidenceLost(r)</w:t>
            </w:r>
          </w:p>
        </w:tc>
        <w:tc>
          <w:tcPr>
            <w:tcW w:type="dxa" w:w="3888"/>
            <w:tcMar>
              <w:top w:w="65" w:type="dxa"/>
              <w:start w:w="80" w:type="dxa"/>
              <w:bottom w:w="65" w:type="dxa"/>
              <w:end w:w="80" w:type="dxa"/>
            </w:tcMar>
            <w:vAlign w:val="top"/>
          </w:tcPr>
          <w:p>
            <w:pPr>
              <w:spacing w:after="0" w:line="240" w:lineRule="auto"/>
            </w:pPr>
            <w:r>
              <w:rPr>
                <w:rFonts w:ascii="Liberation Serif" w:hAnsi="Liberation Serif"/>
                <w:color w:val="1F2937"/>
                <w:sz w:val="17"/>
              </w:rPr>
              <w:t>Required event or monitor state could not be retained.</w:t>
            </w:r>
          </w:p>
        </w:tc>
        <w:tc>
          <w:tcPr>
            <w:tcW w:type="dxa" w:w="3672"/>
            <w:tcMar>
              <w:top w:w="65" w:type="dxa"/>
              <w:start w:w="80" w:type="dxa"/>
              <w:bottom w:w="65" w:type="dxa"/>
              <w:end w:w="80" w:type="dxa"/>
            </w:tcMar>
            <w:vAlign w:val="top"/>
          </w:tcPr>
          <w:p>
            <w:pPr>
              <w:spacing w:after="0" w:line="240" w:lineRule="auto"/>
            </w:pPr>
            <w:r>
              <w:rPr>
                <w:rFonts w:ascii="Liberation Serif" w:hAnsi="Liberation Serif"/>
                <w:color w:val="1F2937"/>
                <w:sz w:val="17"/>
              </w:rPr>
              <w:t>Proof or conformance claim is invalid; fail closed in strict mode.</w:t>
            </w:r>
          </w:p>
        </w:tc>
      </w:tr>
      <w:tr>
        <w:trPr>
          <w:cantSplit/>
        </w:trPr>
        <w:tc>
          <w:tcPr>
            <w:tcW w:type="dxa" w:w="1944"/>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Diverges</w:t>
            </w:r>
          </w:p>
        </w:tc>
        <w:tc>
          <w:tcPr>
            <w:tcW w:type="dxa" w:w="3888"/>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Execution does not complete.</w:t>
            </w:r>
          </w:p>
        </w:tc>
        <w:tc>
          <w:tcPr>
            <w:tcW w:type="dxa" w:w="3672"/>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Only prefix properties and coinductive observations are available.</w:t>
            </w:r>
          </w:p>
        </w:tc>
      </w:tr>
    </w:tbl>
    <w:p>
      <w:pPr>
        <w:spacing w:after="0"/>
      </w:pPr>
    </w:p>
    <w:p>
      <w:pPr>
        <w:pStyle w:val="Heading3"/>
      </w:pPr>
      <w:r>
        <w:rPr>
          <w:rFonts w:ascii="Liberation Sans" w:hAnsi="Liberation Sans"/>
          <w:b/>
          <w:color w:val="245C8A"/>
          <w:sz w:val="23"/>
        </w:rPr>
        <w:t>12.3 Trace equivalence and normalization</w:t>
      </w:r>
    </w:p>
    <w:p>
      <w:pPr>
        <w:spacing w:line="259" w:lineRule="auto" w:after="80"/>
        <w:ind w:firstLine="317"/>
      </w:pPr>
      <w:r>
        <w:rPr>
          <w:rFonts w:ascii="Liberation Serif" w:hAnsi="Liberation Serif"/>
          <w:color w:val="1F2937"/>
          <w:sz w:val="20"/>
        </w:rPr>
        <w:t>Differential semantics requires a normalization function because two implementations rarely emit identical low-level traces. Normalization may erase implementation events, alpha-rename object and frame identities, collapse administrative transitions, and translate source positions through source maps. The comparison relation can then be equality, prefix equivalence, weak bisimulation, or a domain-specific relation that permits reorderings of independent events.</w:t>
      </w:r>
    </w:p>
    <w:p>
      <w:pPr>
        <w:spacing w:line="259" w:lineRule="auto" w:after="80"/>
        <w:ind w:firstLine="317"/>
      </w:pPr>
      <w:r>
        <w:rPr>
          <w:rFonts w:ascii="Liberation Serif" w:hAnsi="Liberation Serif"/>
          <w:color w:val="1F2937"/>
          <w:sz w:val="20"/>
        </w:rPr>
        <w:t>Normalization is part of the trusted methodology. An overly aggressive normalizer can hide real discrepancies; an overly intensional one reports irrelevant implementation differences. The event tiers in Chapter 5 help define explicit comparison profiles: language-level, specification-rule-level, or implementation-level.</w:t>
      </w:r>
    </w:p>
    <w:p>
      <w:pPr>
        <w:pStyle w:val="Heading2"/>
      </w:pPr>
      <w:r>
        <w:rPr>
          <w:rFonts w:ascii="Liberation Sans" w:hAnsi="Liberation Sans"/>
          <w:b/>
          <w:color w:val="193E5D"/>
          <w:sz w:val="30"/>
        </w:rPr>
        <w:t>13. Monads, algebraic effects, and event handlers</w:t>
      </w:r>
    </w:p>
    <w:p>
      <w:pPr>
        <w:spacing w:after="140" w:line="259" w:lineRule="auto"/>
      </w:pPr>
      <w:r>
        <w:rPr>
          <w:rFonts w:ascii="Liberation Serif" w:hAnsi="Liberation Serif"/>
          <w:i/>
          <w:color w:val="193E5D"/>
          <w:sz w:val="22"/>
        </w:rPr>
        <w:t>The same semantic events can be interpreted as logging, monitoring, metrics, symbolic constraints, abstract effects, or proof obligations by changing the handler.</w:t>
      </w:r>
    </w:p>
    <w:p>
      <w:pPr>
        <w:pStyle w:val="Heading3"/>
      </w:pPr>
      <w:r>
        <w:rPr>
          <w:rFonts w:ascii="Liberation Sans" w:hAnsi="Liberation Sans"/>
          <w:b/>
          <w:color w:val="245C8A"/>
          <w:sz w:val="23"/>
        </w:rPr>
        <w:t>13.1 Computational effects and monads</w:t>
      </w:r>
    </w:p>
    <w:p>
      <w:pPr>
        <w:spacing w:line="259" w:lineRule="auto" w:after="80"/>
        <w:ind w:firstLine="317"/>
      </w:pPr>
      <w:r>
        <w:rPr>
          <w:rFonts w:ascii="Liberation Serif" w:hAnsi="Liberation Serif"/>
          <w:color w:val="1F2937"/>
          <w:sz w:val="20"/>
        </w:rPr>
        <w:t>Moggi's computational lambda calculus and monadic semantics separate pure values from computations with effects. A trace-producing interpreter can be represented using a writer-like effect; stateful monitoring adds state; exceptions and nondeterminism add further structure (Moggi 1991). The key architectural lesson is separation: the syntax and control structure of the computation need not hard-code every interpretation of its effects.</w:t>
      </w:r>
    </w:p>
    <w:p>
      <w:pPr>
        <w:spacing w:line="259" w:lineRule="auto" w:after="80"/>
        <w:ind w:firstLine="317"/>
      </w:pPr>
      <w:r>
        <w:rPr>
          <w:rFonts w:ascii="Liberation Serif" w:hAnsi="Liberation Serif"/>
          <w:color w:val="1F2937"/>
          <w:sz w:val="20"/>
        </w:rPr>
        <w:t>For semantic probes, the VM emits operations from an event signature. A handler interprets each operation in a target semantic domain. The runtime handler updates concrete maps; an offline handler appends a trace; a cost handler accumulates weights; a symbolic handler generates formulas; an abstract handler updates lattice elements. This decomposition gives a principled account of the proposed plugin architecture.</w:t>
      </w:r>
    </w:p>
    <w:p>
      <w:pPr>
        <w:pStyle w:val="Heading3"/>
      </w:pPr>
      <w:r>
        <w:rPr>
          <w:rFonts w:ascii="Liberation Sans" w:hAnsi="Liberation Sans"/>
          <w:b/>
          <w:color w:val="245C8A"/>
          <w:sz w:val="23"/>
        </w:rPr>
        <w:t>13.2 Algebraic effects</w:t>
      </w:r>
    </w:p>
    <w:p>
      <w:pPr>
        <w:spacing w:line="259" w:lineRule="auto" w:after="80"/>
        <w:ind w:firstLine="317"/>
      </w:pPr>
      <w:r>
        <w:rPr>
          <w:rFonts w:ascii="Liberation Serif" w:hAnsi="Liberation Serif"/>
          <w:color w:val="1F2937"/>
          <w:sz w:val="20"/>
        </w:rPr>
        <w:t>Algebraic effect theory treats effects as operations satisfying equations, and handlers provide models of those operations. Plotkin and Power develop algebraic operations and generic effects; Plotkin and Pretnar give a programming-language account of effect handlers (Plotkin and Power 2003; Plotkin and Pretnar 2009). A semantic event such as Call, ReadProperty, Allocate, or EnqueueJob can be regarded as an operation whose continuation represents the remainder of execution.</w:t>
      </w:r>
    </w:p>
    <w:p>
      <w:pPr>
        <w:spacing w:line="259" w:lineRule="auto" w:after="80"/>
        <w:ind w:firstLine="317"/>
      </w:pPr>
      <w:r>
        <w:rPr>
          <w:rFonts w:ascii="Liberation Serif" w:hAnsi="Liberation Serif"/>
          <w:color w:val="1F2937"/>
          <w:sz w:val="20"/>
        </w:rPr>
        <w:t>Not every event is algebraic in a simple sense. Control operators, continuations, observation of identities, and host scheduling can require richer structures. Nevertheless, effect signatures are a useful design discipline: each helper and event has an explicit type, and each interpretation must say what it does with that operation. This discourages hidden access from a monitor into arbitrary interpreter internals.</w:t>
      </w:r>
    </w:p>
    <w:p>
      <w:pPr>
        <w:pStyle w:val="Heading3"/>
      </w:pPr>
      <w:r>
        <w:rPr>
          <w:rFonts w:ascii="Liberation Sans" w:hAnsi="Liberation Sans"/>
          <w:b/>
          <w:color w:val="245C8A"/>
          <w:sz w:val="23"/>
        </w:rPr>
        <w:t>13.3 Handler products and modular analyses</w:t>
      </w:r>
    </w:p>
    <w:p>
      <w:pPr>
        <w:spacing w:line="259" w:lineRule="auto" w:after="80"/>
        <w:ind w:firstLine="317"/>
      </w:pPr>
      <w:r>
        <w:rPr>
          <w:rFonts w:ascii="Liberation Serif" w:hAnsi="Liberation Serif"/>
          <w:color w:val="1F2937"/>
          <w:sz w:val="20"/>
        </w:rPr>
        <w:t>If two handlers consume the same event alphabet independently, their product computes both results in one pass. A call event can update a counter, a call graph, a temporal monitor, and a cost model simultaneously. The mathematical product corresponds to an implementation that fuses filtering, decodes observations once, and updates several typed states. The composition law also provides a test oracle: the fused result should equal running the handlers separately over the same trace.</w:t>
      </w:r>
    </w:p>
    <w:tbl>
      <w:tblPr>
        <w:tblW w:type="auto" w:w="0"/>
        <w:jc w:val="center"/>
        <w:tblLayout w:type="autofit"/>
        <w:tblLook w:firstColumn="1" w:firstRow="1" w:lastColumn="0" w:lastRow="0" w:noHBand="0" w:noVBand="1" w:val="04A0"/>
      </w:tblPr>
      <w:tblGrid>
        <w:gridCol w:w="9994"/>
      </w:tblGrid>
      <w:tr>
        <w:tc>
          <w:tcPr>
            <w:tcW w:type="dxa" w:w="9994"/>
            <w:shd w:fill="F3F5F7" w:val="clear"/>
            <w:tcBorders>
              <w:top w:val="single" w:sz="6" w:color="9CA8B3"/>
              <w:left w:val="single" w:sz="6" w:color="9CA8B3"/>
              <w:bottom w:val="single" w:sz="6" w:color="9CA8B3"/>
              <w:right w:val="single" w:sz="6" w:color="9CA8B3"/>
            </w:tcBorders>
            <w:tcMar>
              <w:top w:w="110" w:type="dxa"/>
              <w:start w:w="150" w:type="dxa"/>
              <w:bottom w:w="110" w:type="dxa"/>
              <w:end w:w="150" w:type="dxa"/>
            </w:tcMar>
          </w:tcPr>
          <w:p>
            <w:pPr>
              <w:jc w:val="center"/>
            </w:pPr>
            <w:r>
              <w:rPr>
                <w:rFonts w:ascii="DejaVu Sans Mono" w:hAnsi="DejaVu Sans Mono"/>
                <w:color w:val="193E5D"/>
                <w:sz w:val="18"/>
              </w:rPr>
              <w:t>H1 x H2 : Event  -&gt;  (M1 x M2)</w:t>
            </w:r>
          </w:p>
          <w:p>
            <w:pPr>
              <w:jc w:val="center"/>
            </w:pPr>
            <w:r>
              <w:rPr>
                <w:rFonts w:ascii="Liberation Serif" w:hAnsi="Liberation Serif"/>
                <w:i/>
                <w:color w:val="586474"/>
                <w:sz w:val="17"/>
              </w:rPr>
              <w:t>Product handlers support modular analyses and a fusion correctness test.</w:t>
            </w:r>
          </w:p>
        </w:tc>
      </w:tr>
    </w:tbl>
    <w:p>
      <w:pPr>
        <w:spacing w:after="0"/>
      </w:pPr>
    </w:p>
    <w:p>
      <w:pPr>
        <w:pStyle w:val="Heading3"/>
      </w:pPr>
      <w:r>
        <w:rPr>
          <w:rFonts w:ascii="Liberation Sans" w:hAnsi="Liberation Sans"/>
          <w:b/>
          <w:color w:val="245C8A"/>
          <w:sz w:val="23"/>
        </w:rPr>
        <w:t>13.4 Handler capabilities</w:t>
      </w:r>
    </w:p>
    <w:p>
      <w:pPr>
        <w:spacing w:line="259" w:lineRule="auto" w:after="80"/>
        <w:ind w:firstLine="317"/>
      </w:pPr>
      <w:r>
        <w:rPr>
          <w:rFonts w:ascii="Liberation Serif" w:hAnsi="Liberation Serif"/>
          <w:color w:val="1F2937"/>
          <w:sz w:val="20"/>
        </w:rPr>
        <w:t>Handlers differ in the effects they are allowed to perform. A pure trace fold is deterministic and replayable. A runtime metric handler may use monotonic counters. An enforcement handler can terminate. An intervention handler can modify the continuation or state. Capability typing should make these distinctions explicit, because laws valid for observational handlers may fail for stateful or intervention handlers. For example, handler order is irrelevant for independent commutative counters but observable when one handler rewrites a return value consumed by another.</w:t>
      </w:r>
    </w:p>
    <w:p>
      <w:pPr>
        <w:pStyle w:val="Heading2"/>
      </w:pPr>
      <w:r>
        <w:rPr>
          <w:rFonts w:ascii="Liberation Sans" w:hAnsi="Liberation Sans"/>
          <w:b/>
          <w:color w:val="193E5D"/>
          <w:sz w:val="30"/>
        </w:rPr>
        <w:t>14. Interaction trees and weak bisimulation</w:t>
      </w:r>
    </w:p>
    <w:p>
      <w:pPr>
        <w:spacing w:after="140" w:line="259" w:lineRule="auto"/>
      </w:pPr>
      <w:r>
        <w:rPr>
          <w:rFonts w:ascii="Liberation Serif" w:hAnsi="Liberation Serif"/>
          <w:i/>
          <w:color w:val="193E5D"/>
          <w:sz w:val="22"/>
        </w:rPr>
        <w:t>Interaction trees provide a concrete candidate for representing recursive, effectful, and potentially nonterminating JavaScript behavior in a proof assistant.</w:t>
      </w:r>
    </w:p>
    <w:p>
      <w:pPr>
        <w:pStyle w:val="Heading3"/>
      </w:pPr>
      <w:r>
        <w:rPr>
          <w:rFonts w:ascii="Liberation Sans" w:hAnsi="Liberation Sans"/>
          <w:b/>
          <w:color w:val="245C8A"/>
          <w:sz w:val="23"/>
        </w:rPr>
        <w:t>14.1 Event trees</w:t>
      </w:r>
    </w:p>
    <w:p>
      <w:pPr>
        <w:spacing w:line="259" w:lineRule="auto" w:after="80"/>
        <w:ind w:firstLine="317"/>
      </w:pPr>
      <w:r>
        <w:rPr>
          <w:rFonts w:ascii="Liberation Serif" w:hAnsi="Liberation Serif"/>
          <w:color w:val="1F2937"/>
          <w:sz w:val="20"/>
        </w:rPr>
        <w:t>Interaction trees are coinductive trees built from return nodes, silent steps, and visible events with continuations. They can represent recursive and impure computations while keeping events uninterpreted until a handler assigns meaning. Their equational theory uses weak bisimulation to ignore finite sequences of silent steps, and the Coq library supports executable extraction and compiler-correctness proofs (Xia et al. 2020).</w:t>
      </w:r>
    </w:p>
    <w:tbl>
      <w:tblPr>
        <w:tblW w:type="auto" w:w="0"/>
        <w:jc w:val="center"/>
        <w:tblLayout w:type="autofit"/>
        <w:tblLook w:firstColumn="1" w:firstRow="1" w:lastColumn="0" w:lastRow="0" w:noHBand="0" w:noVBand="1" w:val="04A0"/>
      </w:tblPr>
      <w:tblGrid>
        <w:gridCol w:w="9994"/>
      </w:tblGrid>
      <w:tr>
        <w:tc>
          <w:tcPr>
            <w:tcW w:type="dxa" w:w="9994"/>
            <w:shd w:fill="F3F5F7" w:val="clear"/>
            <w:tcBorders>
              <w:top w:val="single" w:sz="6" w:color="9CA8B3"/>
              <w:left w:val="single" w:sz="6" w:color="9CA8B3"/>
              <w:bottom w:val="single" w:sz="6" w:color="9CA8B3"/>
              <w:right w:val="single" w:sz="6" w:color="9CA8B3"/>
            </w:tcBorders>
            <w:tcMar>
              <w:top w:w="110" w:type="dxa"/>
              <w:start w:w="150" w:type="dxa"/>
              <w:bottom w:w="110" w:type="dxa"/>
              <w:end w:w="150" w:type="dxa"/>
            </w:tcMar>
          </w:tcPr>
          <w:p>
            <w:pPr>
              <w:jc w:val="center"/>
            </w:pPr>
            <w:r>
              <w:rPr>
                <w:rFonts w:ascii="DejaVu Sans Mono" w:hAnsi="DejaVu Sans Mono"/>
                <w:color w:val="193E5D"/>
                <w:sz w:val="18"/>
              </w:rPr>
              <w:t>ITree E R  ::=  Ret R  |  Tau (ITree E R)  |  Vis E (X -&gt; ITree E R)</w:t>
            </w:r>
          </w:p>
          <w:p>
            <w:pPr>
              <w:jc w:val="center"/>
            </w:pPr>
            <w:r>
              <w:rPr>
                <w:rFonts w:ascii="Liberation Serif" w:hAnsi="Liberation Serif"/>
                <w:i/>
                <w:color w:val="586474"/>
                <w:sz w:val="17"/>
              </w:rPr>
              <w:t>Schematic presentation: a visible event carries a continuation indexed by its result type.</w:t>
            </w:r>
          </w:p>
        </w:tc>
      </w:tr>
    </w:tbl>
    <w:p>
      <w:pPr>
        <w:spacing w:after="0"/>
      </w:pPr>
    </w:p>
    <w:p>
      <w:pPr>
        <w:spacing w:line="259" w:lineRule="auto" w:after="80"/>
        <w:ind w:firstLine="317"/>
      </w:pPr>
      <w:r>
        <w:rPr>
          <w:rFonts w:ascii="Liberation Serif" w:hAnsi="Liberation Serif"/>
          <w:color w:val="1F2937"/>
          <w:sz w:val="20"/>
        </w:rPr>
        <w:t>This matches the semantic-probe architecture closely. The source semantics or interpreter abstraction produces an event tree. A trace handler interprets events into lists or streams; a monitor handler threads monitor state; a host handler supplies I/O results; a symbolic handler returns symbolic values. The same event tree can be reasoned about compositionally and executed after handlers are selected.</w:t>
      </w:r>
    </w:p>
    <w:p>
      <w:pPr>
        <w:pStyle w:val="Heading3"/>
      </w:pPr>
      <w:r>
        <w:rPr>
          <w:rFonts w:ascii="Liberation Sans" w:hAnsi="Liberation Sans"/>
          <w:b/>
          <w:color w:val="245C8A"/>
          <w:sz w:val="23"/>
        </w:rPr>
        <w:t>14.2 Why weak bisimulation matters</w:t>
      </w:r>
    </w:p>
    <w:p>
      <w:pPr>
        <w:spacing w:line="259" w:lineRule="auto" w:after="80"/>
        <w:ind w:firstLine="317"/>
      </w:pPr>
      <w:r>
        <w:rPr>
          <w:rFonts w:ascii="Liberation Serif" w:hAnsi="Liberation Serif"/>
          <w:color w:val="1F2937"/>
          <w:sz w:val="20"/>
        </w:rPr>
        <w:t>Instrumented and uninstrumented executions often differ by administrative steps. Compilers also introduce stack manipulation, environment setup, and helper transitions that have no source-visible counterpart. Weak bisimulation relates processes while abstracting from finite silent behavior. It is therefore a natural candidate for stating that an event-instrumented interpreter preserves source behavior modulo probe-internal steps and selected implementation details (Sangiorgi 2011; Xia et al. 2020).</w:t>
      </w:r>
    </w:p>
    <w:p>
      <w:pPr>
        <w:spacing w:line="259" w:lineRule="auto" w:after="80"/>
        <w:ind w:firstLine="317"/>
      </w:pPr>
      <w:r>
        <w:rPr>
          <w:rFonts w:ascii="Liberation Serif" w:hAnsi="Liberation Serif"/>
          <w:color w:val="1F2937"/>
          <w:sz w:val="20"/>
        </w:rPr>
        <w:t>The event ABI must identify which steps are silent. If bytecode instruction events are enabled, they are no longer silent for that observer. Thus weak equivalence is capability-indexed: a pair of executions may be equivalent to a language-level observer but not to an implementation-level probe. This observation leads directly to the full-abstraction questions in Chapter 16.</w:t>
      </w:r>
    </w:p>
    <w:p>
      <w:pPr>
        <w:pStyle w:val="Heading3"/>
      </w:pPr>
      <w:r>
        <w:rPr>
          <w:rFonts w:ascii="Liberation Sans" w:hAnsi="Liberation Sans"/>
          <w:b/>
          <w:color w:val="245C8A"/>
          <w:sz w:val="23"/>
        </w:rPr>
        <w:t>14.3 Executable denotations and differential testing</w:t>
      </w:r>
    </w:p>
    <w:p>
      <w:pPr>
        <w:spacing w:line="259" w:lineRule="auto" w:after="80"/>
        <w:ind w:firstLine="317"/>
      </w:pPr>
      <w:r>
        <w:rPr>
          <w:rFonts w:ascii="Liberation Serif" w:hAnsi="Liberation Serif"/>
          <w:color w:val="1F2937"/>
          <w:sz w:val="20"/>
        </w:rPr>
        <w:t>An ITree-based semantics can be extracted to an executable reference model. The goja trace can be normalized to the same event signature and compared against an interpreted ITree. When traces diverge, the system can show the source site, event kind, formal continuation, and concrete VM state projection. This is a denotational counterpart of JSExplain's double-debugger idea and KJS's executable semantics, with the additional benefit that event handlers and equivalence laws can be mechanized (Park, Stefanescu, and Rosu 2015; Chargueraud, Schmitt, and Wood 2018; Xia et al. 2020).</w:t>
      </w:r>
    </w:p>
    <w:p>
      <w:pPr>
        <w:pStyle w:val="Heading3"/>
      </w:pPr>
      <w:r>
        <w:rPr>
          <w:rFonts w:ascii="Liberation Sans" w:hAnsi="Liberation Sans"/>
          <w:b/>
          <w:color w:val="245C8A"/>
          <w:sz w:val="23"/>
        </w:rPr>
        <w:t>14.4 Limits of the correspondence</w:t>
      </w:r>
    </w:p>
    <w:p>
      <w:pPr>
        <w:spacing w:line="259" w:lineRule="auto" w:after="80"/>
        <w:ind w:firstLine="317"/>
      </w:pPr>
      <w:r>
        <w:rPr>
          <w:rFonts w:ascii="Liberation Serif" w:hAnsi="Liberation Serif"/>
          <w:color w:val="1F2937"/>
          <w:sz w:val="20"/>
        </w:rPr>
        <w:t>Interaction trees do not remove modeling obligations. Object identity, weak references, garbage collection, host scheduling, shared memory, and native modules require suitable event signatures and handlers. An extracted model may be much slower than goja and may represent specification decomposition differently. The value is a shared compositional interface, not automatic proof of equivalence.</w:t>
      </w:r>
    </w:p>
    <w:p>
      <w:pPr>
        <w:pStyle w:val="Heading2"/>
      </w:pPr>
      <w:r>
        <w:rPr>
          <w:rFonts w:ascii="Liberation Sans" w:hAnsi="Liberation Sans"/>
          <w:b/>
          <w:color w:val="193E5D"/>
          <w:sz w:val="30"/>
        </w:rPr>
        <w:t>15. Metrics, costs, and folds over traces</w:t>
      </w:r>
    </w:p>
    <w:p>
      <w:pPr>
        <w:spacing w:after="140" w:line="259" w:lineRule="auto"/>
      </w:pPr>
      <w:r>
        <w:rPr>
          <w:rFonts w:ascii="Liberation Serif" w:hAnsi="Liberation Serif"/>
          <w:i/>
          <w:color w:val="193E5D"/>
          <w:sz w:val="22"/>
        </w:rPr>
        <w:t>Metrics become semantically meaningful when their aggregation laws are explicit and when implementation timing is separated from abstract cost.</w:t>
      </w:r>
    </w:p>
    <w:p>
      <w:pPr>
        <w:pStyle w:val="Heading3"/>
      </w:pPr>
      <w:r>
        <w:rPr>
          <w:rFonts w:ascii="Liberation Sans" w:hAnsi="Liberation Sans"/>
          <w:b/>
          <w:color w:val="245C8A"/>
          <w:sz w:val="23"/>
        </w:rPr>
        <w:t>15.1 Monoids and folds</w:t>
      </w:r>
    </w:p>
    <w:p>
      <w:pPr>
        <w:spacing w:line="259" w:lineRule="auto" w:after="80"/>
        <w:ind w:firstLine="317"/>
      </w:pPr>
      <w:r>
        <w:rPr>
          <w:rFonts w:ascii="Liberation Serif" w:hAnsi="Liberation Serif"/>
          <w:color w:val="1F2937"/>
          <w:sz w:val="20"/>
        </w:rPr>
        <w:t>Many online metrics are folds over an event trace. A monoid supplies an identity element and associative combination. Counts use natural-number addition; sets of covered rules use union; maximum stack depth uses max; call multisets use pointwise addition. If a metric is a monoid homomorphism, results can be computed online, recomputed offline, partitioned across trace chunks, and merged without dependence on chunking.</w:t>
      </w:r>
    </w:p>
    <w:tbl>
      <w:tblPr>
        <w:tblW w:type="auto" w:w="0"/>
        <w:jc w:val="center"/>
        <w:tblLayout w:type="autofit"/>
        <w:tblLook w:firstColumn="1" w:firstRow="1" w:lastColumn="0" w:lastRow="0" w:noHBand="0" w:noVBand="1" w:val="04A0"/>
      </w:tblPr>
      <w:tblGrid>
        <w:gridCol w:w="9994"/>
      </w:tblGrid>
      <w:tr>
        <w:tc>
          <w:tcPr>
            <w:tcW w:type="dxa" w:w="9994"/>
            <w:shd w:fill="F3F5F7" w:val="clear"/>
            <w:tcBorders>
              <w:top w:val="single" w:sz="6" w:color="9CA8B3"/>
              <w:left w:val="single" w:sz="6" w:color="9CA8B3"/>
              <w:bottom w:val="single" w:sz="6" w:color="9CA8B3"/>
              <w:right w:val="single" w:sz="6" w:color="9CA8B3"/>
            </w:tcBorders>
            <w:tcMar>
              <w:top w:w="110" w:type="dxa"/>
              <w:start w:w="150" w:type="dxa"/>
              <w:bottom w:w="110" w:type="dxa"/>
              <w:end w:w="150" w:type="dxa"/>
            </w:tcMar>
          </w:tcPr>
          <w:p>
            <w:pPr>
              <w:jc w:val="center"/>
            </w:pPr>
            <w:r>
              <w:rPr>
                <w:rFonts w:ascii="DejaVu Sans Mono" w:hAnsi="DejaVu Sans Mono"/>
                <w:color w:val="193E5D"/>
                <w:sz w:val="18"/>
              </w:rPr>
              <w:t>fold(epsilon) = identity       fold(t1 ++ t2) = fold(t1) combine fold(t2)</w:t>
            </w:r>
          </w:p>
          <w:p>
            <w:pPr>
              <w:jc w:val="center"/>
            </w:pPr>
            <w:r>
              <w:rPr>
                <w:rFonts w:ascii="Liberation Serif" w:hAnsi="Liberation Serif"/>
                <w:i/>
                <w:color w:val="586474"/>
                <w:sz w:val="17"/>
              </w:rPr>
              <w:t>Associative aggregation is the algebraic basis for streaming and parallel trace analysis.</w:t>
            </w:r>
          </w:p>
        </w:tc>
      </w:tr>
    </w:tbl>
    <w:p>
      <w:pPr>
        <w:spacing w:after="0"/>
      </w:pPr>
    </w:p>
    <w:p>
      <w:pPr>
        <w:spacing w:line="259" w:lineRule="auto" w:after="80"/>
        <w:ind w:firstLine="317"/>
      </w:pPr>
      <w:r>
        <w:rPr>
          <w:rFonts w:ascii="Liberation Serif" w:hAnsi="Liberation Serif"/>
          <w:color w:val="1F2937"/>
          <w:sz w:val="20"/>
        </w:rPr>
        <w:t>This is not only elegance. It lets the runtime use compact aggregations while an independent offline implementation checks the same result from a sampled or complete trace. It also identifies metrics that are not safely mergeable. Percentiles require sketches with stated error bounds; wall-clock inclusive time requires careful nesting and causal accounting; eviction or sampling changes the algebra and must be represented in metadata.</w:t>
      </w:r>
    </w:p>
    <w:p>
      <w:pPr>
        <w:pStyle w:val="Heading3"/>
      </w:pPr>
      <w:r>
        <w:rPr>
          <w:rFonts w:ascii="Liberation Sans" w:hAnsi="Liberation Sans"/>
          <w:b/>
          <w:color w:val="245C8A"/>
          <w:sz w:val="23"/>
        </w:rPr>
        <w:t>15.2 Semantic cost versus measured time</w:t>
      </w:r>
    </w:p>
    <w:p>
      <w:pPr>
        <w:spacing w:line="259" w:lineRule="auto" w:after="80"/>
        <w:ind w:firstLine="317"/>
      </w:pPr>
      <w:r>
        <w:rPr>
          <w:rFonts w:ascii="Liberation Serif" w:hAnsi="Liberation Serif"/>
          <w:color w:val="1F2937"/>
          <w:sz w:val="20"/>
        </w:rPr>
        <w:t>A cost semantics assigns abstract weights to semantic transitions. For example, one can count property operations, allocations, host crossings, Promise jobs, or selected abstract operations. The result is stable under many machine-level fluctuations and can support asymptotic or resource-contract reasoning. Measured elapsed time, by contrast, includes interpreter implementation, Go runtime scheduling, garbage collection, blocking host calls, and probe overhead.</w:t>
      </w:r>
    </w:p>
    <w:p>
      <w:pPr>
        <w:spacing w:line="259" w:lineRule="auto" w:after="80"/>
        <w:ind w:firstLine="317"/>
      </w:pPr>
      <w:r>
        <w:rPr>
          <w:rFonts w:ascii="Liberation Serif" w:hAnsi="Liberation Serif"/>
          <w:color w:val="1F2937"/>
          <w:sz w:val="20"/>
        </w:rPr>
        <w:t>Both are useful, but they answer different questions. A semantic cost model asks how much abstract work an execution performs. A performance profile asks how long the current implementation takes. Calibration can regress measured cost against semantic counts, but the document should not present one as the other. Goja's existing profiler already distinguishes execution time from CPU time and samples at interpreter instruction boundaries; semantic probes can complement it with operation-specific counts and causal host timings (Dop251 2026).</w:t>
      </w:r>
    </w:p>
    <w:p>
      <w:pPr>
        <w:pStyle w:val="Heading3"/>
      </w:pPr>
      <w:r>
        <w:rPr>
          <w:rFonts w:ascii="Liberation Sans" w:hAnsi="Liberation Sans"/>
          <w:b/>
          <w:color w:val="245C8A"/>
          <w:sz w:val="23"/>
        </w:rPr>
        <w:t>15.3 Weighted automata and resource monitors</w:t>
      </w:r>
    </w:p>
    <w:p>
      <w:pPr>
        <w:spacing w:line="259" w:lineRule="auto" w:after="80"/>
        <w:ind w:firstLine="317"/>
      </w:pPr>
      <w:r>
        <w:rPr>
          <w:rFonts w:ascii="Liberation Serif" w:hAnsi="Liberation Serif"/>
          <w:color w:val="1F2937"/>
          <w:sz w:val="20"/>
        </w:rPr>
        <w:t>Temporal monitors can be enriched with weights. A request protocol may accumulate bytes, allocations, or abstract gas while moving through states. Semirings and weighted automata provide a general language for combining path alternatives and sequential costs. A practical first version can use typed counters and histograms while retaining a formal interpretation as folds over labelled transitions.</w:t>
      </w:r>
    </w:p>
    <w:p>
      <w:pPr>
        <w:pStyle w:val="Heading3"/>
      </w:pPr>
      <w:r>
        <w:rPr>
          <w:rFonts w:ascii="Liberation Sans" w:hAnsi="Liberation Sans"/>
          <w:b/>
          <w:color w:val="245C8A"/>
          <w:sz w:val="23"/>
        </w:rPr>
        <w:t>15.4 Perturbation and experimental design</w:t>
      </w:r>
    </w:p>
    <w:p>
      <w:pPr>
        <w:spacing w:line="259" w:lineRule="auto" w:after="80"/>
        <w:ind w:firstLine="317"/>
      </w:pPr>
      <w:r>
        <w:rPr>
          <w:rFonts w:ascii="Liberation Serif" w:hAnsi="Liberation Serif"/>
          <w:color w:val="1F2937"/>
          <w:sz w:val="20"/>
        </w:rPr>
        <w:t>Instrumentation changes the system being measured. A no-op event branch changes instruction-cache behavior; observation allocation changes garbage collection; ring-buffer writes add synchronization or memory traffic; detailed timing changes scheduler interaction. Performance studies therefore need a tiered benchmark: uninstrumented, event machinery compiled but disabled, event family enabled with no attached probe, no-op probe, counter-only probe, contract probe, trace-emitting probe, and full offline export. Results should be reported per event family and workload class.</w:t>
      </w:r>
    </w:p>
    <w:p>
      <w:pPr>
        <w:pStyle w:val="Heading2"/>
      </w:pPr>
      <w:r>
        <w:rPr>
          <w:rFonts w:ascii="Liberation Sans" w:hAnsi="Liberation Sans"/>
          <w:b/>
          <w:color w:val="193E5D"/>
          <w:sz w:val="30"/>
        </w:rPr>
        <w:t>16. Observational equivalence and full abstraction</w:t>
      </w:r>
    </w:p>
    <w:p>
      <w:pPr>
        <w:spacing w:after="140" w:line="259" w:lineRule="auto"/>
      </w:pPr>
      <w:r>
        <w:rPr>
          <w:rFonts w:ascii="Liberation Serif" w:hAnsi="Liberation Serif"/>
          <w:i/>
          <w:color w:val="193E5D"/>
          <w:sz w:val="22"/>
        </w:rPr>
        <w:t>Adding probes creates new observers. The event capability determines which programs and implementations can be distinguished.</w:t>
      </w:r>
    </w:p>
    <w:p>
      <w:pPr>
        <w:pStyle w:val="Heading3"/>
      </w:pPr>
      <w:r>
        <w:rPr>
          <w:rFonts w:ascii="Liberation Sans" w:hAnsi="Liberation Sans"/>
          <w:b/>
          <w:color w:val="245C8A"/>
          <w:sz w:val="23"/>
        </w:rPr>
        <w:t>16.1 Contextual equivalence</w:t>
      </w:r>
    </w:p>
    <w:p>
      <w:pPr>
        <w:spacing w:line="259" w:lineRule="auto" w:after="80"/>
        <w:ind w:firstLine="317"/>
      </w:pPr>
      <w:r>
        <w:rPr>
          <w:rFonts w:ascii="Liberation Serif" w:hAnsi="Liberation Serif"/>
          <w:color w:val="1F2937"/>
          <w:sz w:val="20"/>
        </w:rPr>
        <w:t>Two programs are contextually equivalent when no admissible program context can distinguish them according to a chosen observation, such as termination or returned values. Operational theories use bisimulation, logical relations, or contextual reasoning to characterize such equivalences (Milner 1977; Plotkin 1977; Pitts 1997). A probe layer expands the class of observers beyond ordinary JavaScript contexts.</w:t>
      </w:r>
    </w:p>
    <w:p>
      <w:pPr>
        <w:spacing w:line="259" w:lineRule="auto" w:after="80"/>
        <w:ind w:firstLine="317"/>
      </w:pPr>
      <w:r>
        <w:rPr>
          <w:rFonts w:ascii="Liberation Serif" w:hAnsi="Liberation Serif"/>
          <w:color w:val="1F2937"/>
          <w:sz w:val="20"/>
        </w:rPr>
        <w:t>Consider two functions that return the same value but one calls a helper. A result-only JavaScript context may not distinguish them; a function-entry probe does. Two implementations may agree on source semantics but differ in allocation sites or bytecode instruction counts; an implementation probe distinguishes them. Therefore equivalence must be indexed by the event capability and observation helpers.</w:t>
      </w:r>
    </w:p>
    <w:tbl>
      <w:tblPr>
        <w:tblW w:type="auto" w:w="0"/>
        <w:jc w:val="center"/>
        <w:tblLayout w:type="autofit"/>
        <w:tblLook w:firstColumn="1" w:firstRow="1" w:lastColumn="0" w:lastRow="0" w:noHBand="0" w:noVBand="1" w:val="04A0"/>
      </w:tblPr>
      <w:tblGrid>
        <w:gridCol w:w="9994"/>
      </w:tblGrid>
      <w:tr>
        <w:tc>
          <w:tcPr>
            <w:tcW w:type="dxa" w:w="9994"/>
            <w:shd w:fill="F3F5F7" w:val="clear"/>
            <w:tcBorders>
              <w:top w:val="single" w:sz="6" w:color="9CA8B3"/>
              <w:left w:val="single" w:sz="6" w:color="9CA8B3"/>
              <w:bottom w:val="single" w:sz="6" w:color="9CA8B3"/>
              <w:right w:val="single" w:sz="6" w:color="9CA8B3"/>
            </w:tcBorders>
            <w:tcMar>
              <w:top w:w="110" w:type="dxa"/>
              <w:start w:w="150" w:type="dxa"/>
              <w:bottom w:w="110" w:type="dxa"/>
              <w:end w:w="150" w:type="dxa"/>
            </w:tcMar>
          </w:tcPr>
          <w:p>
            <w:pPr>
              <w:jc w:val="center"/>
            </w:pPr>
            <w:r>
              <w:rPr>
                <w:rFonts w:ascii="DejaVu Sans Mono" w:hAnsi="DejaVu Sans Mono"/>
                <w:color w:val="193E5D"/>
                <w:sz w:val="18"/>
              </w:rPr>
              <w:t>p ~=_JS q   does not necessarily imply   p ~=_ProbeCapability q</w:t>
            </w:r>
          </w:p>
          <w:p>
            <w:pPr>
              <w:jc w:val="center"/>
            </w:pPr>
            <w:r>
              <w:rPr>
                <w:rFonts w:ascii="Liberation Serif" w:hAnsi="Liberation Serif"/>
                <w:i/>
                <w:color w:val="586474"/>
                <w:sz w:val="17"/>
              </w:rPr>
              <w:t>A stronger observer induces a finer equivalence relation.</w:t>
            </w:r>
          </w:p>
        </w:tc>
      </w:tr>
    </w:tbl>
    <w:p>
      <w:pPr>
        <w:spacing w:after="0"/>
      </w:pPr>
    </w:p>
    <w:p>
      <w:pPr>
        <w:pStyle w:val="Heading3"/>
      </w:pPr>
      <w:r>
        <w:rPr>
          <w:rFonts w:ascii="Liberation Sans" w:hAnsi="Liberation Sans"/>
          <w:b/>
          <w:color w:val="245C8A"/>
          <w:sz w:val="23"/>
        </w:rPr>
        <w:t>16.2 Full abstraction</w:t>
      </w:r>
    </w:p>
    <w:p>
      <w:pPr>
        <w:spacing w:line="259" w:lineRule="auto" w:after="80"/>
        <w:ind w:firstLine="317"/>
      </w:pPr>
      <w:r>
        <w:rPr>
          <w:rFonts w:ascii="Liberation Serif" w:hAnsi="Liberation Serif"/>
          <w:color w:val="1F2937"/>
          <w:sz w:val="20"/>
        </w:rPr>
        <w:t>A semantic model is fully abstract when denotational equality coincides with contextual equivalence: the model identifies exactly the programs that no allowed context can distinguish. For semantic probes, a research question is capability-indexed full abstraction. Given an event alphabet and helper set, can one characterize the contextual observations available to probes, and does a trace or interaction-tree model distinguish exactly those behaviors? Milner's and Plotkin's classic work supplies the conceptual standard, even though JavaScript and host effects make the problem substantially harder (Milner 1977; Plotkin 1977).</w:t>
      </w:r>
    </w:p>
    <w:p>
      <w:pPr>
        <w:pStyle w:val="Heading3"/>
      </w:pPr>
      <w:r>
        <w:rPr>
          <w:rFonts w:ascii="Liberation Sans" w:hAnsi="Liberation Sans"/>
          <w:b/>
          <w:color w:val="245C8A"/>
          <w:sz w:val="23"/>
        </w:rPr>
        <w:t>16.3 Representation independence and opacity</w:t>
      </w:r>
    </w:p>
    <w:p>
      <w:pPr>
        <w:spacing w:line="259" w:lineRule="auto" w:after="80"/>
        <w:ind w:firstLine="317"/>
      </w:pPr>
      <w:r>
        <w:rPr>
          <w:rFonts w:ascii="Liberation Serif" w:hAnsi="Liberation Serif"/>
          <w:color w:val="1F2937"/>
          <w:sz w:val="20"/>
        </w:rPr>
        <w:t>Opaque value handles protect both safety and abstraction. If a probe can read stack indexes, object layout, pointer addresses, or hidden slots, implementation refactoring changes program observations and destroys representation independence. Language-semantic helpers should expose only operations justified by the selected observation model. Implementation-intensional capabilities may expose more, but the resulting probes must be version-pinned and excluded from source-level equivalence claims.</w:t>
      </w:r>
    </w:p>
    <w:p>
      <w:pPr>
        <w:pStyle w:val="Heading3"/>
      </w:pPr>
      <w:r>
        <w:rPr>
          <w:rFonts w:ascii="Liberation Sans" w:hAnsi="Liberation Sans"/>
          <w:b/>
          <w:color w:val="245C8A"/>
          <w:sz w:val="23"/>
        </w:rPr>
        <w:t>16.4 Event minimization as a design problem</w:t>
      </w:r>
    </w:p>
    <w:p>
      <w:pPr>
        <w:spacing w:line="259" w:lineRule="auto" w:after="80"/>
        <w:ind w:firstLine="317"/>
      </w:pPr>
      <w:r>
        <w:rPr>
          <w:rFonts w:ascii="Liberation Serif" w:hAnsi="Liberation Serif"/>
          <w:color w:val="1F2937"/>
          <w:sz w:val="20"/>
        </w:rPr>
        <w:t>The ideal event ABI is not maximal. Every event increases overhead, trusted code, versioning burden, and observational power. The design problem is to find a sufficient basis from which common analyses can be derived without revealing unstable details. Calls, completions, object effects, jobs, and host boundaries may form such a basis; instruction and allocation events can remain optional tiers. Formal distinguishability results can guide this minimization rather than relying only on intuition.</w:t>
      </w:r>
    </w:p>
    <w:tbl>
      <w:tblPr>
        <w:tblW w:type="auto" w:w="0"/>
        <w:jc w:val="center"/>
        <w:tblLook w:firstColumn="1" w:firstRow="1" w:lastColumn="0" w:lastRow="0" w:noHBand="0" w:noVBand="1" w:val="04A0"/>
      </w:tblPr>
      <w:tblGrid>
        <w:gridCol w:w="9994"/>
      </w:tblGrid>
      <w:tr>
        <w:tc>
          <w:tcPr>
            <w:tcW w:type="dxa" w:w="9994"/>
            <w:shd w:fill="E8F0F7" w:val="clear"/>
            <w:tcBorders>
              <w:top w:val="single" w:sz="8" w:color="245C8A"/>
              <w:left w:val="single" w:sz="8" w:color="245C8A"/>
              <w:bottom w:val="single" w:sz="8" w:color="245C8A"/>
              <w:right w:val="single" w:sz="8" w:color="245C8A"/>
            </w:tcBorders>
            <w:tcMar>
              <w:top w:w="110" w:type="dxa"/>
              <w:start w:w="150" w:type="dxa"/>
              <w:bottom w:w="110" w:type="dxa"/>
              <w:end w:w="150" w:type="dxa"/>
            </w:tcMar>
          </w:tcPr>
          <w:p>
            <w:pPr>
              <w:spacing w:after="60"/>
            </w:pPr>
            <w:r>
              <w:rPr>
                <w:rFonts w:ascii="Liberation Sans" w:hAnsi="Liberation Sans"/>
                <w:b/>
                <w:color w:val="193E5D"/>
                <w:sz w:val="17"/>
              </w:rPr>
              <w:t>RESEARCH GROUNDING  |  Research opportunity</w:t>
            </w:r>
          </w:p>
          <w:p>
            <w:pPr>
              <w:spacing w:after="40" w:line="247" w:lineRule="auto"/>
            </w:pPr>
            <w:r>
              <w:rPr>
                <w:rFonts w:ascii="Liberation Serif" w:hAnsi="Liberation Serif"/>
                <w:color w:val="1F2937"/>
                <w:sz w:val="18"/>
              </w:rPr>
              <w:t>Define a family of probe capabilities and characterize the induced observational equivalences. This turns event-schema design into a full-abstraction and representation-independence problem rather than an ad hoc logging decision.</w:t>
            </w:r>
          </w:p>
        </w:tc>
      </w:tr>
    </w:tbl>
    <w:p>
      <w:pPr>
        <w:spacing w:after="0"/>
      </w:pPr>
    </w:p>
    <w:p>
      <w:r>
        <w:br w:type="page"/>
      </w:r>
    </w:p>
    <w:p>
      <w:pPr>
        <w:pStyle w:val="Heading1"/>
        <w:spacing w:before="0" w:after="160"/>
      </w:pPr>
      <w:r>
        <w:rPr>
          <w:rFonts w:ascii="Liberation Sans" w:hAnsi="Liberation Sans"/>
          <w:b/>
          <w:color w:val="193E5D"/>
          <w:sz w:val="40"/>
        </w:rPr>
        <w:t>Part IV. Verified probe execution</w:t>
      </w:r>
    </w:p>
    <w:p>
      <w:pPr>
        <w:spacing w:after="320"/>
      </w:pPr>
      <w:r>
        <w:rPr>
          <w:rFonts w:ascii="Liberation Serif" w:hAnsi="Liberation Serif"/>
          <w:i/>
          <w:color w:val="586474"/>
          <w:sz w:val="22"/>
        </w:rPr>
        <w:t>A safe extension architecture for running analyses inside the interpreter without exposing raw VM authority.</w:t>
      </w:r>
    </w:p>
    <w:p>
      <w:pPr>
        <w:pStyle w:val="Heading2"/>
      </w:pPr>
      <w:r>
        <w:rPr>
          <w:rFonts w:ascii="Liberation Sans" w:hAnsi="Liberation Sans"/>
          <w:b/>
          <w:color w:val="193E5D"/>
          <w:sz w:val="30"/>
        </w:rPr>
        <w:t>17. A restricted probe IR and verifier</w:t>
      </w:r>
    </w:p>
    <w:p>
      <w:pPr>
        <w:spacing w:after="140" w:line="259" w:lineRule="auto"/>
      </w:pPr>
      <w:r>
        <w:rPr>
          <w:rFonts w:ascii="Liberation Serif" w:hAnsi="Liberation Serif"/>
          <w:i/>
          <w:color w:val="193E5D"/>
          <w:sz w:val="22"/>
        </w:rPr>
        <w:t>The probe language should be expressive enough for monitors and metrics, but deliberately weaker than JavaScript.</w:t>
      </w:r>
    </w:p>
    <w:p>
      <w:pPr>
        <w:pStyle w:val="Heading3"/>
      </w:pPr>
      <w:r>
        <w:rPr>
          <w:rFonts w:ascii="Liberation Sans" w:hAnsi="Liberation Sans"/>
          <w:b/>
          <w:color w:val="245C8A"/>
          <w:sz w:val="23"/>
        </w:rPr>
        <w:t>17.1 Why probes should not be ordinary JavaScript</w:t>
      </w:r>
    </w:p>
    <w:p>
      <w:pPr>
        <w:spacing w:line="259" w:lineRule="auto" w:after="80"/>
        <w:ind w:firstLine="317"/>
      </w:pPr>
      <w:r>
        <w:rPr>
          <w:rFonts w:ascii="Liberation Serif" w:hAnsi="Liberation Serif"/>
          <w:color w:val="1F2937"/>
          <w:sz w:val="20"/>
        </w:rPr>
        <w:t>Calling JavaScript at every semantic event would re-enter the interpreter, allocate objects, invoke getters or proxies, throw exceptions, schedule jobs, access host modules, and execute without a useful static bound. The monitor would become part of the program's dynamic semantics and could recursively trigger itself. Such callbacks are appropriate for a debugging mode, not for a safe, low-overhead, proof-oriented substrate.</w:t>
      </w:r>
    </w:p>
    <w:p>
      <w:pPr>
        <w:spacing w:line="259" w:lineRule="auto" w:after="80"/>
        <w:ind w:firstLine="317"/>
      </w:pPr>
      <w:r>
        <w:rPr>
          <w:rFonts w:ascii="Liberation Serif" w:hAnsi="Liberation Serif"/>
          <w:color w:val="1F2937"/>
          <w:sz w:val="20"/>
        </w:rPr>
        <w:t>A dedicated IR allows the system to control instruction count, stack depth, memory retention, helper effects, branch structure, event emission, and map access. It also makes the probe portable across source syntaxes: users can write a JavaScript-like DSL, a declarative automaton, a contract language, or generated code, all compiling to the same small checked representation.</w:t>
      </w:r>
    </w:p>
    <w:p>
      <w:pPr>
        <w:pStyle w:val="Heading3"/>
      </w:pPr>
      <w:r>
        <w:rPr>
          <w:rFonts w:ascii="Liberation Sans" w:hAnsi="Liberation Sans"/>
          <w:b/>
          <w:color w:val="245C8A"/>
          <w:sz w:val="23"/>
        </w:rPr>
        <w:t>17.2 Core types and values</w:t>
      </w:r>
    </w:p>
    <w:p>
      <w:pPr>
        <w:spacing w:line="259" w:lineRule="auto" w:after="80"/>
        <w:ind w:firstLine="317"/>
      </w:pPr>
      <w:r>
        <w:rPr>
          <w:rFonts w:ascii="Liberation Serif" w:hAnsi="Liberation Serif"/>
          <w:color w:val="1F2937"/>
          <w:sz w:val="20"/>
        </w:rPr>
        <w:t>A first IR needs primitive integers, booleans, bounded byte strings or hashes, event and site IDs, opaque value handles, map references, and fixed-size tuples. It should avoid general heap allocation, recursive data, closures, and unbounded strings. Value handles are affine or borrowed: they are valid only during the current event unless converted to a stable primitive, identity token, or bounded snapshot.</w:t>
      </w:r>
    </w:p>
    <w:p>
      <w:pPr>
        <w:spacing w:after="40"/>
        <w:keepNext/>
      </w:pPr>
      <w:r>
        <w:rPr>
          <w:rFonts w:ascii="Liberation Sans" w:hAnsi="Liberation Sans"/>
          <w:b/>
          <w:color w:val="193E5D"/>
          <w:sz w:val="17"/>
        </w:rPr>
        <w:t>Illustrative probe types and instructions. The exact set should be smaller in the first implementation.</w:t>
      </w:r>
    </w:p>
    <w:tbl>
      <w:tblPr>
        <w:tblW w:type="auto" w:w="0"/>
        <w:jc w:val="center"/>
        <w:tblLook w:firstColumn="1" w:firstRow="1" w:lastColumn="0" w:lastRow="0" w:noHBand="0" w:noVBand="1" w:val="04A0"/>
      </w:tblPr>
      <w:tblGrid>
        <w:gridCol w:w="9994"/>
      </w:tblGrid>
      <w:tr>
        <w:tc>
          <w:tcPr>
            <w:tcW w:type="dxa" w:w="9994"/>
            <w:shd w:fill="F7F8FA" w:val="clear"/>
            <w:tcBorders>
              <w:top w:val="single" w:sz="5" w:color="CBD3DA"/>
              <w:left w:val="single" w:sz="5" w:color="CBD3DA"/>
              <w:bottom w:val="single" w:sz="5" w:color="CBD3DA"/>
              <w:right w:val="single" w:sz="5" w:color="CBD3DA"/>
            </w:tcBorders>
            <w:tcMar>
              <w:top w:w="110" w:type="dxa"/>
              <w:start w:w="130" w:type="dxa"/>
              <w:bottom w:w="110" w:type="dxa"/>
              <w:end w:w="130" w:type="dxa"/>
            </w:tcMar>
          </w:tcPr>
          <w:p>
            <w:pPr>
              <w:spacing w:after="0" w:line="240" w:lineRule="auto"/>
            </w:pPr>
            <w:r>
              <w:rPr>
                <w:rFonts w:ascii="DejaVu Sans Mono" w:hAnsi="DejaVu Sans Mono"/>
                <w:color w:val="263442"/>
                <w:sz w:val="16"/>
              </w:rPr>
              <w:t>type Ty =</w:t>
              <w:br/>
              <w:t xml:space="preserve">    I64 | U64 | Bool | SiteID | FunctionID | FrameID |</w:t>
              <w:br/>
              <w:t xml:space="preserve">    ValueHandle&lt;EventLifetime&gt; |</w:t>
              <w:br/>
              <w:t xml:space="preserve">    MapRef&lt;KeyTy, ValueTy&gt; |</w:t>
              <w:br/>
              <w:t xml:space="preserve">    Bytes&lt;N&gt;</w:t>
              <w:br/>
              <w:br/>
              <w:t>instruction examples:</w:t>
              <w:br/>
              <w:t xml:space="preserve">    const_i64, add_i64, cmp_lt, branch</w:t>
              <w:br/>
              <w:t xml:space="preserve">    arg_count, arg_handle, result_handle</w:t>
              <w:br/>
              <w:t xml:space="preserve">    value_typeof, value_i64, object_id</w:t>
              <w:br/>
              <w:t xml:space="preserve">    own_data_property</w:t>
              <w:br/>
              <w:t xml:space="preserve">    map_lookup, map_update, counter_add</w:t>
              <w:br/>
              <w:t xml:space="preserve">    emit_bounded, violation</w:t>
            </w:r>
          </w:p>
        </w:tc>
      </w:tr>
    </w:tbl>
    <w:p>
      <w:pPr>
        <w:spacing w:after="0"/>
      </w:pPr>
    </w:p>
    <w:p>
      <w:pPr>
        <w:pStyle w:val="Heading3"/>
      </w:pPr>
      <w:r>
        <w:rPr>
          <w:rFonts w:ascii="Liberation Sans" w:hAnsi="Liberation Sans"/>
          <w:b/>
          <w:color w:val="245C8A"/>
          <w:sz w:val="23"/>
        </w:rPr>
        <w:t>17.3 Verifier obligations</w:t>
      </w:r>
    </w:p>
    <w:p>
      <w:pPr>
        <w:spacing w:line="259" w:lineRule="auto" w:after="80"/>
        <w:ind w:firstLine="317"/>
      </w:pPr>
      <w:r>
        <w:rPr>
          <w:rFonts w:ascii="Liberation Serif" w:hAnsi="Liberation Serif"/>
          <w:color w:val="1F2937"/>
          <w:sz w:val="20"/>
        </w:rPr>
        <w:t>The verifier should establish register initialization, type consistency across control-flow joins, stack bounds, map key and value schemas, helper signatures, event-phase validity, handle lifetime, maximum instruction count, maximum emitted bytes, maximum map growth, and capability compliance. Version 1 can reject loops and recursion. Later versions may admit statically bounded loops, but verifier complexity and worst-case path exploration should be measured, as eBPF experience shows that boundedness alone does not make verification cheap (Linux Kernel Documentation 2026).</w:t>
      </w:r>
    </w:p>
    <w:p>
      <w:pPr>
        <w:spacing w:after="60"/>
        <w:keepNext/>
      </w:pPr>
      <w:r>
        <w:rPr>
          <w:rFonts w:ascii="Liberation Sans" w:hAnsi="Liberation Sans"/>
          <w:b/>
          <w:color w:val="193E5D"/>
          <w:sz w:val="18"/>
        </w:rPr>
        <w:t>Table 8. Representative probe-verifier checks.</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1800"/>
            <w:shd w:fill="245C8A" w:val="clear"/>
            <w:tcMar>
              <w:top w:w="70" w:type="dxa"/>
              <w:start w:w="80" w:type="dxa"/>
              <w:bottom w:w="70" w:type="dxa"/>
              <w:end w:w="80" w:type="dxa"/>
            </w:tcMar>
            <w:vAlign w:val="center"/>
          </w:tcPr>
          <w:p>
            <w:pPr>
              <w:jc w:val="left"/>
            </w:pPr>
            <w:r>
              <w:rPr>
                <w:rFonts w:ascii="Liberation Sans" w:hAnsi="Liberation Sans"/>
                <w:b/>
                <w:color w:val="FFFFFF"/>
                <w:sz w:val="17"/>
              </w:rPr>
              <w:t>Verifier domain</w:t>
            </w:r>
          </w:p>
        </w:tc>
        <w:tc>
          <w:tcPr>
            <w:tcW w:type="dxa" w:w="4536"/>
            <w:shd w:fill="245C8A" w:val="clear"/>
            <w:tcMar>
              <w:top w:w="70" w:type="dxa"/>
              <w:start w:w="80" w:type="dxa"/>
              <w:bottom w:w="70" w:type="dxa"/>
              <w:end w:w="80" w:type="dxa"/>
            </w:tcMar>
            <w:vAlign w:val="center"/>
          </w:tcPr>
          <w:p>
            <w:pPr>
              <w:jc w:val="left"/>
            </w:pPr>
            <w:r>
              <w:rPr>
                <w:rFonts w:ascii="Liberation Sans" w:hAnsi="Liberation Sans"/>
                <w:b/>
                <w:color w:val="FFFFFF"/>
                <w:sz w:val="17"/>
              </w:rPr>
              <w:t>Example rule</w:t>
            </w:r>
          </w:p>
        </w:tc>
        <w:tc>
          <w:tcPr>
            <w:tcW w:type="dxa" w:w="3600"/>
            <w:shd w:fill="245C8A" w:val="clear"/>
            <w:tcMar>
              <w:top w:w="70" w:type="dxa"/>
              <w:start w:w="80" w:type="dxa"/>
              <w:bottom w:w="70" w:type="dxa"/>
              <w:end w:w="80" w:type="dxa"/>
            </w:tcMar>
            <w:vAlign w:val="center"/>
          </w:tcPr>
          <w:p>
            <w:pPr>
              <w:jc w:val="left"/>
            </w:pPr>
            <w:r>
              <w:rPr>
                <w:rFonts w:ascii="Liberation Sans" w:hAnsi="Liberation Sans"/>
                <w:b/>
                <w:color w:val="FFFFFF"/>
                <w:sz w:val="17"/>
              </w:rPr>
              <w:t>Failure prevented</w:t>
            </w:r>
          </w:p>
        </w:tc>
      </w:tr>
      <w:tr>
        <w:trPr>
          <w:cantSplit/>
        </w:trPr>
        <w:tc>
          <w:tcPr>
            <w:tcW w:type="dxa" w:w="1800"/>
            <w:tcMar>
              <w:top w:w="65" w:type="dxa"/>
              <w:start w:w="80" w:type="dxa"/>
              <w:bottom w:w="65" w:type="dxa"/>
              <w:end w:w="80" w:type="dxa"/>
            </w:tcMar>
            <w:vAlign w:val="top"/>
          </w:tcPr>
          <w:p>
            <w:pPr>
              <w:spacing w:after="0" w:line="240" w:lineRule="auto"/>
            </w:pPr>
            <w:r>
              <w:rPr>
                <w:rFonts w:ascii="Liberation Serif" w:hAnsi="Liberation Serif"/>
                <w:color w:val="1F2937"/>
                <w:sz w:val="17"/>
              </w:rPr>
              <w:t>Register types</w:t>
            </w:r>
          </w:p>
        </w:tc>
        <w:tc>
          <w:tcPr>
            <w:tcW w:type="dxa" w:w="4536"/>
            <w:tcMar>
              <w:top w:w="65" w:type="dxa"/>
              <w:start w:w="80" w:type="dxa"/>
              <w:bottom w:w="65" w:type="dxa"/>
              <w:end w:w="80" w:type="dxa"/>
            </w:tcMar>
            <w:vAlign w:val="top"/>
          </w:tcPr>
          <w:p>
            <w:pPr>
              <w:spacing w:after="0" w:line="240" w:lineRule="auto"/>
            </w:pPr>
            <w:r>
              <w:rPr>
                <w:rFonts w:ascii="Liberation Serif" w:hAnsi="Liberation Serif"/>
                <w:color w:val="1F2937"/>
                <w:sz w:val="17"/>
              </w:rPr>
              <w:t>A value-handle register cannot be consumed by integer addition.</w:t>
            </w:r>
          </w:p>
        </w:tc>
        <w:tc>
          <w:tcPr>
            <w:tcW w:type="dxa" w:w="3600"/>
            <w:tcMar>
              <w:top w:w="65" w:type="dxa"/>
              <w:start w:w="80" w:type="dxa"/>
              <w:bottom w:w="65" w:type="dxa"/>
              <w:end w:w="80" w:type="dxa"/>
            </w:tcMar>
            <w:vAlign w:val="top"/>
          </w:tcPr>
          <w:p>
            <w:pPr>
              <w:spacing w:after="0" w:line="240" w:lineRule="auto"/>
            </w:pPr>
            <w:r>
              <w:rPr>
                <w:rFonts w:ascii="Liberation Serif" w:hAnsi="Liberation Serif"/>
                <w:color w:val="1F2937"/>
                <w:sz w:val="17"/>
              </w:rPr>
              <w:t>Memory confusion and undefined helper inputs.</w:t>
            </w:r>
          </w:p>
        </w:tc>
      </w:tr>
      <w:tr>
        <w:trPr>
          <w:cantSplit/>
        </w:trPr>
        <w:tc>
          <w:tcPr>
            <w:tcW w:type="dxa" w:w="1800"/>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Control-flow joins</w:t>
            </w:r>
          </w:p>
        </w:tc>
        <w:tc>
          <w:tcPr>
            <w:tcW w:type="dxa" w:w="4536"/>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All incoming paths agree on register initialization and compatible types.</w:t>
            </w:r>
          </w:p>
        </w:tc>
        <w:tc>
          <w:tcPr>
            <w:tcW w:type="dxa" w:w="3600"/>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Path-dependent use of uninitialized state.</w:t>
            </w:r>
          </w:p>
        </w:tc>
      </w:tr>
      <w:tr>
        <w:trPr>
          <w:cantSplit/>
        </w:trPr>
        <w:tc>
          <w:tcPr>
            <w:tcW w:type="dxa" w:w="1800"/>
            <w:tcMar>
              <w:top w:w="65" w:type="dxa"/>
              <w:start w:w="80" w:type="dxa"/>
              <w:bottom w:w="65" w:type="dxa"/>
              <w:end w:w="80" w:type="dxa"/>
            </w:tcMar>
            <w:vAlign w:val="top"/>
          </w:tcPr>
          <w:p>
            <w:pPr>
              <w:spacing w:after="0" w:line="240" w:lineRule="auto"/>
            </w:pPr>
            <w:r>
              <w:rPr>
                <w:rFonts w:ascii="Liberation Serif" w:hAnsi="Liberation Serif"/>
                <w:color w:val="1F2937"/>
                <w:sz w:val="17"/>
              </w:rPr>
              <w:t>Event phase</w:t>
            </w:r>
          </w:p>
        </w:tc>
        <w:tc>
          <w:tcPr>
            <w:tcW w:type="dxa" w:w="4536"/>
            <w:tcMar>
              <w:top w:w="65" w:type="dxa"/>
              <w:start w:w="80" w:type="dxa"/>
              <w:bottom w:w="65" w:type="dxa"/>
              <w:end w:w="80" w:type="dxa"/>
            </w:tcMar>
            <w:vAlign w:val="top"/>
          </w:tcPr>
          <w:p>
            <w:pPr>
              <w:spacing w:after="0" w:line="240" w:lineRule="auto"/>
            </w:pPr>
            <w:r>
              <w:rPr>
                <w:rFonts w:ascii="Liberation Serif" w:hAnsi="Liberation Serif"/>
                <w:color w:val="1F2937"/>
                <w:sz w:val="17"/>
              </w:rPr>
              <w:t>result_handle is valid only on return/after events.</w:t>
            </w:r>
          </w:p>
        </w:tc>
        <w:tc>
          <w:tcPr>
            <w:tcW w:type="dxa" w:w="3600"/>
            <w:tcMar>
              <w:top w:w="65" w:type="dxa"/>
              <w:start w:w="80" w:type="dxa"/>
              <w:bottom w:w="65" w:type="dxa"/>
              <w:end w:w="80" w:type="dxa"/>
            </w:tcMar>
            <w:vAlign w:val="top"/>
          </w:tcPr>
          <w:p>
            <w:pPr>
              <w:spacing w:after="0" w:line="240" w:lineRule="auto"/>
            </w:pPr>
            <w:r>
              <w:rPr>
                <w:rFonts w:ascii="Liberation Serif" w:hAnsi="Liberation Serif"/>
                <w:color w:val="1F2937"/>
                <w:sz w:val="17"/>
              </w:rPr>
              <w:t>Reading a stack location before the result exists.</w:t>
            </w:r>
          </w:p>
        </w:tc>
      </w:tr>
      <w:tr>
        <w:trPr>
          <w:cantSplit/>
        </w:trPr>
        <w:tc>
          <w:tcPr>
            <w:tcW w:type="dxa" w:w="1800"/>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Lifetimes</w:t>
            </w:r>
          </w:p>
        </w:tc>
        <w:tc>
          <w:tcPr>
            <w:tcW w:type="dxa" w:w="4536"/>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Borrowed handles cannot be stored in persistent maps.</w:t>
            </w:r>
          </w:p>
        </w:tc>
        <w:tc>
          <w:tcPr>
            <w:tcW w:type="dxa" w:w="3600"/>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Retention of VM objects and use-after-event.</w:t>
            </w:r>
          </w:p>
        </w:tc>
      </w:tr>
      <w:tr>
        <w:trPr>
          <w:cantSplit/>
        </w:trPr>
        <w:tc>
          <w:tcPr>
            <w:tcW w:type="dxa" w:w="1800"/>
            <w:tcMar>
              <w:top w:w="65" w:type="dxa"/>
              <w:start w:w="80" w:type="dxa"/>
              <w:bottom w:w="65" w:type="dxa"/>
              <w:end w:w="80" w:type="dxa"/>
            </w:tcMar>
            <w:vAlign w:val="top"/>
          </w:tcPr>
          <w:p>
            <w:pPr>
              <w:spacing w:after="0" w:line="240" w:lineRule="auto"/>
            </w:pPr>
            <w:r>
              <w:rPr>
                <w:rFonts w:ascii="Liberation Serif" w:hAnsi="Liberation Serif"/>
                <w:color w:val="1F2937"/>
                <w:sz w:val="17"/>
              </w:rPr>
              <w:t>Resources</w:t>
            </w:r>
          </w:p>
        </w:tc>
        <w:tc>
          <w:tcPr>
            <w:tcW w:type="dxa" w:w="4536"/>
            <w:tcMar>
              <w:top w:w="65" w:type="dxa"/>
              <w:start w:w="80" w:type="dxa"/>
              <w:bottom w:w="65" w:type="dxa"/>
              <w:end w:w="80" w:type="dxa"/>
            </w:tcMar>
            <w:vAlign w:val="top"/>
          </w:tcPr>
          <w:p>
            <w:pPr>
              <w:spacing w:after="0" w:line="240" w:lineRule="auto"/>
            </w:pPr>
            <w:r>
              <w:rPr>
                <w:rFonts w:ascii="Liberation Serif" w:hAnsi="Liberation Serif"/>
                <w:color w:val="1F2937"/>
                <w:sz w:val="17"/>
              </w:rPr>
              <w:t>Instruction, helper, emission, and state budgets have static or checked bounds.</w:t>
            </w:r>
          </w:p>
        </w:tc>
        <w:tc>
          <w:tcPr>
            <w:tcW w:type="dxa" w:w="3600"/>
            <w:tcMar>
              <w:top w:w="65" w:type="dxa"/>
              <w:start w:w="80" w:type="dxa"/>
              <w:bottom w:w="65" w:type="dxa"/>
              <w:end w:w="80" w:type="dxa"/>
            </w:tcMar>
            <w:vAlign w:val="top"/>
          </w:tcPr>
          <w:p>
            <w:pPr>
              <w:spacing w:after="0" w:line="240" w:lineRule="auto"/>
            </w:pPr>
            <w:r>
              <w:rPr>
                <w:rFonts w:ascii="Liberation Serif" w:hAnsi="Liberation Serif"/>
                <w:color w:val="1F2937"/>
                <w:sz w:val="17"/>
              </w:rPr>
              <w:t>Interpreter starvation and unbounded memory use.</w:t>
            </w:r>
          </w:p>
        </w:tc>
      </w:tr>
      <w:tr>
        <w:trPr>
          <w:cantSplit/>
        </w:trPr>
        <w:tc>
          <w:tcPr>
            <w:tcW w:type="dxa" w:w="1800"/>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Capabilities</w:t>
            </w:r>
          </w:p>
        </w:tc>
        <w:tc>
          <w:tcPr>
            <w:tcW w:type="dxa" w:w="4536"/>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Effectful helpers require an intervention or debugging capability.</w:t>
            </w:r>
          </w:p>
        </w:tc>
        <w:tc>
          <w:tcPr>
            <w:tcW w:type="dxa" w:w="3600"/>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Accidental mutation or reentrant JavaScript execution.</w:t>
            </w:r>
          </w:p>
        </w:tc>
      </w:tr>
    </w:tbl>
    <w:p>
      <w:pPr>
        <w:spacing w:after="0"/>
      </w:pPr>
    </w:p>
    <w:p>
      <w:pPr>
        <w:pStyle w:val="Heading3"/>
      </w:pPr>
      <w:r>
        <w:rPr>
          <w:rFonts w:ascii="Liberation Sans" w:hAnsi="Liberation Sans"/>
          <w:b/>
          <w:color w:val="245C8A"/>
          <w:sz w:val="23"/>
        </w:rPr>
        <w:t>17.4 Abstract interpretation inside the verifier</w:t>
      </w:r>
    </w:p>
    <w:p>
      <w:pPr>
        <w:spacing w:line="259" w:lineRule="auto" w:after="80"/>
        <w:ind w:firstLine="317"/>
      </w:pPr>
      <w:r>
        <w:rPr>
          <w:rFonts w:ascii="Liberation Serif" w:hAnsi="Liberation Serif"/>
          <w:color w:val="1F2937"/>
          <w:sz w:val="20"/>
        </w:rPr>
        <w:t>A practical verifier is itself an abstract interpreter. It propagates abstract register types, value ranges, handle provenance, and resource counters over the probe control-flow graph until a fixpoint or acyclic completion. The verifier need not prove the JavaScript property; it proves a safety policy about the probe machine. This follows the broader principle that static verification can be a small abstract semantics for extension code (Cousot and Cousot 1977; Cousot 2021).</w:t>
      </w:r>
    </w:p>
    <w:p>
      <w:pPr>
        <w:pStyle w:val="Heading3"/>
      </w:pPr>
      <w:r>
        <w:rPr>
          <w:rFonts w:ascii="Liberation Sans" w:hAnsi="Liberation Sans"/>
          <w:b/>
          <w:color w:val="245C8A"/>
          <w:sz w:val="23"/>
        </w:rPr>
        <w:t>17.5 Proof-carrying variants</w:t>
      </w:r>
    </w:p>
    <w:p>
      <w:pPr>
        <w:spacing w:line="259" w:lineRule="auto" w:after="80"/>
        <w:ind w:firstLine="317"/>
      </w:pPr>
      <w:r>
        <w:rPr>
          <w:rFonts w:ascii="Liberation Serif" w:hAnsi="Liberation Serif"/>
          <w:color w:val="1F2937"/>
          <w:sz w:val="20"/>
        </w:rPr>
        <w:t>A later design could allow a producer to supply a proof certificate for richer probe code. The runtime checks the certificate using a smaller validator, following proof-carrying code. Typed assembly language suggests another route: encode safety invariants in the IR type system so that type checking replaces more complex analysis (Necula 1997; Morrisett et al. 1999). The engineering trade-off is between a simple restrictive verifier and a richer certificate format with a more complex toolchain.</w:t>
      </w:r>
    </w:p>
    <w:p>
      <w:pPr>
        <w:pStyle w:val="Heading2"/>
      </w:pPr>
      <w:r>
        <w:rPr>
          <w:rFonts w:ascii="Liberation Sans" w:hAnsi="Liberation Sans"/>
          <w:b/>
          <w:color w:val="193E5D"/>
          <w:sz w:val="30"/>
        </w:rPr>
        <w:t>18. Opaque handles and effect-controlled state projection</w:t>
      </w:r>
    </w:p>
    <w:p>
      <w:pPr>
        <w:spacing w:after="140" w:line="259" w:lineRule="auto"/>
      </w:pPr>
      <w:r>
        <w:rPr>
          <w:rFonts w:ascii="Liberation Serif" w:hAnsi="Liberation Serif"/>
          <w:i/>
          <w:color w:val="193E5D"/>
          <w:sz w:val="22"/>
        </w:rPr>
        <w:t>The state interface is where semantic precision, non-interference, memory safety, and performance meet.</w:t>
      </w:r>
    </w:p>
    <w:p>
      <w:pPr>
        <w:pStyle w:val="Heading3"/>
      </w:pPr>
      <w:r>
        <w:rPr>
          <w:rFonts w:ascii="Liberation Sans" w:hAnsi="Liberation Sans"/>
          <w:b/>
          <w:color w:val="245C8A"/>
          <w:sz w:val="23"/>
        </w:rPr>
        <w:t>18.1 Borrowed observations</w:t>
      </w:r>
    </w:p>
    <w:p>
      <w:pPr>
        <w:spacing w:line="259" w:lineRule="auto" w:after="80"/>
        <w:ind w:firstLine="317"/>
      </w:pPr>
      <w:r>
        <w:rPr>
          <w:rFonts w:ascii="Liberation Serif" w:hAnsi="Liberation Serif"/>
          <w:color w:val="1F2937"/>
          <w:sz w:val="20"/>
        </w:rPr>
        <w:t>Probes should receive event-specific context objects containing opaque handles to this, arguments, results, exceptions, properties, or objects. A handle is not a Go pointer and does not expose arbitrary JavaScript operations. It names a value for the duration of the event and can be passed only to approved helpers. The verifier tracks the handle's lifetime and provenance.</w:t>
      </w:r>
    </w:p>
    <w:p>
      <w:pPr>
        <w:spacing w:line="259" w:lineRule="auto" w:after="80"/>
        <w:ind w:firstLine="317"/>
      </w:pPr>
      <w:r>
        <w:rPr>
          <w:rFonts w:ascii="Liberation Serif" w:hAnsi="Liberation Serif"/>
          <w:color w:val="1F2937"/>
          <w:sz w:val="20"/>
        </w:rPr>
        <w:t>Persistent monitor state should contain copied primitives, hashes, stable runtime-local identities, or bounded snapshots. Storing a raw goja value in a map would retain the object graph, blur runtime ownership, and make monitor lifetime affect garbage collection. Stable object IDs can be weakly associated with objects, but their lifecycle and reuse policy must be specified.</w:t>
      </w:r>
    </w:p>
    <w:p>
      <w:pPr>
        <w:pStyle w:val="Heading3"/>
      </w:pPr>
      <w:r>
        <w:rPr>
          <w:rFonts w:ascii="Liberation Sans" w:hAnsi="Liberation Sans"/>
          <w:b/>
          <w:color w:val="245C8A"/>
          <w:sz w:val="23"/>
        </w:rPr>
        <w:t>18.2 Pure and effectful observation</w:t>
      </w:r>
    </w:p>
    <w:p>
      <w:pPr>
        <w:spacing w:line="259" w:lineRule="auto" w:after="80"/>
        <w:ind w:firstLine="317"/>
      </w:pPr>
      <w:r>
        <w:rPr>
          <w:rFonts w:ascii="Liberation Serif" w:hAnsi="Liberation Serif"/>
          <w:color w:val="1F2937"/>
          <w:sz w:val="20"/>
        </w:rPr>
        <w:t>A JavaScript property read is not necessarily a pure observation. It can invoke a getter, trigger a proxy trap, allocate, throw, mutate state, or call host code. Contract and proof modes therefore need helpers with restricted semantics, such as reading an existing own data property of an ordinary object without conversion. If the object is a proxy, accessor, dynamic host object, or unsupported exotic object, the helper returns Unknown or a typed failure rather than executing JavaScript.</w:t>
      </w:r>
    </w:p>
    <w:p>
      <w:pPr>
        <w:spacing w:after="60"/>
        <w:keepNext/>
      </w:pPr>
      <w:r>
        <w:rPr>
          <w:rFonts w:ascii="Liberation Sans" w:hAnsi="Liberation Sans"/>
          <w:b/>
          <w:color w:val="193E5D"/>
          <w:sz w:val="18"/>
        </w:rPr>
        <w:t>Table 9. State helpers classified by semantic effect.</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2232"/>
            <w:shd w:fill="245C8A" w:val="clear"/>
            <w:tcMar>
              <w:top w:w="70" w:type="dxa"/>
              <w:start w:w="80" w:type="dxa"/>
              <w:bottom w:w="70" w:type="dxa"/>
              <w:end w:w="80" w:type="dxa"/>
            </w:tcMar>
            <w:vAlign w:val="center"/>
          </w:tcPr>
          <w:p>
            <w:pPr>
              <w:jc w:val="left"/>
            </w:pPr>
            <w:r>
              <w:rPr>
                <w:rFonts w:ascii="Liberation Sans" w:hAnsi="Liberation Sans"/>
                <w:b/>
                <w:color w:val="FFFFFF"/>
                <w:sz w:val="17"/>
              </w:rPr>
              <w:t>Helper class</w:t>
            </w:r>
          </w:p>
        </w:tc>
        <w:tc>
          <w:tcPr>
            <w:tcW w:type="dxa" w:w="4536"/>
            <w:shd w:fill="245C8A" w:val="clear"/>
            <w:tcMar>
              <w:top w:w="70" w:type="dxa"/>
              <w:start w:w="80" w:type="dxa"/>
              <w:bottom w:w="70" w:type="dxa"/>
              <w:end w:w="80" w:type="dxa"/>
            </w:tcMar>
            <w:vAlign w:val="center"/>
          </w:tcPr>
          <w:p>
            <w:pPr>
              <w:jc w:val="left"/>
            </w:pPr>
            <w:r>
              <w:rPr>
                <w:rFonts w:ascii="Liberation Sans" w:hAnsi="Liberation Sans"/>
                <w:b/>
                <w:color w:val="FFFFFF"/>
                <w:sz w:val="17"/>
              </w:rPr>
              <w:t>Semantics</w:t>
            </w:r>
          </w:p>
        </w:tc>
        <w:tc>
          <w:tcPr>
            <w:tcW w:type="dxa" w:w="3168"/>
            <w:shd w:fill="245C8A" w:val="clear"/>
            <w:tcMar>
              <w:top w:w="70" w:type="dxa"/>
              <w:start w:w="80" w:type="dxa"/>
              <w:bottom w:w="70" w:type="dxa"/>
              <w:end w:w="80" w:type="dxa"/>
            </w:tcMar>
            <w:vAlign w:val="center"/>
          </w:tcPr>
          <w:p>
            <w:pPr>
              <w:jc w:val="left"/>
            </w:pPr>
            <w:r>
              <w:rPr>
                <w:rFonts w:ascii="Liberation Sans" w:hAnsi="Liberation Sans"/>
                <w:b/>
                <w:color w:val="FFFFFF"/>
                <w:sz w:val="17"/>
              </w:rPr>
              <w:t>Allowed modes</w:t>
            </w:r>
          </w:p>
        </w:tc>
      </w:tr>
      <w:tr>
        <w:trPr>
          <w:cantSplit/>
        </w:trPr>
        <w:tc>
          <w:tcPr>
            <w:tcW w:type="dxa" w:w="2232"/>
            <w:tcMar>
              <w:top w:w="65" w:type="dxa"/>
              <w:start w:w="80" w:type="dxa"/>
              <w:bottom w:w="65" w:type="dxa"/>
              <w:end w:w="80" w:type="dxa"/>
            </w:tcMar>
            <w:vAlign w:val="top"/>
          </w:tcPr>
          <w:p>
            <w:pPr>
              <w:spacing w:after="0" w:line="240" w:lineRule="auto"/>
            </w:pPr>
            <w:r>
              <w:rPr>
                <w:rFonts w:ascii="Liberation Serif" w:hAnsi="Liberation Serif"/>
                <w:color w:val="1F2937"/>
                <w:sz w:val="17"/>
              </w:rPr>
              <w:t>Pure primitive projection</w:t>
            </w:r>
          </w:p>
        </w:tc>
        <w:tc>
          <w:tcPr>
            <w:tcW w:type="dxa" w:w="4536"/>
            <w:tcMar>
              <w:top w:w="65" w:type="dxa"/>
              <w:start w:w="80" w:type="dxa"/>
              <w:bottom w:w="65" w:type="dxa"/>
              <w:end w:w="80" w:type="dxa"/>
            </w:tcMar>
            <w:vAlign w:val="top"/>
          </w:tcPr>
          <w:p>
            <w:pPr>
              <w:spacing w:after="0" w:line="240" w:lineRule="auto"/>
            </w:pPr>
            <w:r>
              <w:rPr>
                <w:rFonts w:ascii="Liberation Serif" w:hAnsi="Liberation Serif"/>
                <w:color w:val="1F2937"/>
                <w:sz w:val="17"/>
              </w:rPr>
              <w:t>Read type tag or copy exact primitive value when representation is supported.</w:t>
            </w:r>
          </w:p>
        </w:tc>
        <w:tc>
          <w:tcPr>
            <w:tcW w:type="dxa" w:w="3168"/>
            <w:tcMar>
              <w:top w:w="65" w:type="dxa"/>
              <w:start w:w="80" w:type="dxa"/>
              <w:bottom w:w="65" w:type="dxa"/>
              <w:end w:w="80" w:type="dxa"/>
            </w:tcMar>
            <w:vAlign w:val="top"/>
          </w:tcPr>
          <w:p>
            <w:pPr>
              <w:spacing w:after="0" w:line="240" w:lineRule="auto"/>
            </w:pPr>
            <w:r>
              <w:rPr>
                <w:rFonts w:ascii="Liberation Serif" w:hAnsi="Liberation Serif"/>
                <w:color w:val="1F2937"/>
                <w:sz w:val="17"/>
              </w:rPr>
              <w:t>Observe, enforce, intervene</w:t>
            </w:r>
          </w:p>
        </w:tc>
      </w:tr>
      <w:tr>
        <w:trPr>
          <w:cantSplit/>
        </w:trPr>
        <w:tc>
          <w:tcPr>
            <w:tcW w:type="dxa" w:w="2232"/>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Safe structural observation</w:t>
            </w:r>
          </w:p>
        </w:tc>
        <w:tc>
          <w:tcPr>
            <w:tcW w:type="dxa" w:w="4536"/>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Read own data descriptor, stable object ID, bounded shape summary; no user code.</w:t>
            </w:r>
          </w:p>
        </w:tc>
        <w:tc>
          <w:tcPr>
            <w:tcW w:type="dxa" w:w="3168"/>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Observe, enforce, intervene</w:t>
            </w:r>
          </w:p>
        </w:tc>
      </w:tr>
      <w:tr>
        <w:trPr>
          <w:cantSplit/>
        </w:trPr>
        <w:tc>
          <w:tcPr>
            <w:tcW w:type="dxa" w:w="2232"/>
            <w:tcMar>
              <w:top w:w="65" w:type="dxa"/>
              <w:start w:w="80" w:type="dxa"/>
              <w:bottom w:w="65" w:type="dxa"/>
              <w:end w:w="80" w:type="dxa"/>
            </w:tcMar>
            <w:vAlign w:val="top"/>
          </w:tcPr>
          <w:p>
            <w:pPr>
              <w:spacing w:after="0" w:line="240" w:lineRule="auto"/>
            </w:pPr>
            <w:r>
              <w:rPr>
                <w:rFonts w:ascii="Liberation Serif" w:hAnsi="Liberation Serif"/>
                <w:color w:val="1F2937"/>
                <w:sz w:val="17"/>
              </w:rPr>
              <w:t>Snapshot</w:t>
            </w:r>
          </w:p>
        </w:tc>
        <w:tc>
          <w:tcPr>
            <w:tcW w:type="dxa" w:w="4536"/>
            <w:tcMar>
              <w:top w:w="65" w:type="dxa"/>
              <w:start w:w="80" w:type="dxa"/>
              <w:bottom w:w="65" w:type="dxa"/>
              <w:end w:w="80" w:type="dxa"/>
            </w:tcMar>
            <w:vAlign w:val="top"/>
          </w:tcPr>
          <w:p>
            <w:pPr>
              <w:spacing w:after="0" w:line="240" w:lineRule="auto"/>
            </w:pPr>
            <w:r>
              <w:rPr>
                <w:rFonts w:ascii="Liberation Serif" w:hAnsi="Liberation Serif"/>
                <w:color w:val="1F2937"/>
                <w:sz w:val="17"/>
              </w:rPr>
              <w:t>Copy bounded depth/bytes under explicit cycle and exotic-object rules.</w:t>
            </w:r>
          </w:p>
        </w:tc>
        <w:tc>
          <w:tcPr>
            <w:tcW w:type="dxa" w:w="3168"/>
            <w:tcMar>
              <w:top w:w="65" w:type="dxa"/>
              <w:start w:w="80" w:type="dxa"/>
              <w:bottom w:w="65" w:type="dxa"/>
              <w:end w:w="80" w:type="dxa"/>
            </w:tcMar>
            <w:vAlign w:val="top"/>
          </w:tcPr>
          <w:p>
            <w:pPr>
              <w:spacing w:after="0" w:line="240" w:lineRule="auto"/>
            </w:pPr>
            <w:r>
              <w:rPr>
                <w:rFonts w:ascii="Liberation Serif" w:hAnsi="Liberation Serif"/>
                <w:color w:val="1F2937"/>
                <w:sz w:val="17"/>
              </w:rPr>
              <w:t>Observe with budget; proof use requires a model of truncation.</w:t>
            </w:r>
          </w:p>
        </w:tc>
      </w:tr>
      <w:tr>
        <w:trPr>
          <w:cantSplit/>
        </w:trPr>
        <w:tc>
          <w:tcPr>
            <w:tcW w:type="dxa" w:w="2232"/>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JavaScript-semantic read</w:t>
            </w:r>
          </w:p>
        </w:tc>
        <w:tc>
          <w:tcPr>
            <w:tcW w:type="dxa" w:w="4536"/>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May invoke getters, proxies, coercions, exceptions, or host code.</w:t>
            </w:r>
          </w:p>
        </w:tc>
        <w:tc>
          <w:tcPr>
            <w:tcW w:type="dxa" w:w="3168"/>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Debug/intervention only; not transparent.</w:t>
            </w:r>
          </w:p>
        </w:tc>
      </w:tr>
      <w:tr>
        <w:trPr>
          <w:cantSplit/>
        </w:trPr>
        <w:tc>
          <w:tcPr>
            <w:tcW w:type="dxa" w:w="2232"/>
            <w:tcMar>
              <w:top w:w="65" w:type="dxa"/>
              <w:start w:w="80" w:type="dxa"/>
              <w:bottom w:w="65" w:type="dxa"/>
              <w:end w:w="80" w:type="dxa"/>
            </w:tcMar>
            <w:vAlign w:val="top"/>
          </w:tcPr>
          <w:p>
            <w:pPr>
              <w:spacing w:after="0" w:line="240" w:lineRule="auto"/>
            </w:pPr>
            <w:r>
              <w:rPr>
                <w:rFonts w:ascii="Liberation Serif" w:hAnsi="Liberation Serif"/>
                <w:color w:val="1F2937"/>
                <w:sz w:val="17"/>
              </w:rPr>
              <w:t>Mutation</w:t>
            </w:r>
          </w:p>
        </w:tc>
        <w:tc>
          <w:tcPr>
            <w:tcW w:type="dxa" w:w="4536"/>
            <w:tcMar>
              <w:top w:w="65" w:type="dxa"/>
              <w:start w:w="80" w:type="dxa"/>
              <w:bottom w:w="65" w:type="dxa"/>
              <w:end w:w="80" w:type="dxa"/>
            </w:tcMar>
            <w:vAlign w:val="top"/>
          </w:tcPr>
          <w:p>
            <w:pPr>
              <w:spacing w:after="0" w:line="240" w:lineRule="auto"/>
            </w:pPr>
            <w:r>
              <w:rPr>
                <w:rFonts w:ascii="Liberation Serif" w:hAnsi="Liberation Serif"/>
                <w:color w:val="1F2937"/>
                <w:sz w:val="17"/>
              </w:rPr>
              <w:t>Replace argument/result or write selected state.</w:t>
            </w:r>
          </w:p>
        </w:tc>
        <w:tc>
          <w:tcPr>
            <w:tcW w:type="dxa" w:w="3168"/>
            <w:tcMar>
              <w:top w:w="65" w:type="dxa"/>
              <w:start w:w="80" w:type="dxa"/>
              <w:bottom w:w="65" w:type="dxa"/>
              <w:end w:w="80" w:type="dxa"/>
            </w:tcMar>
            <w:vAlign w:val="top"/>
          </w:tcPr>
          <w:p>
            <w:pPr>
              <w:spacing w:after="0" w:line="240" w:lineRule="auto"/>
            </w:pPr>
            <w:r>
              <w:rPr>
                <w:rFonts w:ascii="Liberation Serif" w:hAnsi="Liberation Serif"/>
                <w:color w:val="1F2937"/>
                <w:sz w:val="17"/>
              </w:rPr>
              <w:t>Intervention only.</w:t>
            </w:r>
          </w:p>
        </w:tc>
      </w:tr>
    </w:tbl>
    <w:p>
      <w:pPr>
        <w:spacing w:after="0"/>
      </w:pPr>
    </w:p>
    <w:p>
      <w:pPr>
        <w:pStyle w:val="Heading3"/>
      </w:pPr>
      <w:r>
        <w:rPr>
          <w:rFonts w:ascii="Liberation Sans" w:hAnsi="Liberation Sans"/>
          <w:b/>
          <w:color w:val="245C8A"/>
          <w:sz w:val="23"/>
        </w:rPr>
        <w:t>18.3 Partiality and unknown values</w:t>
      </w:r>
    </w:p>
    <w:p>
      <w:pPr>
        <w:spacing w:line="259" w:lineRule="auto" w:after="80"/>
        <w:ind w:firstLine="317"/>
      </w:pPr>
      <w:r>
        <w:rPr>
          <w:rFonts w:ascii="Liberation Serif" w:hAnsi="Liberation Serif"/>
          <w:color w:val="1F2937"/>
          <w:sz w:val="20"/>
        </w:rPr>
        <w:t>Safe helpers are necessarily partial. A value may not be an integer; an object may be exotic; a property may be absent or accessor-based; a string may exceed the copy budget. The IR should represent Option, Result, or a small abstract value domain rather than panic or coerce through JavaScript semantics. Monitor source languages can offer pattern matching and explicit policies for Unknown. Treating unknown as false is unsound for enforcement; treating it as violation may be safe but overly restrictive.</w:t>
      </w:r>
    </w:p>
    <w:p>
      <w:pPr>
        <w:pStyle w:val="Heading3"/>
      </w:pPr>
      <w:r>
        <w:rPr>
          <w:rFonts w:ascii="Liberation Sans" w:hAnsi="Liberation Sans"/>
          <w:b/>
          <w:color w:val="245C8A"/>
          <w:sz w:val="23"/>
        </w:rPr>
        <w:t>18.4 Confidentiality and least authority</w:t>
      </w:r>
    </w:p>
    <w:p>
      <w:pPr>
        <w:spacing w:line="259" w:lineRule="auto" w:after="80"/>
        <w:ind w:firstLine="317"/>
      </w:pPr>
      <w:r>
        <w:rPr>
          <w:rFonts w:ascii="Liberation Serif" w:hAnsi="Liberation Serif"/>
          <w:color w:val="1F2937"/>
          <w:sz w:val="20"/>
        </w:rPr>
        <w:t>Instrumentation can expose secrets that ordinary JavaScript modules cannot access: hidden host objects, closure-local values, authentication tokens, or cross-module state. Attach permission and observation capability therefore require a security model. A tenant-level probe may inspect only its modules and redacted values; an operator probe may inspect identities and metrics but not strings; a trusted proof probe may access selected lexical bindings. The event ABI should make redaction and capability checks part of field production, not an after-the-fact exporter filter.</w:t>
      </w:r>
    </w:p>
    <w:p>
      <w:pPr>
        <w:pStyle w:val="Heading2"/>
      </w:pPr>
      <w:r>
        <w:rPr>
          <w:rFonts w:ascii="Liberation Sans" w:hAnsi="Liberation Sans"/>
          <w:b/>
          <w:color w:val="193E5D"/>
          <w:sz w:val="30"/>
        </w:rPr>
        <w:t>19. Maps, frame-local storage, and parametric monitoring</w:t>
      </w:r>
    </w:p>
    <w:p>
      <w:pPr>
        <w:spacing w:after="140" w:line="259" w:lineRule="auto"/>
      </w:pPr>
      <w:r>
        <w:rPr>
          <w:rFonts w:ascii="Liberation Serif" w:hAnsi="Liberation Serif"/>
          <w:i/>
          <w:color w:val="193E5D"/>
          <w:sz w:val="22"/>
        </w:rPr>
        <w:t>Persistent typed state turns event callbacks into temporal analyses, but map semantics must be explicit enough for proof and replay.</w:t>
      </w:r>
    </w:p>
    <w:p>
      <w:pPr>
        <w:pStyle w:val="Heading3"/>
      </w:pPr>
      <w:r>
        <w:rPr>
          <w:rFonts w:ascii="Liberation Sans" w:hAnsi="Liberation Sans"/>
          <w:b/>
          <w:color w:val="245C8A"/>
          <w:sz w:val="23"/>
        </w:rPr>
        <w:t>19.1 Map families</w:t>
      </w:r>
    </w:p>
    <w:p>
      <w:pPr>
        <w:spacing w:line="259" w:lineRule="auto" w:after="80"/>
        <w:ind w:firstLine="317"/>
      </w:pPr>
      <w:r>
        <w:rPr>
          <w:rFonts w:ascii="Liberation Serif" w:hAnsi="Liberation Serif"/>
          <w:color w:val="1F2937"/>
          <w:sz w:val="20"/>
        </w:rPr>
        <w:t>Useful map kinds include fixed arrays, bounded hashes, LRU hashes, monotonic counters, histograms, ring buffers, runtime-local state, function-local state, frame-local state, and finite-state monitor maps. Each map has a key schema, value schema, capacity, eviction policy, concurrency policy, and snapshot/export semantics. As in eBPF, maps separate long-lived state from individual probe invocations; unlike eBPF, they may also encode semantic lifetimes such as a call frame or async continuation.</w:t>
      </w:r>
    </w:p>
    <w:p>
      <w:pPr>
        <w:pStyle w:val="Heading3"/>
      </w:pPr>
      <w:r>
        <w:rPr>
          <w:rFonts w:ascii="Liberation Sans" w:hAnsi="Liberation Sans"/>
          <w:b/>
          <w:color w:val="245C8A"/>
          <w:sz w:val="23"/>
        </w:rPr>
        <w:t>19.2 Frame-local storage</w:t>
      </w:r>
    </w:p>
    <w:p>
      <w:pPr>
        <w:spacing w:line="259" w:lineRule="auto" w:after="80"/>
        <w:ind w:firstLine="317"/>
      </w:pPr>
      <w:r>
        <w:rPr>
          <w:rFonts w:ascii="Liberation Serif" w:hAnsi="Liberation Serif"/>
          <w:color w:val="1F2937"/>
          <w:sz w:val="20"/>
        </w:rPr>
        <w:t>Entry-to-return contracts need storage automatically associated with a dynamic frame. A monitor may record the entry balance, start time, argument hash, or abstract state and retrieve it at normal or exceptional exit. Implementing this as a general hash keyed by FrameID adds overhead and risks leaks. A VM-integrated frame-local map can allocate a fixed monitor slot when a probed frame is created and release it on return, unwind, generator completion, cancellation, or runtime shutdown.</w:t>
      </w:r>
    </w:p>
    <w:p>
      <w:pPr>
        <w:spacing w:line="259" w:lineRule="auto" w:after="80"/>
        <w:ind w:firstLine="317"/>
      </w:pPr>
      <w:r>
        <w:rPr>
          <w:rFonts w:ascii="Liberation Serif" w:hAnsi="Liberation Serif"/>
          <w:color w:val="1F2937"/>
          <w:sz w:val="20"/>
        </w:rPr>
        <w:t>Frame-local state must follow suspension. An async or generator continuation may leave the active stack while remaining semantically live. The slot therefore belongs to the semantic continuation rather than only the physical VM stack. The same design supports proof invariants that relate entry state to eventual settlement.</w:t>
      </w:r>
    </w:p>
    <w:p>
      <w:pPr>
        <w:pStyle w:val="Heading3"/>
      </w:pPr>
      <w:r>
        <w:rPr>
          <w:rFonts w:ascii="Liberation Sans" w:hAnsi="Liberation Sans"/>
          <w:b/>
          <w:color w:val="245C8A"/>
          <w:sz w:val="23"/>
        </w:rPr>
        <w:t>19.3 Map soundness modes</w:t>
      </w:r>
    </w:p>
    <w:p>
      <w:pPr>
        <w:spacing w:line="259" w:lineRule="auto" w:after="80"/>
        <w:ind w:firstLine="317"/>
      </w:pPr>
      <w:r>
        <w:rPr>
          <w:rFonts w:ascii="Liberation Serif" w:hAnsi="Liberation Serif"/>
          <w:color w:val="1F2937"/>
          <w:sz w:val="20"/>
        </w:rPr>
        <w:t>Telemetry and proof use different failure semantics. A telemetry histogram can drop samples and record a lost count. A proof-mode typestate map cannot silently evict an object whose protocol is incomplete. The map declaration should specify BestEffort, FailClosed, or ProvenBound. BestEffort reports loss metadata; FailClosed terminates or invalidates the run on capacity failure; ProvenBound requires the attachment tool to establish or assume a bound on live keys.</w:t>
      </w:r>
    </w:p>
    <w:p>
      <w:pPr>
        <w:pStyle w:val="Heading3"/>
      </w:pPr>
      <w:r>
        <w:rPr>
          <w:rFonts w:ascii="Liberation Sans" w:hAnsi="Liberation Sans"/>
          <w:b/>
          <w:color w:val="245C8A"/>
          <w:sz w:val="23"/>
        </w:rPr>
        <w:t>19.4 Trace slicing and garbage collection</w:t>
      </w:r>
    </w:p>
    <w:p>
      <w:pPr>
        <w:spacing w:line="259" w:lineRule="auto" w:after="80"/>
        <w:ind w:firstLine="317"/>
      </w:pPr>
      <w:r>
        <w:rPr>
          <w:rFonts w:ascii="Liberation Serif" w:hAnsi="Liberation Serif"/>
          <w:color w:val="1F2937"/>
          <w:sz w:val="20"/>
        </w:rPr>
        <w:t>Parametric monitoring creates monitor instances on demand. An instance can be reclaimed when the property reaches a terminal state, the parameter object is proven unreachable, or an explicit lifecycle event occurs. Weak identity maps can help but introduce garbage-collection nondeterminism and proof complications. For reproducible monitoring, explicit lifecycle events are preferable; weak reclamation should be recorded as a semantic event or excluded from claims that depend on instance persistence.</w:t>
      </w:r>
    </w:p>
    <w:p>
      <w:pPr>
        <w:pStyle w:val="Heading2"/>
      </w:pPr>
      <w:r>
        <w:rPr>
          <w:rFonts w:ascii="Liberation Sans" w:hAnsi="Liberation Sans"/>
          <w:b/>
          <w:color w:val="193E5D"/>
          <w:sz w:val="30"/>
        </w:rPr>
        <w:t>20. Safety, resource bounds, and the trusted computing base</w:t>
      </w:r>
    </w:p>
    <w:p>
      <w:pPr>
        <w:spacing w:after="140" w:line="259" w:lineRule="auto"/>
      </w:pPr>
      <w:r>
        <w:rPr>
          <w:rFonts w:ascii="Liberation Serif" w:hAnsi="Liberation Serif"/>
          <w:i/>
          <w:color w:val="193E5D"/>
          <w:sz w:val="22"/>
        </w:rPr>
        <w:t>The trust boundary must identify what is proved, what is checked, what is assumed, and what can invalidate an otherwise safe monitor.</w:t>
      </w:r>
    </w:p>
    <w:p>
      <w:pPr>
        <w:spacing w:after="40"/>
        <w:jc w:val="center"/>
        <w:keepNext/>
      </w:pPr>
      <w:r>
        <w:drawing>
          <wp:inline xmlns:a="http://schemas.openxmlformats.org/drawingml/2006/main" xmlns:pic="http://schemas.openxmlformats.org/drawingml/2006/picture">
            <wp:extent cx="6172200" cy="3582168"/>
            <wp:docPr id="6" name="Picture 6" title="Figure 6. Trusted core versus extension inputs accepted after verification." descr="Trust-boundary diagram separating event emission, abstraction mapping, verifier, monitor compiler proof, and trace checker from probe source, selectors, workloads, and offline queries."/>
            <wp:cNvGraphicFramePr>
              <a:graphicFrameLocks noChangeAspect="1"/>
            </wp:cNvGraphicFramePr>
            <a:graphic>
              <a:graphicData uri="http://schemas.openxmlformats.org/drawingml/2006/picture">
                <pic:pic>
                  <pic:nvPicPr>
                    <pic:cNvPr id="0" name="trust_boundary.png"/>
                    <pic:cNvPicPr/>
                  </pic:nvPicPr>
                  <pic:blipFill>
                    <a:blip r:embed="rId16"/>
                    <a:stretch>
                      <a:fillRect/>
                    </a:stretch>
                  </pic:blipFill>
                  <pic:spPr>
                    <a:xfrm>
                      <a:off x="0" y="0"/>
                      <a:ext cx="6172200" cy="3582168"/>
                    </a:xfrm>
                    <a:prstGeom prst="rect"/>
                  </pic:spPr>
                </pic:pic>
              </a:graphicData>
            </a:graphic>
          </wp:inline>
        </w:drawing>
      </w:r>
    </w:p>
    <w:p>
      <w:pPr>
        <w:spacing w:after="140"/>
        <w:jc w:val="center"/>
      </w:pPr>
      <w:r>
        <w:rPr>
          <w:rFonts w:ascii="Liberation Serif" w:hAnsi="Liberation Serif"/>
          <w:i/>
          <w:color w:val="586474"/>
          <w:sz w:val="17"/>
        </w:rPr>
        <w:t>Figure 6. Trusted core versus extension inputs accepted after verification.</w:t>
      </w:r>
    </w:p>
    <w:p>
      <w:pPr>
        <w:pStyle w:val="Heading3"/>
      </w:pPr>
      <w:r>
        <w:rPr>
          <w:rFonts w:ascii="Liberation Sans" w:hAnsi="Liberation Sans"/>
          <w:b/>
          <w:color w:val="245C8A"/>
          <w:sz w:val="23"/>
        </w:rPr>
        <w:t>20.1 Trusted components</w:t>
      </w:r>
    </w:p>
    <w:p>
      <w:pPr>
        <w:spacing w:line="259" w:lineRule="auto" w:after="80"/>
        <w:ind w:firstLine="317"/>
      </w:pPr>
      <w:r>
        <w:rPr>
          <w:rFonts w:ascii="Liberation Serif" w:hAnsi="Liberation Serif"/>
          <w:color w:val="1F2937"/>
          <w:sz w:val="20"/>
        </w:rPr>
        <w:t>The trusted computing base includes the event emission points, the code that constructs observations, the value-handle implementation, the probe verifier, helper implementations, map implementation, enforcement transition, and any trace certificate checker. If a property compiler is not verified, its output can still be checked by differential tests or a certificate. Native module summaries and host adapters are assumptions unless independently verified.</w:t>
      </w:r>
    </w:p>
    <w:p>
      <w:pPr>
        <w:spacing w:line="259" w:lineRule="auto" w:after="80"/>
        <w:ind w:firstLine="317"/>
      </w:pPr>
      <w:r>
        <w:rPr>
          <w:rFonts w:ascii="Liberation Serif" w:hAnsi="Liberation Serif"/>
          <w:color w:val="1F2937"/>
          <w:sz w:val="20"/>
        </w:rPr>
        <w:t>The Go compiler, runtime, operating system, and hardware are also part of the practical trusted stack unless the project adopts a stronger verified-systems foundation. The document uses trusted computing base in a scoped sense: the components specific to semantic probing whose defects can falsify the event or monitor claim.</w:t>
      </w:r>
    </w:p>
    <w:p>
      <w:pPr>
        <w:pStyle w:val="Heading3"/>
      </w:pPr>
      <w:r>
        <w:rPr>
          <w:rFonts w:ascii="Liberation Sans" w:hAnsi="Liberation Sans"/>
          <w:b/>
          <w:color w:val="245C8A"/>
          <w:sz w:val="23"/>
        </w:rPr>
        <w:t>20.2 Resource accounting</w:t>
      </w:r>
    </w:p>
    <w:p>
      <w:pPr>
        <w:spacing w:line="259" w:lineRule="auto" w:after="80"/>
        <w:ind w:firstLine="317"/>
      </w:pPr>
      <w:r>
        <w:rPr>
          <w:rFonts w:ascii="Liberation Serif" w:hAnsi="Liberation Serif"/>
          <w:color w:val="1F2937"/>
          <w:sz w:val="20"/>
        </w:rPr>
        <w:t>Every probe invocation should have an instruction budget, helper-cost budget, emitted-byte budget, and possibly a map-operation budget. Static verification can bound acyclic code. Helpers with data-dependent cost, such as bounded snapshot traversal, need cost functions checked against declared limits. The runtime must define what happens when a budget is exceeded: skip and count, disable the probe, report EvidenceLost, or terminate in strict mode.</w:t>
      </w:r>
    </w:p>
    <w:p>
      <w:pPr>
        <w:spacing w:line="259" w:lineRule="auto" w:after="80"/>
        <w:ind w:firstLine="317"/>
      </w:pPr>
      <w:r>
        <w:rPr>
          <w:rFonts w:ascii="Liberation Serif" w:hAnsi="Liberation Serif"/>
          <w:color w:val="1F2937"/>
          <w:sz w:val="20"/>
        </w:rPr>
        <w:t>Aggregate resource use also matters. A safe individual probe can create too many map instances or emit too much data at a high-frequency event. Admission control should compute a worst-case or configured event-rate budget, enforce per-runtime quotas, and separate operator telemetry from proof-mode runs. These controls are analogous to safe extension systems but require semantic event-rate models.</w:t>
      </w:r>
    </w:p>
    <w:p>
      <w:pPr>
        <w:pStyle w:val="Heading3"/>
      </w:pPr>
      <w:r>
        <w:rPr>
          <w:rFonts w:ascii="Liberation Sans" w:hAnsi="Liberation Sans"/>
          <w:b/>
          <w:color w:val="245C8A"/>
          <w:sz w:val="23"/>
        </w:rPr>
        <w:t>20.3 Reentrancy and failure isolation</w:t>
      </w:r>
    </w:p>
    <w:p>
      <w:pPr>
        <w:spacing w:line="259" w:lineRule="auto" w:after="80"/>
        <w:ind w:firstLine="317"/>
      </w:pPr>
      <w:r>
        <w:rPr>
          <w:rFonts w:ascii="Liberation Serif" w:hAnsi="Liberation Serif"/>
          <w:color w:val="1F2937"/>
          <w:sz w:val="20"/>
        </w:rPr>
        <w:t>Probe execution should not call back into the instrumented JavaScript runtime. Helpers should be written in Go against stable internal accessors and should not allocate JavaScript objects or invoke conversion hooks. Probe panics or verifier bugs must be isolated from the VM where possible; the runtime owner should recover them and produce a probe failure outcome. A proof-mode run should fail closed rather than continue with the monitor disabled.</w:t>
      </w:r>
    </w:p>
    <w:p>
      <w:pPr>
        <w:pStyle w:val="Heading3"/>
      </w:pPr>
      <w:r>
        <w:rPr>
          <w:rFonts w:ascii="Liberation Sans" w:hAnsi="Liberation Sans"/>
          <w:b/>
          <w:color w:val="245C8A"/>
          <w:sz w:val="23"/>
        </w:rPr>
        <w:t>20.4 Schema and implementation versioning</w:t>
      </w:r>
    </w:p>
    <w:p>
      <w:pPr>
        <w:spacing w:line="259" w:lineRule="auto" w:after="80"/>
        <w:ind w:firstLine="317"/>
      </w:pPr>
      <w:r>
        <w:rPr>
          <w:rFonts w:ascii="Liberation Serif" w:hAnsi="Liberation Serif"/>
          <w:color w:val="1F2937"/>
          <w:sz w:val="20"/>
        </w:rPr>
        <w:t>A probe artifact should declare its ABI version, required event families, helper capabilities, map schemas, source or metadata selectors, and compatibility range. A trace should include the goja commit, go-go-goja commit, compiler options, source hashes, event-schema version, probe hash, verifier version, and native-module manifest. Versioning is a semantic requirement because changing the point at which Return fires or the meaning of a property observation changes monitor results even if the binary layout remains compatible.</w:t>
      </w:r>
    </w:p>
    <w:tbl>
      <w:tblPr>
        <w:tblW w:type="auto" w:w="0"/>
        <w:jc w:val="center"/>
        <w:tblLook w:firstColumn="1" w:firstRow="1" w:lastColumn="0" w:lastRow="0" w:noHBand="0" w:noVBand="1" w:val="04A0"/>
      </w:tblPr>
      <w:tblGrid>
        <w:gridCol w:w="9994"/>
      </w:tblGrid>
      <w:tr>
        <w:tc>
          <w:tcPr>
            <w:tcW w:type="dxa" w:w="9994"/>
            <w:shd w:fill="F7EAEA" w:val="clear"/>
            <w:tcBorders>
              <w:top w:val="single" w:sz="8" w:color="245C8A"/>
              <w:left w:val="single" w:sz="8" w:color="245C8A"/>
              <w:bottom w:val="single" w:sz="8" w:color="245C8A"/>
              <w:right w:val="single" w:sz="8" w:color="245C8A"/>
            </w:tcBorders>
            <w:tcMar>
              <w:top w:w="110" w:type="dxa"/>
              <w:start w:w="150" w:type="dxa"/>
              <w:bottom w:w="110" w:type="dxa"/>
              <w:end w:w="150" w:type="dxa"/>
            </w:tcMar>
          </w:tcPr>
          <w:p>
            <w:pPr>
              <w:spacing w:after="60"/>
            </w:pPr>
            <w:r>
              <w:rPr>
                <w:rFonts w:ascii="Liberation Sans" w:hAnsi="Liberation Sans"/>
                <w:b/>
                <w:color w:val="193E5D"/>
                <w:sz w:val="17"/>
              </w:rPr>
              <w:t>LIMITATION / FAILURE MODE  |  Primary trust lesson</w:t>
            </w:r>
          </w:p>
          <w:p>
            <w:pPr>
              <w:spacing w:after="40" w:line="247" w:lineRule="auto"/>
            </w:pPr>
            <w:r>
              <w:rPr>
                <w:rFonts w:ascii="Liberation Serif" w:hAnsi="Liberation Serif"/>
                <w:color w:val="1F2937"/>
                <w:sz w:val="18"/>
              </w:rPr>
              <w:t>The verifier proves properties of probe execution. It cannot repair an unsound event definition, an incomplete hook path, a misleading native-module summary, or an exporter that silently drops proof-relevant data.</w:t>
            </w:r>
          </w:p>
        </w:tc>
      </w:tr>
    </w:tbl>
    <w:p>
      <w:pPr>
        <w:spacing w:after="0"/>
      </w:pPr>
    </w:p>
    <w:p>
      <w:r>
        <w:br w:type="page"/>
      </w:r>
    </w:p>
    <w:p>
      <w:pPr>
        <w:pStyle w:val="Heading1"/>
        <w:spacing w:before="0" w:after="160"/>
      </w:pPr>
      <w:r>
        <w:rPr>
          <w:rFonts w:ascii="Liberation Sans" w:hAnsi="Liberation Sans"/>
          <w:b/>
          <w:color w:val="193E5D"/>
          <w:sz w:val="40"/>
        </w:rPr>
        <w:t>Part V. Static analysis, runtime verification, and proof</w:t>
      </w:r>
    </w:p>
    <w:p>
      <w:pPr>
        <w:spacing w:after="320"/>
      </w:pPr>
      <w:r>
        <w:rPr>
          <w:rFonts w:ascii="Liberation Serif" w:hAnsi="Liberation Serif"/>
          <w:i/>
          <w:color w:val="586474"/>
          <w:sz w:val="22"/>
        </w:rPr>
        <w:t>How one property artifact can be executed concretely, approximated statically, explored symbolically, and translated into logic.</w:t>
      </w:r>
    </w:p>
    <w:p>
      <w:pPr>
        <w:pStyle w:val="Heading2"/>
      </w:pPr>
      <w:r>
        <w:rPr>
          <w:rFonts w:ascii="Liberation Sans" w:hAnsi="Liberation Sans"/>
          <w:b/>
          <w:color w:val="193E5D"/>
          <w:sz w:val="30"/>
        </w:rPr>
        <w:t>21. One probe language with four interpretations</w:t>
      </w:r>
    </w:p>
    <w:p>
      <w:pPr>
        <w:spacing w:after="140" w:line="259" w:lineRule="auto"/>
      </w:pPr>
      <w:r>
        <w:rPr>
          <w:rFonts w:ascii="Liberation Serif" w:hAnsi="Liberation Serif"/>
          <w:i/>
          <w:color w:val="193E5D"/>
          <w:sz w:val="22"/>
        </w:rPr>
        <w:t>The most valuable unification is not a universal solver; it is a shared typed property IR with several interpreters and explicit relations among them.</w:t>
      </w:r>
    </w:p>
    <w:p>
      <w:pPr>
        <w:spacing w:after="40"/>
        <w:jc w:val="center"/>
        <w:keepNext/>
      </w:pPr>
      <w:r>
        <w:drawing>
          <wp:inline xmlns:a="http://schemas.openxmlformats.org/drawingml/2006/main" xmlns:pic="http://schemas.openxmlformats.org/drawingml/2006/picture">
            <wp:extent cx="6172200" cy="3470839"/>
            <wp:docPr id="7" name="Picture 7" title="Figure 7. A shared probe IR interpreted concretely, symbolically, abstractly, and logically." descr="Probe source compiles to a typed verified IR, which branches to concrete runtime monitoring, symbolic constraints and test generation, abstract static approximation, and logical theorem-prover obligations."/>
            <wp:cNvGraphicFramePr>
              <a:graphicFrameLocks noChangeAspect="1"/>
            </wp:cNvGraphicFramePr>
            <a:graphic>
              <a:graphicData uri="http://schemas.openxmlformats.org/drawingml/2006/picture">
                <pic:pic>
                  <pic:nvPicPr>
                    <pic:cNvPr id="0" name="four_interpretations.png"/>
                    <pic:cNvPicPr/>
                  </pic:nvPicPr>
                  <pic:blipFill>
                    <a:blip r:embed="rId17"/>
                    <a:stretch>
                      <a:fillRect/>
                    </a:stretch>
                  </pic:blipFill>
                  <pic:spPr>
                    <a:xfrm>
                      <a:off x="0" y="0"/>
                      <a:ext cx="6172200" cy="3470839"/>
                    </a:xfrm>
                    <a:prstGeom prst="rect"/>
                  </pic:spPr>
                </pic:pic>
              </a:graphicData>
            </a:graphic>
          </wp:inline>
        </w:drawing>
      </w:r>
    </w:p>
    <w:p>
      <w:pPr>
        <w:spacing w:after="140"/>
        <w:jc w:val="center"/>
      </w:pPr>
      <w:r>
        <w:rPr>
          <w:rFonts w:ascii="Liberation Serif" w:hAnsi="Liberation Serif"/>
          <w:i/>
          <w:color w:val="586474"/>
          <w:sz w:val="17"/>
        </w:rPr>
        <w:t>Figure 7. A shared probe IR interpreted concretely, symbolically, abstractly, and logically.</w:t>
      </w:r>
    </w:p>
    <w:p>
      <w:pPr>
        <w:pStyle w:val="Heading3"/>
      </w:pPr>
      <w:r>
        <w:rPr>
          <w:rFonts w:ascii="Liberation Sans" w:hAnsi="Liberation Sans"/>
          <w:b/>
          <w:color w:val="245C8A"/>
          <w:sz w:val="23"/>
        </w:rPr>
        <w:t>21.1 Concrete interpretation</w:t>
      </w:r>
    </w:p>
    <w:p>
      <w:pPr>
        <w:spacing w:line="259" w:lineRule="auto" w:after="80"/>
        <w:ind w:firstLine="317"/>
      </w:pPr>
      <w:r>
        <w:rPr>
          <w:rFonts w:ascii="Liberation Serif" w:hAnsi="Liberation Serif"/>
          <w:color w:val="1F2937"/>
          <w:sz w:val="20"/>
        </w:rPr>
        <w:t>The concrete interpreter runs inside goja's owner context on actual event records. Primitive projections return actual integers, booleans, strings under bounds, object identities, or Unknown. Map operations update concrete state. Assert produces Continue or Violation. This is the interpretation checked by the probe verifier and benchmarked for runtime overhead.</w:t>
      </w:r>
    </w:p>
    <w:p>
      <w:pPr>
        <w:pStyle w:val="Heading3"/>
      </w:pPr>
      <w:r>
        <w:rPr>
          <w:rFonts w:ascii="Liberation Sans" w:hAnsi="Liberation Sans"/>
          <w:b/>
          <w:color w:val="245C8A"/>
          <w:sz w:val="23"/>
        </w:rPr>
        <w:t>21.2 Symbolic interpretation</w:t>
      </w:r>
    </w:p>
    <w:p>
      <w:pPr>
        <w:spacing w:line="259" w:lineRule="auto" w:after="80"/>
        <w:ind w:firstLine="317"/>
      </w:pPr>
      <w:r>
        <w:rPr>
          <w:rFonts w:ascii="Liberation Serif" w:hAnsi="Liberation Serif"/>
          <w:color w:val="1F2937"/>
          <w:sz w:val="20"/>
        </w:rPr>
        <w:t>The symbolic interpreter replaces concrete values with terms and path conditions. arg(0) may become the symbolic variable a0; own_i64(this,"balance") becomes a symbolic heap read subject to object-model constraints; a branch adds a path predicate; assert adds an obligation or finds a satisfying counterexample. The interpreter can be embedded in a symbolic executor for the JavaScript subset or used locally over recorded path conditions.</w:t>
      </w:r>
    </w:p>
    <w:p>
      <w:pPr>
        <w:pStyle w:val="Heading3"/>
      </w:pPr>
      <w:r>
        <w:rPr>
          <w:rFonts w:ascii="Liberation Sans" w:hAnsi="Liberation Sans"/>
          <w:b/>
          <w:color w:val="245C8A"/>
          <w:sz w:val="23"/>
        </w:rPr>
        <w:t>21.3 Abstract interpretation</w:t>
      </w:r>
    </w:p>
    <w:p>
      <w:pPr>
        <w:spacing w:line="259" w:lineRule="auto" w:after="80"/>
        <w:ind w:firstLine="317"/>
      </w:pPr>
      <w:r>
        <w:rPr>
          <w:rFonts w:ascii="Liberation Serif" w:hAnsi="Liberation Serif"/>
          <w:color w:val="1F2937"/>
          <w:sz w:val="20"/>
        </w:rPr>
        <w:t>The abstract interpreter maps values into a chosen abstract domain: type sets, intervals, signs, string abstractions, object shapes, points-to sets, taint labels, or automaton states. Operations are lifted soundly. An assertion is statically discharged when every abstract state implies it; refuted when every state violates it; otherwise it becomes residual. Different domains can interpret the same IR while trading precision for cost (Cousot and Cousot 1977; Cousot 2021).</w:t>
      </w:r>
    </w:p>
    <w:p>
      <w:pPr>
        <w:pStyle w:val="Heading3"/>
      </w:pPr>
      <w:r>
        <w:rPr>
          <w:rFonts w:ascii="Liberation Sans" w:hAnsi="Liberation Sans"/>
          <w:b/>
          <w:color w:val="245C8A"/>
          <w:sz w:val="23"/>
        </w:rPr>
        <w:t>21.4 Logical interpretation</w:t>
      </w:r>
    </w:p>
    <w:p>
      <w:pPr>
        <w:spacing w:line="259" w:lineRule="auto" w:after="80"/>
        <w:ind w:firstLine="317"/>
      </w:pPr>
      <w:r>
        <w:rPr>
          <w:rFonts w:ascii="Liberation Serif" w:hAnsi="Liberation Serif"/>
          <w:color w:val="1F2937"/>
          <w:sz w:val="20"/>
        </w:rPr>
        <w:t>The logical interpreter translates probe operations into predicates over source or trace semantics. A frame-local assignment becomes a logical variable associated with the entry state. A return assertion becomes a relation between entry and exit states. A temporal monitor becomes an inductive automaton over events. Rocq or Lean can then prove that the monitor compiler preserves property meaning or that a JavaScript program never reaches the bad state under assumptions.</w:t>
      </w:r>
    </w:p>
    <w:p>
      <w:pPr>
        <w:pStyle w:val="Heading3"/>
      </w:pPr>
      <w:r>
        <w:rPr>
          <w:rFonts w:ascii="Liberation Sans" w:hAnsi="Liberation Sans"/>
          <w:b/>
          <w:color w:val="245C8A"/>
          <w:sz w:val="23"/>
        </w:rPr>
        <w:t>21.5 Soundness relations, not implementation reuse alone</w:t>
      </w:r>
    </w:p>
    <w:p>
      <w:pPr>
        <w:spacing w:line="259" w:lineRule="auto" w:after="80"/>
        <w:ind w:firstLine="317"/>
      </w:pPr>
      <w:r>
        <w:rPr>
          <w:rFonts w:ascii="Liberation Serif" w:hAnsi="Liberation Serif"/>
          <w:color w:val="1F2937"/>
          <w:sz w:val="20"/>
        </w:rPr>
        <w:t>Shared syntax does not guarantee semantic agreement. Each interpretation needs a relation to the concrete meaning. An abstract interpreter should over-approximate concrete outcomes; a symbolic interpreter should cover or explicitly bound paths; a logical translation should preserve the intended assertion; the runtime compiler should implement the IR. Differential tests among interpreters are valuable but do not replace proofs. The architecture should record which obligations are established, assumed, tested, or open.</w:t>
      </w:r>
    </w:p>
    <w:p>
      <w:pPr>
        <w:spacing w:after="60"/>
        <w:keepNext/>
      </w:pPr>
      <w:r>
        <w:rPr>
          <w:rFonts w:ascii="Liberation Sans" w:hAnsi="Liberation Sans"/>
          <w:b/>
          <w:color w:val="193E5D"/>
          <w:sz w:val="18"/>
        </w:rPr>
        <w:t>Table 10. Four interpretations and their distinct correctness obligations.</w:t>
      </w: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rPr>
          <w:tblHeader w:val="true"/>
          <w:cantSplit/>
        </w:trPr>
        <w:tc>
          <w:tcPr>
            <w:tcW w:type="dxa" w:w="1656"/>
            <w:shd w:fill="245C8A" w:val="clear"/>
            <w:tcMar>
              <w:top w:w="70" w:type="dxa"/>
              <w:start w:w="80" w:type="dxa"/>
              <w:bottom w:w="70" w:type="dxa"/>
              <w:end w:w="80" w:type="dxa"/>
            </w:tcMar>
            <w:vAlign w:val="center"/>
          </w:tcPr>
          <w:p>
            <w:pPr>
              <w:jc w:val="left"/>
            </w:pPr>
            <w:r>
              <w:rPr>
                <w:rFonts w:ascii="Liberation Sans" w:hAnsi="Liberation Sans"/>
                <w:b/>
                <w:color w:val="FFFFFF"/>
                <w:sz w:val="17"/>
              </w:rPr>
              <w:t>Interpretation</w:t>
            </w:r>
          </w:p>
        </w:tc>
        <w:tc>
          <w:tcPr>
            <w:tcW w:type="dxa" w:w="2952"/>
            <w:shd w:fill="245C8A" w:val="clear"/>
            <w:tcMar>
              <w:top w:w="70" w:type="dxa"/>
              <w:start w:w="80" w:type="dxa"/>
              <w:bottom w:w="70" w:type="dxa"/>
              <w:end w:w="80" w:type="dxa"/>
            </w:tcMar>
            <w:vAlign w:val="center"/>
          </w:tcPr>
          <w:p>
            <w:pPr>
              <w:jc w:val="left"/>
            </w:pPr>
            <w:r>
              <w:rPr>
                <w:rFonts w:ascii="Liberation Sans" w:hAnsi="Liberation Sans"/>
                <w:b/>
                <w:color w:val="FFFFFF"/>
                <w:sz w:val="17"/>
              </w:rPr>
              <w:t>Domain</w:t>
            </w:r>
          </w:p>
        </w:tc>
        <w:tc>
          <w:tcPr>
            <w:tcW w:type="dxa" w:w="2808"/>
            <w:shd w:fill="245C8A" w:val="clear"/>
            <w:tcMar>
              <w:top w:w="70" w:type="dxa"/>
              <w:start w:w="80" w:type="dxa"/>
              <w:bottom w:w="70" w:type="dxa"/>
              <w:end w:w="80" w:type="dxa"/>
            </w:tcMar>
            <w:vAlign w:val="center"/>
          </w:tcPr>
          <w:p>
            <w:pPr>
              <w:jc w:val="left"/>
            </w:pPr>
            <w:r>
              <w:rPr>
                <w:rFonts w:ascii="Liberation Sans" w:hAnsi="Liberation Sans"/>
                <w:b/>
                <w:color w:val="FFFFFF"/>
                <w:sz w:val="17"/>
              </w:rPr>
              <w:t>Result</w:t>
            </w:r>
          </w:p>
        </w:tc>
        <w:tc>
          <w:tcPr>
            <w:tcW w:type="dxa" w:w="2664"/>
            <w:shd w:fill="245C8A" w:val="clear"/>
            <w:tcMar>
              <w:top w:w="70" w:type="dxa"/>
              <w:start w:w="80" w:type="dxa"/>
              <w:bottom w:w="70" w:type="dxa"/>
              <w:end w:w="80" w:type="dxa"/>
            </w:tcMar>
            <w:vAlign w:val="center"/>
          </w:tcPr>
          <w:p>
            <w:pPr>
              <w:jc w:val="left"/>
            </w:pPr>
            <w:r>
              <w:rPr>
                <w:rFonts w:ascii="Liberation Sans" w:hAnsi="Liberation Sans"/>
                <w:b/>
                <w:color w:val="FFFFFF"/>
                <w:sz w:val="17"/>
              </w:rPr>
              <w:t>Required relation</w:t>
            </w:r>
          </w:p>
        </w:tc>
      </w:tr>
      <w:tr>
        <w:trPr>
          <w:cantSplit/>
        </w:trPr>
        <w:tc>
          <w:tcPr>
            <w:tcW w:type="dxa" w:w="1656"/>
            <w:tcMar>
              <w:top w:w="65" w:type="dxa"/>
              <w:start w:w="80" w:type="dxa"/>
              <w:bottom w:w="65" w:type="dxa"/>
              <w:end w:w="80" w:type="dxa"/>
            </w:tcMar>
            <w:vAlign w:val="top"/>
          </w:tcPr>
          <w:p>
            <w:pPr>
              <w:spacing w:after="0" w:line="240" w:lineRule="auto"/>
            </w:pPr>
            <w:r>
              <w:rPr>
                <w:rFonts w:ascii="Liberation Serif" w:hAnsi="Liberation Serif"/>
                <w:color w:val="1F2937"/>
                <w:sz w:val="17"/>
              </w:rPr>
              <w:t>Concrete</w:t>
            </w:r>
          </w:p>
        </w:tc>
        <w:tc>
          <w:tcPr>
            <w:tcW w:type="dxa" w:w="2952"/>
            <w:tcMar>
              <w:top w:w="65" w:type="dxa"/>
              <w:start w:w="80" w:type="dxa"/>
              <w:bottom w:w="65" w:type="dxa"/>
              <w:end w:w="80" w:type="dxa"/>
            </w:tcMar>
            <w:vAlign w:val="top"/>
          </w:tcPr>
          <w:p>
            <w:pPr>
              <w:spacing w:after="0" w:line="240" w:lineRule="auto"/>
            </w:pPr>
            <w:r>
              <w:rPr>
                <w:rFonts w:ascii="Liberation Serif" w:hAnsi="Liberation Serif"/>
                <w:color w:val="1F2937"/>
                <w:sz w:val="17"/>
              </w:rPr>
              <w:t>Actual typed observations and map state</w:t>
            </w:r>
          </w:p>
        </w:tc>
        <w:tc>
          <w:tcPr>
            <w:tcW w:type="dxa" w:w="2808"/>
            <w:tcMar>
              <w:top w:w="65" w:type="dxa"/>
              <w:start w:w="80" w:type="dxa"/>
              <w:bottom w:w="65" w:type="dxa"/>
              <w:end w:w="80" w:type="dxa"/>
            </w:tcMar>
            <w:vAlign w:val="top"/>
          </w:tcPr>
          <w:p>
            <w:pPr>
              <w:spacing w:after="0" w:line="240" w:lineRule="auto"/>
            </w:pPr>
            <w:r>
              <w:rPr>
                <w:rFonts w:ascii="Liberation Serif" w:hAnsi="Liberation Serif"/>
                <w:color w:val="1F2937"/>
                <w:sz w:val="17"/>
              </w:rPr>
              <w:t>Metric, event, or violation</w:t>
            </w:r>
          </w:p>
        </w:tc>
        <w:tc>
          <w:tcPr>
            <w:tcW w:type="dxa" w:w="2664"/>
            <w:tcMar>
              <w:top w:w="65" w:type="dxa"/>
              <w:start w:w="80" w:type="dxa"/>
              <w:bottom w:w="65" w:type="dxa"/>
              <w:end w:w="80" w:type="dxa"/>
            </w:tcMar>
            <w:vAlign w:val="top"/>
          </w:tcPr>
          <w:p>
            <w:pPr>
              <w:spacing w:after="0" w:line="240" w:lineRule="auto"/>
            </w:pPr>
            <w:r>
              <w:rPr>
                <w:rFonts w:ascii="Liberation Serif" w:hAnsi="Liberation Serif"/>
                <w:color w:val="1F2937"/>
                <w:sz w:val="17"/>
              </w:rPr>
              <w:t>Implements IR operational semantics.</w:t>
            </w:r>
          </w:p>
        </w:tc>
      </w:tr>
      <w:tr>
        <w:trPr>
          <w:cantSplit/>
        </w:trPr>
        <w:tc>
          <w:tcPr>
            <w:tcW w:type="dxa" w:w="1656"/>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Symbolic</w:t>
            </w:r>
          </w:p>
        </w:tc>
        <w:tc>
          <w:tcPr>
            <w:tcW w:type="dxa" w:w="2952"/>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Terms, symbolic heap, path constraints</w:t>
            </w:r>
          </w:p>
        </w:tc>
        <w:tc>
          <w:tcPr>
            <w:tcW w:type="dxa" w:w="2808"/>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Models, counterexamples, path formulas</w:t>
            </w:r>
          </w:p>
        </w:tc>
        <w:tc>
          <w:tcPr>
            <w:tcW w:type="dxa" w:w="2664"/>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Every reported model corresponds to a feasible concrete execution, or approximation is stated.</w:t>
            </w:r>
          </w:p>
        </w:tc>
      </w:tr>
      <w:tr>
        <w:trPr>
          <w:cantSplit/>
        </w:trPr>
        <w:tc>
          <w:tcPr>
            <w:tcW w:type="dxa" w:w="1656"/>
            <w:tcMar>
              <w:top w:w="65" w:type="dxa"/>
              <w:start w:w="80" w:type="dxa"/>
              <w:bottom w:w="65" w:type="dxa"/>
              <w:end w:w="80" w:type="dxa"/>
            </w:tcMar>
            <w:vAlign w:val="top"/>
          </w:tcPr>
          <w:p>
            <w:pPr>
              <w:spacing w:after="0" w:line="240" w:lineRule="auto"/>
            </w:pPr>
            <w:r>
              <w:rPr>
                <w:rFonts w:ascii="Liberation Serif" w:hAnsi="Liberation Serif"/>
                <w:color w:val="1F2937"/>
                <w:sz w:val="17"/>
              </w:rPr>
              <w:t>Abstract</w:t>
            </w:r>
          </w:p>
        </w:tc>
        <w:tc>
          <w:tcPr>
            <w:tcW w:type="dxa" w:w="2952"/>
            <w:tcMar>
              <w:top w:w="65" w:type="dxa"/>
              <w:start w:w="80" w:type="dxa"/>
              <w:bottom w:w="65" w:type="dxa"/>
              <w:end w:w="80" w:type="dxa"/>
            </w:tcMar>
            <w:vAlign w:val="top"/>
          </w:tcPr>
          <w:p>
            <w:pPr>
              <w:spacing w:after="0" w:line="240" w:lineRule="auto"/>
            </w:pPr>
            <w:r>
              <w:rPr>
                <w:rFonts w:ascii="Liberation Serif" w:hAnsi="Liberation Serif"/>
                <w:color w:val="1F2937"/>
                <w:sz w:val="17"/>
              </w:rPr>
              <w:t>Lattice elements and transfer functions</w:t>
            </w:r>
          </w:p>
        </w:tc>
        <w:tc>
          <w:tcPr>
            <w:tcW w:type="dxa" w:w="2808"/>
            <w:tcMar>
              <w:top w:w="65" w:type="dxa"/>
              <w:start w:w="80" w:type="dxa"/>
              <w:bottom w:w="65" w:type="dxa"/>
              <w:end w:w="80" w:type="dxa"/>
            </w:tcMar>
            <w:vAlign w:val="top"/>
          </w:tcPr>
          <w:p>
            <w:pPr>
              <w:spacing w:after="0" w:line="240" w:lineRule="auto"/>
            </w:pPr>
            <w:r>
              <w:rPr>
                <w:rFonts w:ascii="Liberation Serif" w:hAnsi="Liberation Serif"/>
                <w:color w:val="1F2937"/>
                <w:sz w:val="17"/>
              </w:rPr>
              <w:t>Proved, refuted, unknown, residual</w:t>
            </w:r>
          </w:p>
        </w:tc>
        <w:tc>
          <w:tcPr>
            <w:tcW w:type="dxa" w:w="2664"/>
            <w:tcMar>
              <w:top w:w="65" w:type="dxa"/>
              <w:start w:w="80" w:type="dxa"/>
              <w:bottom w:w="65" w:type="dxa"/>
              <w:end w:w="80" w:type="dxa"/>
            </w:tcMar>
            <w:vAlign w:val="top"/>
          </w:tcPr>
          <w:p>
            <w:pPr>
              <w:spacing w:after="0" w:line="240" w:lineRule="auto"/>
            </w:pPr>
            <w:r>
              <w:rPr>
                <w:rFonts w:ascii="Liberation Serif" w:hAnsi="Liberation Serif"/>
                <w:color w:val="1F2937"/>
                <w:sz w:val="17"/>
              </w:rPr>
              <w:t>Concrete states are contained in abstract states; transfers are sound.</w:t>
            </w:r>
          </w:p>
        </w:tc>
      </w:tr>
      <w:tr>
        <w:trPr>
          <w:cantSplit/>
        </w:trPr>
        <w:tc>
          <w:tcPr>
            <w:tcW w:type="dxa" w:w="1656"/>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Logical</w:t>
            </w:r>
          </w:p>
        </w:tc>
        <w:tc>
          <w:tcPr>
            <w:tcW w:type="dxa" w:w="2952"/>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Predicates, inductive traces, theorem statements</w:t>
            </w:r>
          </w:p>
        </w:tc>
        <w:tc>
          <w:tcPr>
            <w:tcW w:type="dxa" w:w="2808"/>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Proof obligation or checked theorem</w:t>
            </w:r>
          </w:p>
        </w:tc>
        <w:tc>
          <w:tcPr>
            <w:tcW w:type="dxa" w:w="2664"/>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Translation preserves property semantics under stated assumptions.</w:t>
            </w:r>
          </w:p>
        </w:tc>
      </w:tr>
    </w:tbl>
    <w:p>
      <w:pPr>
        <w:spacing w:after="0"/>
      </w:pPr>
    </w:p>
    <w:p>
      <w:pPr>
        <w:pStyle w:val="Heading2"/>
      </w:pPr>
      <w:r>
        <w:rPr>
          <w:rFonts w:ascii="Liberation Sans" w:hAnsi="Liberation Sans"/>
          <w:b/>
          <w:color w:val="193E5D"/>
          <w:sz w:val="30"/>
        </w:rPr>
        <w:t>22. Abstract interpretation and abstract machines</w:t>
      </w:r>
    </w:p>
    <w:p>
      <w:pPr>
        <w:spacing w:after="140" w:line="259" w:lineRule="auto"/>
      </w:pPr>
      <w:r>
        <w:rPr>
          <w:rFonts w:ascii="Liberation Serif" w:hAnsi="Liberation Serif"/>
          <w:i/>
          <w:color w:val="193E5D"/>
          <w:sz w:val="22"/>
        </w:rPr>
        <w:t>Abstract interpretation supplies the main theory for turning concrete semantic observations into sound static approximations and for implementing the probe verifier itself.</w:t>
      </w:r>
    </w:p>
    <w:p>
      <w:pPr>
        <w:pStyle w:val="Heading3"/>
      </w:pPr>
      <w:r>
        <w:rPr>
          <w:rFonts w:ascii="Liberation Sans" w:hAnsi="Liberation Sans"/>
          <w:b/>
          <w:color w:val="245C8A"/>
          <w:sz w:val="23"/>
        </w:rPr>
        <w:t>22.1 Concrete and abstract domains</w:t>
      </w:r>
    </w:p>
    <w:p>
      <w:pPr>
        <w:spacing w:line="259" w:lineRule="auto" w:after="80"/>
        <w:ind w:firstLine="317"/>
      </w:pPr>
      <w:r>
        <w:rPr>
          <w:rFonts w:ascii="Liberation Serif" w:hAnsi="Liberation Serif"/>
          <w:color w:val="1F2937"/>
          <w:sz w:val="20"/>
        </w:rPr>
        <w:t>Abstract interpretation relates a concrete semantic domain to an abstract domain through abstraction and concretization functions, often organized as a Galois connection. Concrete execution computes exact but generally undecidable sets of states; abstract execution computes an over-approximation in a tractable lattice. Fixpoint iteration, widening, and narrowing handle loops and recursion (Cousot and Cousot 1977; Nielson, Nielson, and Hankin 1999; Cousot 2021).</w:t>
      </w:r>
    </w:p>
    <w:tbl>
      <w:tblPr>
        <w:tblW w:type="auto" w:w="0"/>
        <w:jc w:val="center"/>
        <w:tblLayout w:type="autofit"/>
        <w:tblLook w:firstColumn="1" w:firstRow="1" w:lastColumn="0" w:lastRow="0" w:noHBand="0" w:noVBand="1" w:val="04A0"/>
      </w:tblPr>
      <w:tblGrid>
        <w:gridCol w:w="9994"/>
      </w:tblGrid>
      <w:tr>
        <w:tc>
          <w:tcPr>
            <w:tcW w:type="dxa" w:w="9994"/>
            <w:shd w:fill="F3F5F7" w:val="clear"/>
            <w:tcBorders>
              <w:top w:val="single" w:sz="6" w:color="9CA8B3"/>
              <w:left w:val="single" w:sz="6" w:color="9CA8B3"/>
              <w:bottom w:val="single" w:sz="6" w:color="9CA8B3"/>
              <w:right w:val="single" w:sz="6" w:color="9CA8B3"/>
            </w:tcBorders>
            <w:tcMar>
              <w:top w:w="110" w:type="dxa"/>
              <w:start w:w="150" w:type="dxa"/>
              <w:bottom w:w="110" w:type="dxa"/>
              <w:end w:w="150" w:type="dxa"/>
            </w:tcMar>
          </w:tcPr>
          <w:p>
            <w:pPr>
              <w:jc w:val="center"/>
            </w:pPr>
            <w:r>
              <w:rPr>
                <w:rFonts w:ascii="DejaVu Sans Mono" w:hAnsi="DejaVu Sans Mono"/>
                <w:color w:val="193E5D"/>
                <w:sz w:val="18"/>
              </w:rPr>
              <w:t>alpha : Concrete -&gt; Abstract      gamma : Abstract -&gt; P(Concrete)</w:t>
            </w:r>
          </w:p>
          <w:p>
            <w:pPr>
              <w:jc w:val="center"/>
            </w:pPr>
            <w:r>
              <w:rPr>
                <w:rFonts w:ascii="Liberation Serif" w:hAnsi="Liberation Serif"/>
                <w:i/>
                <w:color w:val="586474"/>
                <w:sz w:val="17"/>
              </w:rPr>
              <w:t>Soundness requires each concrete state represented by an abstract element to remain represented after abstract transfer.</w:t>
            </w:r>
          </w:p>
        </w:tc>
      </w:tr>
    </w:tbl>
    <w:p>
      <w:pPr>
        <w:spacing w:after="0"/>
      </w:pPr>
    </w:p>
    <w:p>
      <w:pPr>
        <w:pStyle w:val="Heading3"/>
      </w:pPr>
      <w:r>
        <w:rPr>
          <w:rFonts w:ascii="Liberation Sans" w:hAnsi="Liberation Sans"/>
          <w:b/>
          <w:color w:val="245C8A"/>
          <w:sz w:val="23"/>
        </w:rPr>
        <w:t>22.2 Abstracting the JavaScript machine</w:t>
      </w:r>
    </w:p>
    <w:p>
      <w:pPr>
        <w:spacing w:line="259" w:lineRule="auto" w:after="80"/>
        <w:ind w:firstLine="317"/>
      </w:pPr>
      <w:r>
        <w:rPr>
          <w:rFonts w:ascii="Liberation Serif" w:hAnsi="Liberation Serif"/>
          <w:color w:val="1F2937"/>
          <w:sz w:val="20"/>
        </w:rPr>
        <w:t>A JavaScript abstract interpreter must approximate environments, stores, continuations, objects, property keys, prototypes, exceptions, and jobs. Dynamic property names, coercions, eval, proxies, and host functions are major precision challenges. The semantic event ABI can help modularize the analysis: events expose stable effect categories and site IDs, while summaries describe native modules. The event layer does not make JavaScript easy to analyze, but it provides common program points and runtime evidence for evaluating the abstraction.</w:t>
      </w:r>
    </w:p>
    <w:p>
      <w:pPr>
        <w:pStyle w:val="Heading3"/>
      </w:pPr>
      <w:r>
        <w:rPr>
          <w:rFonts w:ascii="Liberation Sans" w:hAnsi="Liberation Sans"/>
          <w:b/>
          <w:color w:val="245C8A"/>
          <w:sz w:val="23"/>
        </w:rPr>
        <w:t>22.3 Abstracting abstract machines</w:t>
      </w:r>
    </w:p>
    <w:p>
      <w:pPr>
        <w:spacing w:line="259" w:lineRule="auto" w:after="80"/>
        <w:ind w:firstLine="317"/>
      </w:pPr>
      <w:r>
        <w:rPr>
          <w:rFonts w:ascii="Liberation Serif" w:hAnsi="Liberation Serif"/>
          <w:color w:val="1F2937"/>
          <w:sz w:val="20"/>
        </w:rPr>
        <w:t>Abstracting Abstract Machines derives static analyses by bounding components of a concrete abstract machine, especially addresses and stores, then computing reachable abstract states (Van Horn and Might 2010). This methodology aligns well with the proposed operational semantics: begin with the same call, return, exception, and job machine used to define events; abstract its state; and derive an analyzer whose semantic sites share IDs with the runtime.</w:t>
      </w:r>
    </w:p>
    <w:p>
      <w:pPr>
        <w:spacing w:line="259" w:lineRule="auto" w:after="80"/>
        <w:ind w:firstLine="317"/>
      </w:pPr>
      <w:r>
        <w:rPr>
          <w:rFonts w:ascii="Liberation Serif" w:hAnsi="Liberation Serif"/>
          <w:color w:val="1F2937"/>
          <w:sz w:val="20"/>
        </w:rPr>
        <w:t>The benefit is trace alignment. When an abstract state at FunctionReturn is imprecise, the workbench can compare it with concrete values observed at the same FunctionID and FrameID across test runs. This does not justify narrowing the abstract state unsoundly, but it identifies where allocation strategies, join points, widening, or host summaries lose precision.</w:t>
      </w:r>
    </w:p>
    <w:p>
      <w:pPr>
        <w:pStyle w:val="Heading3"/>
      </w:pPr>
      <w:r>
        <w:rPr>
          <w:rFonts w:ascii="Liberation Sans" w:hAnsi="Liberation Sans"/>
          <w:b/>
          <w:color w:val="245C8A"/>
          <w:sz w:val="23"/>
        </w:rPr>
        <w:t>22.4 Static discharge and residual obligations</w:t>
      </w:r>
    </w:p>
    <w:p>
      <w:pPr>
        <w:spacing w:line="259" w:lineRule="auto" w:after="80"/>
        <w:ind w:firstLine="317"/>
      </w:pPr>
      <w:r>
        <w:rPr>
          <w:rFonts w:ascii="Liberation Serif" w:hAnsi="Liberation Serif"/>
          <w:color w:val="1F2937"/>
          <w:sz w:val="20"/>
        </w:rPr>
        <w:t>Suppose a postcondition requires balance &gt;= 0. An interval analysis may prove the property for all reachable returns, refute it, or produce the abstract interval [-10,+infinity], which is inconclusive. The compiler records a proof artifact for discharged sites and emits a runtime monitor only at unresolved sites. The runtime trace can then report whether the residual obligation was actually exercised and whether a counterexample occurred. This is residual verification, not unsound profile-guided proof.</w:t>
      </w:r>
    </w:p>
    <w:p>
      <w:pPr>
        <w:pStyle w:val="Heading3"/>
      </w:pPr>
      <w:r>
        <w:rPr>
          <w:rFonts w:ascii="Liberation Sans" w:hAnsi="Liberation Sans"/>
          <w:b/>
          <w:color w:val="245C8A"/>
          <w:sz w:val="23"/>
        </w:rPr>
        <w:t>22.5 Invariant mining as hypothesis generation</w:t>
      </w:r>
    </w:p>
    <w:p>
      <w:pPr>
        <w:spacing w:line="259" w:lineRule="auto" w:after="80"/>
        <w:ind w:firstLine="317"/>
      </w:pPr>
      <w:r>
        <w:rPr>
          <w:rFonts w:ascii="Liberation Serif" w:hAnsi="Liberation Serif"/>
          <w:color w:val="1F2937"/>
          <w:sz w:val="20"/>
        </w:rPr>
        <w:t>Dynamic invariant detection systems such as Daikon infer candidate relations from observed executions: ranges, equalities, linear relationships, sequence properties, and implications. The results are likely invariants relative to the test data, not proofs (Ernst et al. 2001, 2007). Semantic probes improve data quality by collecting values at precisely defined entry, return, throw, job, and property-effect events rather than at manually inserted program points.</w:t>
      </w:r>
    </w:p>
    <w:p>
      <w:pPr>
        <w:spacing w:line="259" w:lineRule="auto" w:after="80"/>
        <w:ind w:firstLine="317"/>
      </w:pPr>
      <w:r>
        <w:rPr>
          <w:rFonts w:ascii="Liberation Serif" w:hAnsi="Liberation Serif"/>
          <w:color w:val="1F2937"/>
          <w:sz w:val="20"/>
        </w:rPr>
        <w:t>Candidates can be fed into a static verifier, as explored by work on static verification of dynamically detected invariants (Nimmer and Ernst 2001). The workbench should preserve provenance: which runs supported the candidate, which values were unknown or truncated, which semantic sites were sampled, and whether the static checker discharged the candidate universally.</w:t>
      </w:r>
    </w:p>
    <w:p>
      <w:pPr>
        <w:pStyle w:val="Heading2"/>
      </w:pPr>
      <w:r>
        <w:rPr>
          <w:rFonts w:ascii="Liberation Sans" w:hAnsi="Liberation Sans"/>
          <w:b/>
          <w:color w:val="193E5D"/>
          <w:sz w:val="30"/>
        </w:rPr>
        <w:t>23. Symbolic execution, concolic testing, and refinement</w:t>
      </w:r>
    </w:p>
    <w:p>
      <w:pPr>
        <w:spacing w:after="140" w:line="259" w:lineRule="auto"/>
      </w:pPr>
      <w:r>
        <w:rPr>
          <w:rFonts w:ascii="Liberation Serif" w:hAnsi="Liberation Serif"/>
          <w:i/>
          <w:color w:val="193E5D"/>
          <w:sz w:val="22"/>
        </w:rPr>
        <w:t>Symbolic execution turns semantic events and probe assertions into path constraints, while concrete traces guide exploration and counterexample minimization.</w:t>
      </w:r>
    </w:p>
    <w:p>
      <w:pPr>
        <w:pStyle w:val="Heading3"/>
      </w:pPr>
      <w:r>
        <w:rPr>
          <w:rFonts w:ascii="Liberation Sans" w:hAnsi="Liberation Sans"/>
          <w:b/>
          <w:color w:val="245C8A"/>
          <w:sz w:val="23"/>
        </w:rPr>
        <w:t>23.1 Symbolic execution</w:t>
      </w:r>
    </w:p>
    <w:p>
      <w:pPr>
        <w:spacing w:line="259" w:lineRule="auto" w:after="80"/>
        <w:ind w:firstLine="317"/>
      </w:pPr>
      <w:r>
        <w:rPr>
          <w:rFonts w:ascii="Liberation Serif" w:hAnsi="Liberation Serif"/>
          <w:color w:val="1F2937"/>
          <w:sz w:val="20"/>
        </w:rPr>
        <w:t>Symbolic execution runs a program over symbolic inputs and accumulates constraints along each branch. Solvers produce concrete assignments that exercise paths or violate assertions (King 1976). For JavaScript, the symbolic state includes dynamic types, object properties, prototypes, exceptions, and host effects. A full symbolic engine is difficult; a semantic-probe IR still provides local assertion semantics and a common representation of obligations.</w:t>
      </w:r>
    </w:p>
    <w:p>
      <w:pPr>
        <w:pStyle w:val="Heading3"/>
      </w:pPr>
      <w:r>
        <w:rPr>
          <w:rFonts w:ascii="Liberation Sans" w:hAnsi="Liberation Sans"/>
          <w:b/>
          <w:color w:val="245C8A"/>
          <w:sz w:val="23"/>
        </w:rPr>
        <w:t>23.2 Concolic execution</w:t>
      </w:r>
    </w:p>
    <w:p>
      <w:pPr>
        <w:spacing w:line="259" w:lineRule="auto" w:after="80"/>
        <w:ind w:firstLine="317"/>
      </w:pPr>
      <w:r>
        <w:rPr>
          <w:rFonts w:ascii="Liberation Serif" w:hAnsi="Liberation Serif"/>
          <w:color w:val="1F2937"/>
          <w:sz w:val="20"/>
        </w:rPr>
        <w:t>Concolic execution combines concrete execution with symbolic tracking. A goja run supplies the concrete path and semantic events; a symbolic companion records predicates at branch or effect sites; negating one predicate produces a new input candidate. Stable SiteIDs make the concrete and symbolic traces align. This can generate tests specifically targeting unresolved contracts, exceptional completions, constructor cases, or async protocol transitions.</w:t>
      </w:r>
    </w:p>
    <w:p>
      <w:pPr>
        <w:pStyle w:val="Heading3"/>
      </w:pPr>
      <w:r>
        <w:rPr>
          <w:rFonts w:ascii="Liberation Sans" w:hAnsi="Liberation Sans"/>
          <w:b/>
          <w:color w:val="245C8A"/>
          <w:sz w:val="23"/>
        </w:rPr>
        <w:t>23.3 Counterexample-guided abstraction refinement</w:t>
      </w:r>
    </w:p>
    <w:p>
      <w:pPr>
        <w:spacing w:line="259" w:lineRule="auto" w:after="80"/>
        <w:ind w:firstLine="317"/>
      </w:pPr>
      <w:r>
        <w:rPr>
          <w:rFonts w:ascii="Liberation Serif" w:hAnsi="Liberation Serif"/>
          <w:color w:val="1F2937"/>
          <w:sz w:val="20"/>
        </w:rPr>
        <w:t>CEGAR begins with an abstraction, checks a property, analyzes a counterexample, and refines the abstraction when the counterexample is spurious (Clarke et al. 2000). Semantic traces can serve as concrete witnesses during this loop. If the abstract analyzer reports a possible FunctionThrow path but no satisfying concrete execution exists, the workbench identifies the branch, property, or host summary responsible for the spurious path and proposes a refinement predicate.</w:t>
      </w:r>
    </w:p>
    <w:tbl>
      <w:tblPr>
        <w:tblW w:type="auto" w:w="0"/>
        <w:jc w:val="center"/>
        <w:tblLayout w:type="autofit"/>
        <w:tblLook w:firstColumn="1" w:firstRow="1" w:lastColumn="0" w:lastRow="0" w:noHBand="0" w:noVBand="1" w:val="04A0"/>
      </w:tblPr>
      <w:tblGrid>
        <w:gridCol w:w="9994"/>
      </w:tblGrid>
      <w:tr>
        <w:tc>
          <w:tcPr>
            <w:tcW w:type="dxa" w:w="9994"/>
            <w:shd w:fill="F3F5F7" w:val="clear"/>
            <w:tcBorders>
              <w:top w:val="single" w:sz="6" w:color="9CA8B3"/>
              <w:left w:val="single" w:sz="6" w:color="9CA8B3"/>
              <w:bottom w:val="single" w:sz="6" w:color="9CA8B3"/>
              <w:right w:val="single" w:sz="6" w:color="9CA8B3"/>
            </w:tcBorders>
            <w:tcMar>
              <w:top w:w="110" w:type="dxa"/>
              <w:start w:w="150" w:type="dxa"/>
              <w:bottom w:w="110" w:type="dxa"/>
              <w:end w:w="150" w:type="dxa"/>
            </w:tcMar>
          </w:tcPr>
          <w:p>
            <w:pPr>
              <w:jc w:val="center"/>
            </w:pPr>
            <w:r>
              <w:rPr>
                <w:rFonts w:ascii="DejaVu Sans Mono" w:hAnsi="DejaVu Sans Mono"/>
                <w:color w:val="193E5D"/>
                <w:sz w:val="18"/>
              </w:rPr>
              <w:t>abstract model -&gt; candidate counterexample -&gt; feasibility check -&gt; refine or report real violation</w:t>
            </w:r>
          </w:p>
          <w:p>
            <w:pPr>
              <w:jc w:val="center"/>
            </w:pPr>
            <w:r>
              <w:rPr>
                <w:rFonts w:ascii="Liberation Serif" w:hAnsi="Liberation Serif"/>
                <w:i/>
                <w:color w:val="586474"/>
                <w:sz w:val="17"/>
              </w:rPr>
              <w:t>Semantic site IDs connect all stages to the same source and VM transitions.</w:t>
            </w:r>
          </w:p>
        </w:tc>
      </w:tr>
    </w:tbl>
    <w:p>
      <w:pPr>
        <w:spacing w:after="0"/>
      </w:pPr>
    </w:p>
    <w:p>
      <w:pPr>
        <w:pStyle w:val="Heading3"/>
      </w:pPr>
      <w:r>
        <w:rPr>
          <w:rFonts w:ascii="Liberation Sans" w:hAnsi="Liberation Sans"/>
          <w:b/>
          <w:color w:val="245C8A"/>
          <w:sz w:val="23"/>
        </w:rPr>
        <w:t>23.4 Differential semantics and test generation</w:t>
      </w:r>
    </w:p>
    <w:p>
      <w:pPr>
        <w:spacing w:line="259" w:lineRule="auto" w:after="80"/>
        <w:ind w:firstLine="317"/>
      </w:pPr>
      <w:r>
        <w:rPr>
          <w:rFonts w:ascii="Liberation Serif" w:hAnsi="Liberation Serif"/>
          <w:color w:val="1F2937"/>
          <w:sz w:val="20"/>
        </w:rPr>
        <w:t>QuickCheck-style property-based generation and Redex random testing show the value of executable models for finding counterexamples (Claessen and Hughes 2000; Felleisen, Findler, and Flatt 2009). The semantic probe workbench can generate JavaScript programs, run them in goja and a reference semantics, normalize both event traces, and minimize the first divergence. Coverage should be measured over formal rules and event cases, not only source branches.</w:t>
      </w:r>
    </w:p>
    <w:p>
      <w:pPr>
        <w:spacing w:line="259" w:lineRule="auto" w:after="80"/>
        <w:ind w:firstLine="317"/>
      </w:pPr>
      <w:r>
        <w:rPr>
          <w:rFonts w:ascii="Liberation Serif" w:hAnsi="Liberation Serif"/>
          <w:color w:val="1F2937"/>
          <w:sz w:val="20"/>
        </w:rPr>
        <w:t>The Run Your Research study found errors while mechanizing published semantics, supporting the practical thesis that lightweight executable formalization pays off during ordinary research rather than only after a mature proof effort (Klein et al. 2012). Semantic probes extend that methodology to a production-style interpreter and its host integration.</w:t>
      </w:r>
    </w:p>
    <w:p>
      <w:pPr>
        <w:pStyle w:val="Heading3"/>
      </w:pPr>
      <w:r>
        <w:rPr>
          <w:rFonts w:ascii="Liberation Sans" w:hAnsi="Liberation Sans"/>
          <w:b/>
          <w:color w:val="245C8A"/>
          <w:sz w:val="23"/>
        </w:rPr>
        <w:t>23.5 Trace-guided proof debugging</w:t>
      </w:r>
    </w:p>
    <w:p>
      <w:pPr>
        <w:spacing w:line="259" w:lineRule="auto" w:after="80"/>
        <w:ind w:firstLine="317"/>
      </w:pPr>
      <w:r>
        <w:rPr>
          <w:rFonts w:ascii="Liberation Serif" w:hAnsi="Liberation Serif"/>
          <w:color w:val="1F2937"/>
          <w:sz w:val="20"/>
        </w:rPr>
        <w:t>When an inductive proof fails, the missing invariant is often difficult to diagnose. A researcher can compile the proposed induction invariant into event assertions and search concrete executions for the first violation. A violation is not a proof that the theorem is false if the event mapping or abstraction differs from the proof model, but it provides a focused configuration and path. The counterexample can become a proof-assistant test case or reveal that the induction hypothesis is too weak.</w:t>
      </w:r>
    </w:p>
    <w:p>
      <w:pPr>
        <w:pStyle w:val="Heading2"/>
      </w:pPr>
      <w:r>
        <w:rPr>
          <w:rFonts w:ascii="Liberation Sans" w:hAnsi="Liberation Sans"/>
          <w:b/>
          <w:color w:val="193E5D"/>
          <w:sz w:val="30"/>
        </w:rPr>
        <w:t>24. Contracts, hybrid checking, and residual verification</w:t>
      </w:r>
    </w:p>
    <w:p>
      <w:pPr>
        <w:spacing w:after="140" w:line="259" w:lineRule="auto"/>
      </w:pPr>
      <w:r>
        <w:rPr>
          <w:rFonts w:ascii="Liberation Serif" w:hAnsi="Liberation Serif"/>
          <w:i/>
          <w:color w:val="193E5D"/>
          <w:sz w:val="22"/>
        </w:rPr>
        <w:t>Contracts give a direct user-facing syntax for semantic probes, while hybrid verification determines which checks remain at runtime.</w:t>
      </w:r>
    </w:p>
    <w:p>
      <w:pPr>
        <w:pStyle w:val="Heading3"/>
      </w:pPr>
      <w:r>
        <w:rPr>
          <w:rFonts w:ascii="Liberation Sans" w:hAnsi="Liberation Sans"/>
          <w:b/>
          <w:color w:val="245C8A"/>
          <w:sz w:val="23"/>
        </w:rPr>
        <w:t>24.1 Preconditions, postconditions, and blame</w:t>
      </w:r>
    </w:p>
    <w:p>
      <w:pPr>
        <w:spacing w:line="259" w:lineRule="auto" w:after="80"/>
        <w:ind w:firstLine="317"/>
      </w:pPr>
      <w:r>
        <w:rPr>
          <w:rFonts w:ascii="Liberation Serif" w:hAnsi="Liberation Serif"/>
          <w:color w:val="1F2937"/>
          <w:sz w:val="20"/>
        </w:rPr>
        <w:t>A function contract relates calls and completions. Preconditions constrain the caller-provided receiver and arguments; postconditions constrain the result and state relation; exceptional postconditions constrain thrown values; invariants may hold at both entry and exit. Higher-order contract work emphasizes blame: when a boundary contract fails, the system should identify whether the provider or client violated its obligation (Findler and Felleisen 2002; Greenberg, Pierce, and Weirich 2010).</w:t>
      </w:r>
    </w:p>
    <w:p>
      <w:pPr>
        <w:spacing w:line="259" w:lineRule="auto" w:after="80"/>
        <w:ind w:firstLine="317"/>
      </w:pPr>
      <w:r>
        <w:rPr>
          <w:rFonts w:ascii="Liberation Serif" w:hAnsi="Liberation Serif"/>
          <w:color w:val="1F2937"/>
          <w:sz w:val="20"/>
        </w:rPr>
        <w:t>A VM-level contract mechanism can observe all invocation paths, including Go-to-JavaScript calls and native functions, but must preserve the distinction between call-site and function-entry events. Blame labels and module identities should be compiler metadata, not inferred from stack strings at failure time.</w:t>
      </w:r>
    </w:p>
    <w:p>
      <w:pPr>
        <w:pStyle w:val="Heading3"/>
      </w:pPr>
      <w:r>
        <w:rPr>
          <w:rFonts w:ascii="Liberation Sans" w:hAnsi="Liberation Sans"/>
          <w:b/>
          <w:color w:val="245C8A"/>
          <w:sz w:val="23"/>
        </w:rPr>
        <w:t>24.2 JavaScript contract execution</w:t>
      </w:r>
    </w:p>
    <w:p>
      <w:pPr>
        <w:spacing w:line="259" w:lineRule="auto" w:after="80"/>
        <w:ind w:firstLine="317"/>
      </w:pPr>
      <w:r>
        <w:rPr>
          <w:rFonts w:ascii="Liberation Serif" w:hAnsi="Liberation Serif"/>
          <w:color w:val="1F2937"/>
          <w:sz w:val="20"/>
        </w:rPr>
        <w:t>TreatJS demonstrates higher-order contracts for JavaScript and highlights the need for contract execution to avoid interfering with the program (Keil and Thiemann 2015). The proposed restricted probe VM strengthens this isolation: contract predicates cannot execute arbitrary JavaScript, invoke getters, mutate objects, or run without a bound unless granted an explicit debugging capability. This restriction reduces expressiveness but improves predictability and makes verification tractable.</w:t>
      </w:r>
    </w:p>
    <w:p>
      <w:pPr>
        <w:pStyle w:val="Heading3"/>
      </w:pPr>
      <w:r>
        <w:rPr>
          <w:rFonts w:ascii="Liberation Sans" w:hAnsi="Liberation Sans"/>
          <w:b/>
          <w:color w:val="245C8A"/>
          <w:sz w:val="23"/>
        </w:rPr>
        <w:t>24.3 Hybrid checking</w:t>
      </w:r>
    </w:p>
    <w:p>
      <w:pPr>
        <w:spacing w:line="259" w:lineRule="auto" w:after="80"/>
        <w:ind w:firstLine="317"/>
      </w:pPr>
      <w:r>
        <w:rPr>
          <w:rFonts w:ascii="Liberation Serif" w:hAnsi="Liberation Serif"/>
          <w:color w:val="1F2937"/>
          <w:sz w:val="20"/>
        </w:rPr>
        <w:t>Hybrid type checking runs static checks where possible and inserts dynamic checks where proof is unavailable (Flanagan 2006). Soft contract verification similarly tries to verify behavioral contracts statically and retain residual runtime checks (Nguyen, Tobin-Hochstadt, and Van Horn 2014). A semantic-probe compiler can implement the same architecture: each contract generates obligations indexed by semantic sites; the static analyzer discharges a subset; the remaining obligations compile to probes.</w:t>
      </w:r>
    </w:p>
    <w:tbl>
      <w:tblPr>
        <w:tblW w:type="auto" w:w="0"/>
        <w:jc w:val="center"/>
        <w:tblLayout w:type="autofit"/>
        <w:tblLook w:firstColumn="1" w:firstRow="1" w:lastColumn="0" w:lastRow="0" w:noHBand="0" w:noVBand="1" w:val="04A0"/>
      </w:tblPr>
      <w:tblGrid>
        <w:gridCol w:w="9994"/>
      </w:tblGrid>
      <w:tr>
        <w:tc>
          <w:tcPr>
            <w:tcW w:type="dxa" w:w="9994"/>
            <w:shd w:fill="F3F5F7" w:val="clear"/>
            <w:tcBorders>
              <w:top w:val="single" w:sz="6" w:color="9CA8B3"/>
              <w:left w:val="single" w:sz="6" w:color="9CA8B3"/>
              <w:bottom w:val="single" w:sz="6" w:color="9CA8B3"/>
              <w:right w:val="single" w:sz="6" w:color="9CA8B3"/>
            </w:tcBorders>
            <w:tcMar>
              <w:top w:w="110" w:type="dxa"/>
              <w:start w:w="150" w:type="dxa"/>
              <w:bottom w:w="110" w:type="dxa"/>
              <w:end w:w="150" w:type="dxa"/>
            </w:tcMar>
          </w:tcPr>
          <w:p>
            <w:pPr>
              <w:jc w:val="center"/>
            </w:pPr>
            <w:r>
              <w:rPr>
                <w:rFonts w:ascii="DejaVu Sans Mono" w:hAnsi="DejaVu Sans Mono"/>
                <w:color w:val="193E5D"/>
                <w:sz w:val="18"/>
              </w:rPr>
              <w:t>Obligations = Proved_static  union  Residual_runtime  union  Rejected_or_unknown</w:t>
            </w:r>
          </w:p>
          <w:p>
            <w:pPr>
              <w:jc w:val="center"/>
            </w:pPr>
            <w:r>
              <w:rPr>
                <w:rFonts w:ascii="Liberation Serif" w:hAnsi="Liberation Serif"/>
                <w:i/>
                <w:color w:val="586474"/>
                <w:sz w:val="17"/>
              </w:rPr>
              <w:t>The artifact records the disposition and assumptions of every obligation.</w:t>
            </w:r>
          </w:p>
        </w:tc>
      </w:tr>
    </w:tbl>
    <w:p>
      <w:pPr>
        <w:spacing w:after="0"/>
      </w:pPr>
    </w:p>
    <w:p>
      <w:pPr>
        <w:pStyle w:val="Heading3"/>
      </w:pPr>
      <w:r>
        <w:rPr>
          <w:rFonts w:ascii="Liberation Sans" w:hAnsi="Liberation Sans"/>
          <w:b/>
          <w:color w:val="245C8A"/>
          <w:sz w:val="23"/>
        </w:rPr>
        <w:t>24.4 Residual monitor manifests</w:t>
      </w:r>
    </w:p>
    <w:p>
      <w:pPr>
        <w:spacing w:line="259" w:lineRule="auto" w:after="80"/>
        <w:ind w:firstLine="317"/>
      </w:pPr>
      <w:r>
        <w:rPr>
          <w:rFonts w:ascii="Liberation Serif" w:hAnsi="Liberation Serif"/>
          <w:color w:val="1F2937"/>
          <w:sz w:val="20"/>
        </w:rPr>
        <w:t>The build should emit a manifest binding source hashes, compiler options, semantic metadata, discharged obligations, residual probe hashes, native-module assumptions, and proof artifacts. At runtime the manager verifies that the loaded program metadata matches the manifest before attaching monitors. A successful run then supplies evidence only for the residual obligations and only under the manifest assumptions.</w:t>
      </w:r>
    </w:p>
    <w:p>
      <w:pPr>
        <w:pStyle w:val="Heading3"/>
      </w:pPr>
      <w:r>
        <w:rPr>
          <w:rFonts w:ascii="Liberation Sans" w:hAnsi="Liberation Sans"/>
          <w:b/>
          <w:color w:val="245C8A"/>
          <w:sz w:val="23"/>
        </w:rPr>
        <w:t>24.5 Contracts versus universal proof</w:t>
      </w:r>
    </w:p>
    <w:p>
      <w:pPr>
        <w:spacing w:line="259" w:lineRule="auto" w:after="80"/>
        <w:ind w:firstLine="317"/>
      </w:pPr>
      <w:r>
        <w:rPr>
          <w:rFonts w:ascii="Liberation Serif" w:hAnsi="Liberation Serif"/>
          <w:color w:val="1F2937"/>
          <w:sz w:val="20"/>
        </w:rPr>
        <w:t>A runtime contract checks actual calls. A static proof establishes a property of all modeled calls. A contract that never fires because the function was not exercised provides no evidence about the function. The workbench should report obligation coverage: attached, reachable, exercised, satisfied, violated, or not observed. This prevents a green dashboard from being mistaken for universal verification.</w:t>
      </w:r>
    </w:p>
    <w:p>
      <w:pPr>
        <w:pStyle w:val="Heading2"/>
      </w:pPr>
      <w:r>
        <w:rPr>
          <w:rFonts w:ascii="Liberation Sans" w:hAnsi="Liberation Sans"/>
          <w:b/>
          <w:color w:val="193E5D"/>
          <w:sz w:val="30"/>
        </w:rPr>
        <w:t>25. Temporal properties and hyperproperties</w:t>
      </w:r>
    </w:p>
    <w:p>
      <w:pPr>
        <w:spacing w:after="140" w:line="259" w:lineRule="auto"/>
      </w:pPr>
      <w:r>
        <w:rPr>
          <w:rFonts w:ascii="Liberation Serif" w:hAnsi="Liberation Serif"/>
          <w:i/>
          <w:color w:val="193E5D"/>
          <w:sz w:val="22"/>
        </w:rPr>
        <w:t>Single-trace temporal monitoring covers protocols and response properties; relational security and equivalence require multiple traces or static proof.</w:t>
      </w:r>
    </w:p>
    <w:p>
      <w:pPr>
        <w:pStyle w:val="Heading3"/>
      </w:pPr>
      <w:r>
        <w:rPr>
          <w:rFonts w:ascii="Liberation Sans" w:hAnsi="Liberation Sans"/>
          <w:b/>
          <w:color w:val="245C8A"/>
          <w:sz w:val="23"/>
        </w:rPr>
        <w:t>25.1 Temporal logic over finite traces</w:t>
      </w:r>
    </w:p>
    <w:p>
      <w:pPr>
        <w:spacing w:line="259" w:lineRule="auto" w:after="80"/>
        <w:ind w:firstLine="317"/>
      </w:pPr>
      <w:r>
        <w:rPr>
          <w:rFonts w:ascii="Liberation Serif" w:hAnsi="Liberation Serif"/>
          <w:color w:val="1F2937"/>
          <w:sz w:val="20"/>
        </w:rPr>
        <w:t>Pnueli introduced temporal logic for reasoning about program executions, and automata-theoretic verification connects temporal formulas with automata over traces (Pnueli 1977; Vardi and Wolper 1986). Runtime verification sees finite prefixes, so semantics must distinguish permanent truth, permanent falsehood, and inconclusive status. LTL on finite traces and related logics provide direct finite-run semantics (De Giacomo and Vardi 2013).</w:t>
      </w:r>
    </w:p>
    <w:p>
      <w:pPr>
        <w:spacing w:line="259" w:lineRule="auto" w:after="80"/>
        <w:ind w:firstLine="317"/>
      </w:pPr>
      <w:r>
        <w:rPr>
          <w:rFonts w:ascii="Liberation Serif" w:hAnsi="Liberation Serif"/>
          <w:color w:val="1F2937"/>
          <w:sz w:val="20"/>
        </w:rPr>
        <w:t>A probe property might state: after transaction begin, commit or rollback must occur before the transaction object is released; after AwaitSuspend, exactly one matching resume or cancellation must occur; a module may call exec only after a capability grant event. Such properties compile naturally to deterministic monitors when the relevant parameter domains and event set are bounded.</w:t>
      </w:r>
    </w:p>
    <w:p>
      <w:pPr>
        <w:pStyle w:val="Heading3"/>
      </w:pPr>
      <w:r>
        <w:rPr>
          <w:rFonts w:ascii="Liberation Sans" w:hAnsi="Liberation Sans"/>
          <w:b/>
          <w:color w:val="245C8A"/>
          <w:sz w:val="23"/>
        </w:rPr>
        <w:t>25.2 Typestate and protocols</w:t>
      </w:r>
    </w:p>
    <w:p>
      <w:pPr>
        <w:spacing w:line="259" w:lineRule="auto" w:after="80"/>
        <w:ind w:firstLine="317"/>
      </w:pPr>
      <w:r>
        <w:rPr>
          <w:rFonts w:ascii="Liberation Serif" w:hAnsi="Liberation Serif"/>
          <w:color w:val="1F2937"/>
          <w:sz w:val="20"/>
        </w:rPr>
        <w:t>Typestate associates permitted operations with an object's abstract state (Strom and Yemini 1986). Semantic probes can enforce typestate dynamically for host resources, iterators, transactions, requests, or Promise-like objects. Static analysis can approximate the same automata. The shared monitor IR makes it possible to compare static typestate results with actual protocol traces and to leave residual checks where aliasing or dynamic dispatch defeats the static analysis.</w:t>
      </w:r>
    </w:p>
    <w:p>
      <w:pPr>
        <w:pStyle w:val="Heading3"/>
      </w:pPr>
      <w:r>
        <w:rPr>
          <w:rFonts w:ascii="Liberation Sans" w:hAnsi="Liberation Sans"/>
          <w:b/>
          <w:color w:val="245C8A"/>
          <w:sz w:val="23"/>
        </w:rPr>
        <w:t>25.3 Hyperproperties</w:t>
      </w:r>
    </w:p>
    <w:p>
      <w:pPr>
        <w:spacing w:line="259" w:lineRule="auto" w:after="80"/>
        <w:ind w:firstLine="317"/>
      </w:pPr>
      <w:r>
        <w:rPr>
          <w:rFonts w:ascii="Liberation Serif" w:hAnsi="Liberation Serif"/>
          <w:color w:val="1F2937"/>
          <w:sz w:val="20"/>
        </w:rPr>
        <w:t>Hyperproperties are sets of sets of traces; they express requirements relating multiple executions, including noninterference, observational determinism, and some equivalence properties (Clarkson and Schneider 2010). A single-run monitor cannot establish general noninterference because the property compares outputs across secret variations. HyperLTL and monitoring algorithms for hyperproperties provide a formal basis for multi-run trace analysis (Clarkson et al. 2014; Finkbeiner et al. 2017).</w:t>
      </w:r>
    </w:p>
    <w:p>
      <w:pPr>
        <w:spacing w:line="259" w:lineRule="auto" w:after="80"/>
        <w:ind w:firstLine="317"/>
      </w:pPr>
      <w:r>
        <w:rPr>
          <w:rFonts w:ascii="Liberation Serif" w:hAnsi="Liberation Serif"/>
          <w:color w:val="1F2937"/>
          <w:sz w:val="20"/>
        </w:rPr>
        <w:t>The workbench should include a hyper-monitor layer that groups traces by an input relation, alpha-renames identities, aligns events, and compares selected observations. Examples include differential testing of two interpreter versions, checking determinism under repeated recorded host inputs, studying constant-operation traces for selected secrets, and validating an optimization against an unoptimized build. These are stronger claims than ordinary runtime monitoring and require a carefully defined trace relation.</w:t>
      </w:r>
    </w:p>
    <w:p>
      <w:pPr>
        <w:pStyle w:val="Heading3"/>
      </w:pPr>
      <w:r>
        <w:rPr>
          <w:rFonts w:ascii="Liberation Sans" w:hAnsi="Liberation Sans"/>
          <w:b/>
          <w:color w:val="245C8A"/>
          <w:sz w:val="23"/>
        </w:rPr>
        <w:t>25.4 Sampling and temporal soundness</w:t>
      </w:r>
    </w:p>
    <w:p>
      <w:pPr>
        <w:spacing w:line="259" w:lineRule="auto" w:after="80"/>
        <w:ind w:firstLine="317"/>
      </w:pPr>
      <w:r>
        <w:rPr>
          <w:rFonts w:ascii="Liberation Serif" w:hAnsi="Liberation Serif"/>
          <w:color w:val="1F2937"/>
          <w:sz w:val="20"/>
        </w:rPr>
        <w:t>Sampling is usually incompatible with exact temporal monitoring. Missing one begin or close event changes the protocol trace. The event manager should classify analyses as sample-safe or exact. Counts and statistical latency profiles may tolerate sampling; safety monitors, trace certificates, semantic coverage, and hyperproperty alignment generally cannot. When events are sampled, the trace schema should record the sampling process so that statistical estimators can be interpreted correctly.</w:t>
      </w:r>
    </w:p>
    <w:p>
      <w:pPr>
        <w:pStyle w:val="Heading2"/>
      </w:pPr>
      <w:r>
        <w:rPr>
          <w:rFonts w:ascii="Liberation Sans" w:hAnsi="Liberation Sans"/>
          <w:b/>
          <w:color w:val="193E5D"/>
          <w:sz w:val="30"/>
        </w:rPr>
        <w:t>26. Proof-relevant traces and independently checked evidence</w:t>
      </w:r>
    </w:p>
    <w:p>
      <w:pPr>
        <w:spacing w:after="140" w:line="259" w:lineRule="auto"/>
      </w:pPr>
      <w:r>
        <w:rPr>
          <w:rFonts w:ascii="Liberation Serif" w:hAnsi="Liberation Serif"/>
          <w:i/>
          <w:color w:val="193E5D"/>
          <w:sz w:val="22"/>
        </w:rPr>
        <w:t>A proof-relevant trace records not only what happened but enough bounded witness information to check why a declared transition was valid.</w:t>
      </w:r>
    </w:p>
    <w:p>
      <w:pPr>
        <w:pStyle w:val="Heading3"/>
      </w:pPr>
      <w:r>
        <w:rPr>
          <w:rFonts w:ascii="Liberation Sans" w:hAnsi="Liberation Sans"/>
          <w:b/>
          <w:color w:val="245C8A"/>
          <w:sz w:val="23"/>
        </w:rPr>
        <w:t>26.1 From logs to certificates</w:t>
      </w:r>
    </w:p>
    <w:p>
      <w:pPr>
        <w:spacing w:line="259" w:lineRule="auto" w:after="80"/>
        <w:ind w:firstLine="317"/>
      </w:pPr>
      <w:r>
        <w:rPr>
          <w:rFonts w:ascii="Liberation Serif" w:hAnsi="Liberation Serif"/>
          <w:color w:val="1F2937"/>
          <w:sz w:val="20"/>
        </w:rPr>
        <w:t>Ordinary logs are intended for humans and often omit state required to validate a claim. A proof-relevant event includes a rule or operation identifier, source and semantic site IDs, causal predecessors, selected pre-state and post-state projections, and a witness appropriate to the transition. For a property write, the witness may include the property key category and descriptor mode; for a return, the completion kind and frame relation; for a job start, the enqueue event and queue class.</w:t>
      </w:r>
    </w:p>
    <w:p>
      <w:pPr>
        <w:spacing w:line="259" w:lineRule="auto" w:after="80"/>
        <w:ind w:firstLine="317"/>
      </w:pPr>
      <w:r>
        <w:rPr>
          <w:rFonts w:ascii="Liberation Serif" w:hAnsi="Liberation Serif"/>
          <w:color w:val="1F2937"/>
          <w:sz w:val="20"/>
        </w:rPr>
        <w:t>The checker should be smaller and simpler than the producer. It can validate local transition schemas, causal consistency, monitor-state updates, map capacity facts, and trace digests. This resembles proof-carrying code and translation validation: complex producers generate evidence, while a small checker decides whether to accept it (Necula 1997; Pnueli, Siegel, and Singerman 1998).</w:t>
      </w:r>
    </w:p>
    <w:p>
      <w:pPr>
        <w:pStyle w:val="Heading3"/>
      </w:pPr>
      <w:r>
        <w:rPr>
          <w:rFonts w:ascii="Liberation Sans" w:hAnsi="Liberation Sans"/>
          <w:b/>
          <w:color w:val="245C8A"/>
          <w:sz w:val="23"/>
        </w:rPr>
        <w:t>26.2 Local versus global checking</w:t>
      </w:r>
    </w:p>
    <w:p>
      <w:pPr>
        <w:spacing w:line="259" w:lineRule="auto" w:after="80"/>
        <w:ind w:firstLine="317"/>
      </w:pPr>
      <w:r>
        <w:rPr>
          <w:rFonts w:ascii="Liberation Serif" w:hAnsi="Liberation Serif"/>
          <w:color w:val="1F2937"/>
          <w:sz w:val="20"/>
        </w:rPr>
        <w:t>Local checking verifies each event against adjacent or referenced records. Global checking validates nesting, uniqueness, causal acyclicity, protocol completeness, and source metadata. Some JavaScript transitions require more state than can be retained in every event. The design can use periodic state commitments or hashes, with selective expanded witnesses for audited events. Cryptographic integrity protects against accidental or malicious modification but does not establish semantic correctness of the producer.</w:t>
      </w:r>
    </w:p>
    <w:p>
      <w:pPr>
        <w:pStyle w:val="Heading3"/>
      </w:pPr>
      <w:r>
        <w:rPr>
          <w:rFonts w:ascii="Liberation Sans" w:hAnsi="Liberation Sans"/>
          <w:b/>
          <w:color w:val="245C8A"/>
          <w:sz w:val="23"/>
        </w:rPr>
        <w:t>26.3 Certificates for one run are not universal proofs</w:t>
      </w:r>
    </w:p>
    <w:p>
      <w:pPr>
        <w:spacing w:line="259" w:lineRule="auto" w:after="80"/>
        <w:ind w:firstLine="317"/>
      </w:pPr>
      <w:r>
        <w:rPr>
          <w:rFonts w:ascii="Liberation Serif" w:hAnsi="Liberation Serif"/>
          <w:color w:val="1F2937"/>
          <w:sz w:val="20"/>
        </w:rPr>
        <w:t>An independently checked trace certifies a particular execution under a particular model and manifest. It can show that the monitor updated correctly and that no recorded bad state occurred. It does not establish that all inputs or schedules satisfy the property. Universal proof requires induction, model checking, abstract interpretation, symbolic coverage, or another argument over the entire semantics.</w:t>
      </w:r>
    </w:p>
    <w:p>
      <w:pPr>
        <w:pStyle w:val="Heading3"/>
      </w:pPr>
      <w:r>
        <w:rPr>
          <w:rFonts w:ascii="Liberation Sans" w:hAnsi="Liberation Sans"/>
          <w:b/>
          <w:color w:val="245C8A"/>
          <w:sz w:val="23"/>
        </w:rPr>
        <w:t>26.4 Reproducible artifact bundle</w:t>
      </w:r>
    </w:p>
    <w:p>
      <w:pPr>
        <w:spacing w:after="60"/>
        <w:keepNext/>
      </w:pPr>
      <w:r>
        <w:rPr>
          <w:rFonts w:ascii="Liberation Sans" w:hAnsi="Liberation Sans"/>
          <w:b/>
          <w:color w:val="193E5D"/>
          <w:sz w:val="18"/>
        </w:rPr>
        <w:t>Table 11. Components of a reproducible semantic-probe artifact.</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rPr>
        <w:tc>
          <w:tcPr>
            <w:tcW w:type="dxa" w:w="3024"/>
            <w:shd w:fill="245C8A" w:val="clear"/>
            <w:tcMar>
              <w:top w:w="70" w:type="dxa"/>
              <w:start w:w="80" w:type="dxa"/>
              <w:bottom w:w="70" w:type="dxa"/>
              <w:end w:w="80" w:type="dxa"/>
            </w:tcMar>
            <w:vAlign w:val="center"/>
          </w:tcPr>
          <w:p>
            <w:pPr>
              <w:jc w:val="left"/>
            </w:pPr>
            <w:r>
              <w:rPr>
                <w:rFonts w:ascii="Liberation Sans" w:hAnsi="Liberation Sans"/>
                <w:b/>
                <w:color w:val="FFFFFF"/>
                <w:sz w:val="17"/>
              </w:rPr>
              <w:t>Artifact</w:t>
            </w:r>
          </w:p>
        </w:tc>
        <w:tc>
          <w:tcPr>
            <w:tcW w:type="dxa" w:w="6912"/>
            <w:shd w:fill="245C8A" w:val="clear"/>
            <w:tcMar>
              <w:top w:w="70" w:type="dxa"/>
              <w:start w:w="80" w:type="dxa"/>
              <w:bottom w:w="70" w:type="dxa"/>
              <w:end w:w="80" w:type="dxa"/>
            </w:tcMar>
            <w:vAlign w:val="center"/>
          </w:tcPr>
          <w:p>
            <w:pPr>
              <w:jc w:val="left"/>
            </w:pPr>
            <w:r>
              <w:rPr>
                <w:rFonts w:ascii="Liberation Sans" w:hAnsi="Liberation Sans"/>
                <w:b/>
                <w:color w:val="FFFFFF"/>
                <w:sz w:val="17"/>
              </w:rPr>
              <w:t>Purpose</w:t>
            </w:r>
          </w:p>
        </w:tc>
      </w:tr>
      <w:tr>
        <w:trPr>
          <w:cantSplit/>
        </w:trPr>
        <w:tc>
          <w:tcPr>
            <w:tcW w:type="dxa" w:w="3024"/>
            <w:tcMar>
              <w:top w:w="65" w:type="dxa"/>
              <w:start w:w="80" w:type="dxa"/>
              <w:bottom w:w="65" w:type="dxa"/>
              <w:end w:w="80" w:type="dxa"/>
            </w:tcMar>
            <w:vAlign w:val="top"/>
          </w:tcPr>
          <w:p>
            <w:pPr>
              <w:spacing w:after="0" w:line="240" w:lineRule="auto"/>
            </w:pPr>
            <w:r>
              <w:rPr>
                <w:rFonts w:ascii="Liberation Serif" w:hAnsi="Liberation Serif"/>
                <w:color w:val="1F2937"/>
                <w:sz w:val="17"/>
              </w:rPr>
              <w:t>Source and dependency hashes</w:t>
            </w:r>
          </w:p>
        </w:tc>
        <w:tc>
          <w:tcPr>
            <w:tcW w:type="dxa" w:w="6912"/>
            <w:tcMar>
              <w:top w:w="65" w:type="dxa"/>
              <w:start w:w="80" w:type="dxa"/>
              <w:bottom w:w="65" w:type="dxa"/>
              <w:end w:w="80" w:type="dxa"/>
            </w:tcMar>
            <w:vAlign w:val="top"/>
          </w:tcPr>
          <w:p>
            <w:pPr>
              <w:spacing w:after="0" w:line="240" w:lineRule="auto"/>
            </w:pPr>
            <w:r>
              <w:rPr>
                <w:rFonts w:ascii="Liberation Serif" w:hAnsi="Liberation Serif"/>
                <w:color w:val="1F2937"/>
                <w:sz w:val="17"/>
              </w:rPr>
              <w:t>Identify the exact JavaScript, goja, go-go-goja, native modules, and formal model.</w:t>
            </w:r>
          </w:p>
        </w:tc>
      </w:tr>
      <w:tr>
        <w:trPr>
          <w:cantSplit/>
        </w:trPr>
        <w:tc>
          <w:tcPr>
            <w:tcW w:type="dxa" w:w="3024"/>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Semantic metadata</w:t>
            </w:r>
          </w:p>
        </w:tc>
        <w:tc>
          <w:tcPr>
            <w:tcW w:type="dxa" w:w="6912"/>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Relate source spans, functions, sites, bindings, rules, and VM program locations.</w:t>
            </w:r>
          </w:p>
        </w:tc>
      </w:tr>
      <w:tr>
        <w:trPr>
          <w:cantSplit/>
        </w:trPr>
        <w:tc>
          <w:tcPr>
            <w:tcW w:type="dxa" w:w="3024"/>
            <w:tcMar>
              <w:top w:w="65" w:type="dxa"/>
              <w:start w:w="80" w:type="dxa"/>
              <w:bottom w:w="65" w:type="dxa"/>
              <w:end w:w="80" w:type="dxa"/>
            </w:tcMar>
            <w:vAlign w:val="top"/>
          </w:tcPr>
          <w:p>
            <w:pPr>
              <w:spacing w:after="0" w:line="240" w:lineRule="auto"/>
            </w:pPr>
            <w:r>
              <w:rPr>
                <w:rFonts w:ascii="Liberation Serif" w:hAnsi="Liberation Serif"/>
                <w:color w:val="1F2937"/>
                <w:sz w:val="17"/>
              </w:rPr>
              <w:t>Probe source and verified IR</w:t>
            </w:r>
          </w:p>
        </w:tc>
        <w:tc>
          <w:tcPr>
            <w:tcW w:type="dxa" w:w="6912"/>
            <w:tcMar>
              <w:top w:w="65" w:type="dxa"/>
              <w:start w:w="80" w:type="dxa"/>
              <w:bottom w:w="65" w:type="dxa"/>
              <w:end w:w="80" w:type="dxa"/>
            </w:tcMar>
            <w:vAlign w:val="top"/>
          </w:tcPr>
          <w:p>
            <w:pPr>
              <w:spacing w:after="0" w:line="240" w:lineRule="auto"/>
            </w:pPr>
            <w:r>
              <w:rPr>
                <w:rFonts w:ascii="Liberation Serif" w:hAnsi="Liberation Serif"/>
                <w:color w:val="1F2937"/>
                <w:sz w:val="17"/>
              </w:rPr>
              <w:t>Allow independent inspection of the property and executed monitor.</w:t>
            </w:r>
          </w:p>
        </w:tc>
      </w:tr>
      <w:tr>
        <w:trPr>
          <w:cantSplit/>
        </w:trPr>
        <w:tc>
          <w:tcPr>
            <w:tcW w:type="dxa" w:w="3024"/>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Manifest and assumptions</w:t>
            </w:r>
          </w:p>
        </w:tc>
        <w:tc>
          <w:tcPr>
            <w:tcW w:type="dxa" w:w="6912"/>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Declare capabilities, discharged/residual obligations, host contracts, and limits.</w:t>
            </w:r>
          </w:p>
        </w:tc>
      </w:tr>
      <w:tr>
        <w:trPr>
          <w:cantSplit/>
        </w:trPr>
        <w:tc>
          <w:tcPr>
            <w:tcW w:type="dxa" w:w="3024"/>
            <w:tcMar>
              <w:top w:w="65" w:type="dxa"/>
              <w:start w:w="80" w:type="dxa"/>
              <w:bottom w:w="65" w:type="dxa"/>
              <w:end w:w="80" w:type="dxa"/>
            </w:tcMar>
            <w:vAlign w:val="top"/>
          </w:tcPr>
          <w:p>
            <w:pPr>
              <w:spacing w:after="0" w:line="240" w:lineRule="auto"/>
            </w:pPr>
            <w:r>
              <w:rPr>
                <w:rFonts w:ascii="Liberation Serif" w:hAnsi="Liberation Serif"/>
                <w:color w:val="1F2937"/>
                <w:sz w:val="17"/>
              </w:rPr>
              <w:t>Trace or aggregate certificate</w:t>
            </w:r>
          </w:p>
        </w:tc>
        <w:tc>
          <w:tcPr>
            <w:tcW w:type="dxa" w:w="6912"/>
            <w:tcMar>
              <w:top w:w="65" w:type="dxa"/>
              <w:start w:w="80" w:type="dxa"/>
              <w:bottom w:w="65" w:type="dxa"/>
              <w:end w:w="80" w:type="dxa"/>
            </w:tcMar>
            <w:vAlign w:val="top"/>
          </w:tcPr>
          <w:p>
            <w:pPr>
              <w:spacing w:after="0" w:line="240" w:lineRule="auto"/>
            </w:pPr>
            <w:r>
              <w:rPr>
                <w:rFonts w:ascii="Liberation Serif" w:hAnsi="Liberation Serif"/>
                <w:color w:val="1F2937"/>
                <w:sz w:val="17"/>
              </w:rPr>
              <w:t>Record events, causal links, monitor transitions, loss status, and digests.</w:t>
            </w:r>
          </w:p>
        </w:tc>
      </w:tr>
      <w:tr>
        <w:trPr>
          <w:cantSplit/>
        </w:trPr>
        <w:tc>
          <w:tcPr>
            <w:tcW w:type="dxa" w:w="3024"/>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Independent checker and queries</w:t>
            </w:r>
          </w:p>
        </w:tc>
        <w:tc>
          <w:tcPr>
            <w:tcW w:type="dxa" w:w="6912"/>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Recompute verdicts, coverage, metrics, and selected transition checks.</w:t>
            </w:r>
          </w:p>
        </w:tc>
      </w:tr>
    </w:tbl>
    <w:p>
      <w:pPr>
        <w:spacing w:after="0"/>
      </w:pPr>
    </w:p>
    <w:p>
      <w:r>
        <w:br w:type="page"/>
      </w:r>
    </w:p>
    <w:p>
      <w:pPr>
        <w:pStyle w:val="Heading1"/>
        <w:spacing w:before="0" w:after="160"/>
      </w:pPr>
      <w:r>
        <w:rPr>
          <w:rFonts w:ascii="Liberation Sans" w:hAnsi="Liberation Sans"/>
          <w:b/>
          <w:color w:val="193E5D"/>
          <w:sz w:val="40"/>
        </w:rPr>
        <w:t>Part VI. JavaScript, goja, and the academic workbench</w:t>
      </w:r>
    </w:p>
    <w:p>
      <w:pPr>
        <w:spacing w:after="320"/>
      </w:pPr>
      <w:r>
        <w:rPr>
          <w:rFonts w:ascii="Liberation Serif" w:hAnsi="Liberation Serif"/>
          <w:i/>
          <w:color w:val="586474"/>
          <w:sz w:val="22"/>
        </w:rPr>
        <w:t>Concrete implications for ECMAScript, goja internals, go-go-goja integration, and everyday research practice.</w:t>
      </w:r>
    </w:p>
    <w:p>
      <w:pPr>
        <w:pStyle w:val="Heading2"/>
      </w:pPr>
      <w:r>
        <w:rPr>
          <w:rFonts w:ascii="Liberation Sans" w:hAnsi="Liberation Sans"/>
          <w:b/>
          <w:color w:val="193E5D"/>
          <w:sz w:val="30"/>
        </w:rPr>
        <w:t>27. JavaScript semantics and executable specifications</w:t>
      </w:r>
    </w:p>
    <w:p>
      <w:pPr>
        <w:spacing w:after="140" w:line="259" w:lineRule="auto"/>
      </w:pPr>
      <w:r>
        <w:rPr>
          <w:rFonts w:ascii="Liberation Serif" w:hAnsi="Liberation Serif"/>
          <w:i/>
          <w:color w:val="193E5D"/>
          <w:sz w:val="22"/>
        </w:rPr>
        <w:t>JavaScript is a demanding test case because specification devices, dynamic language features, host effects, and implementation structures do not align trivially.</w:t>
      </w:r>
    </w:p>
    <w:p>
      <w:pPr>
        <w:pStyle w:val="Heading3"/>
      </w:pPr>
      <w:r>
        <w:rPr>
          <w:rFonts w:ascii="Liberation Sans" w:hAnsi="Liberation Sans"/>
          <w:b/>
          <w:color w:val="245C8A"/>
          <w:sz w:val="23"/>
        </w:rPr>
        <w:t>27.1 ECMAScript as the reference specification</w:t>
      </w:r>
    </w:p>
    <w:p>
      <w:pPr>
        <w:spacing w:line="259" w:lineRule="auto" w:after="80"/>
        <w:ind w:firstLine="317"/>
      </w:pPr>
      <w:r>
        <w:rPr>
          <w:rFonts w:ascii="Liberation Serif" w:hAnsi="Liberation Serif"/>
          <w:color w:val="1F2937"/>
          <w:sz w:val="20"/>
        </w:rPr>
        <w:t>ECMA-262 defines algorithms, completion records, environment records, execution contexts, Jobs, object internal methods, and host hooks. It explicitly states that execution contexts are specification devices and need not correspond to implementation artifacts. Jobs are abstract closures scheduled by hosts under defined constraints, while many surrounding event-loop policies remain host-defined (ECMA International 2026). These statements directly motivate an abstraction layer rather than exposing goja stacks as if they were the specification.</w:t>
      </w:r>
    </w:p>
    <w:p>
      <w:pPr>
        <w:pStyle w:val="Heading3"/>
      </w:pPr>
      <w:r>
        <w:rPr>
          <w:rFonts w:ascii="Liberation Sans" w:hAnsi="Liberation Sans"/>
          <w:b/>
          <w:color w:val="245C8A"/>
          <w:sz w:val="23"/>
        </w:rPr>
        <w:t>27.2 Core calculi and operational models</w:t>
      </w:r>
    </w:p>
    <w:p>
      <w:pPr>
        <w:spacing w:line="259" w:lineRule="auto" w:after="80"/>
        <w:ind w:firstLine="317"/>
      </w:pPr>
      <w:r>
        <w:rPr>
          <w:rFonts w:ascii="Liberation Serif" w:hAnsi="Liberation Serif"/>
          <w:color w:val="1F2937"/>
          <w:sz w:val="20"/>
        </w:rPr>
        <w:t>Research semantics often desugar JavaScript into a smaller core calculus or give a direct operational semantics. The Essence of JavaScript develops a core calculus and desugaring approach; Maffeis, Mitchell, and Taly present an operational semantics intended to cover substantial language behavior (Maffeis, Mitchell, and Taly 2008; Guha, Saftoiu, and Krishnamurthi 2010). These models help define source-level event categories and reveal where surface constructs elaborate into common semantic operations.</w:t>
      </w:r>
    </w:p>
    <w:p>
      <w:pPr>
        <w:pStyle w:val="Heading3"/>
      </w:pPr>
      <w:r>
        <w:rPr>
          <w:rFonts w:ascii="Liberation Sans" w:hAnsi="Liberation Sans"/>
          <w:b/>
          <w:color w:val="245C8A"/>
          <w:sz w:val="23"/>
        </w:rPr>
        <w:t>27.3 Mechanized and executable JavaScript semantics</w:t>
      </w:r>
    </w:p>
    <w:p>
      <w:pPr>
        <w:spacing w:line="259" w:lineRule="auto" w:after="80"/>
        <w:ind w:firstLine="317"/>
      </w:pPr>
      <w:r>
        <w:rPr>
          <w:rFonts w:ascii="Liberation Serif" w:hAnsi="Liberation Serif"/>
          <w:color w:val="1F2937"/>
          <w:sz w:val="20"/>
        </w:rPr>
        <w:t>JSCert combines a mechanized specification with an extracted interpreter and validates it against test suites. KJS defines an executable semantics in K and uses symbolic execution and semantic coverage. JavaScript program logics reason about heaps, prototypes, property access, and dynamic features. These projects demonstrate that executable or mechanized JavaScript semantics can support both formal results and practical defect discovery (Bodin et al. 2014; Park, Stefanescu, and Rosu 2015; Gardner, Maffeis, and Smith 2012).</w:t>
      </w:r>
    </w:p>
    <w:p>
      <w:pPr>
        <w:pStyle w:val="Heading3"/>
      </w:pPr>
      <w:r>
        <w:rPr>
          <w:rFonts w:ascii="Liberation Sans" w:hAnsi="Liberation Sans"/>
          <w:b/>
          <w:color w:val="245C8A"/>
          <w:sz w:val="23"/>
        </w:rPr>
        <w:t>27.4 Double debugging and semantic coverage</w:t>
      </w:r>
    </w:p>
    <w:p>
      <w:pPr>
        <w:spacing w:line="259" w:lineRule="auto" w:after="80"/>
        <w:ind w:firstLine="317"/>
      </w:pPr>
      <w:r>
        <w:rPr>
          <w:rFonts w:ascii="Liberation Serif" w:hAnsi="Liberation Serif"/>
          <w:color w:val="1F2937"/>
          <w:sz w:val="20"/>
        </w:rPr>
        <w:t>JSExplain exposes the state of a specification-oriented interpreter alongside the interpreted program, enabling users to step through both levels (Chargueraud, Schmitt, and Wood 2018). A semantic probe workbench can generalize this idea by aligning three views: JavaScript source, formal rule or abstract operation, and goja VM event. KJS demonstrates the complementary value of semantic-rule coverage: tests can cover source lines while missing semantic cases. Event and rule IDs let coverage be reported over the semantics itself.</w:t>
      </w:r>
    </w:p>
    <w:p>
      <w:pPr>
        <w:pStyle w:val="Heading3"/>
      </w:pPr>
      <w:r>
        <w:rPr>
          <w:rFonts w:ascii="Liberation Sans" w:hAnsi="Liberation Sans"/>
          <w:b/>
          <w:color w:val="245C8A"/>
          <w:sz w:val="23"/>
        </w:rPr>
        <w:t>27.5 Specification evolution</w:t>
      </w:r>
    </w:p>
    <w:p>
      <w:pPr>
        <w:spacing w:line="259" w:lineRule="auto" w:after="80"/>
        <w:ind w:firstLine="317"/>
      </w:pPr>
      <w:r>
        <w:rPr>
          <w:rFonts w:ascii="Liberation Serif" w:hAnsi="Liberation Serif"/>
          <w:color w:val="1F2937"/>
          <w:sz w:val="20"/>
        </w:rPr>
        <w:t>The ECMAScript specification evolves yearly, and goja implements a particular feature set. Every semantic adapter should be versioned by specification edition and formal-model commit. Events whose meaning depends on newer features should declare feature gates. The system should not imply that one event schema completely captures all future ECMAScript behavior; it should support extension with compatibility tests and explicit deprecation.</w:t>
      </w:r>
    </w:p>
    <w:p>
      <w:pPr>
        <w:pStyle w:val="Heading2"/>
      </w:pPr>
      <w:r>
        <w:rPr>
          <w:rFonts w:ascii="Liberation Sans" w:hAnsi="Liberation Sans"/>
          <w:b/>
          <w:color w:val="193E5D"/>
          <w:sz w:val="30"/>
        </w:rPr>
        <w:t>28. Mapping goja execution to a semantic event ABI</w:t>
      </w:r>
    </w:p>
    <w:p>
      <w:pPr>
        <w:spacing w:after="140" w:line="259" w:lineRule="auto"/>
      </w:pPr>
      <w:r>
        <w:rPr>
          <w:rFonts w:ascii="Liberation Serif" w:hAnsi="Liberation Serif"/>
          <w:i/>
          <w:color w:val="193E5D"/>
          <w:sz w:val="22"/>
        </w:rPr>
        <w:t>goja is suitable because the interpreter and object model are implemented in Go, but correct hooks must cover all invocation and unwind paths.</w:t>
      </w:r>
    </w:p>
    <w:p>
      <w:pPr>
        <w:pStyle w:val="Heading3"/>
      </w:pPr>
      <w:r>
        <w:rPr>
          <w:rFonts w:ascii="Liberation Sans" w:hAnsi="Liberation Sans"/>
          <w:b/>
          <w:color w:val="245C8A"/>
          <w:sz w:val="23"/>
        </w:rPr>
        <w:t>28.1 Relevant goja structure</w:t>
      </w:r>
    </w:p>
    <w:p>
      <w:pPr>
        <w:spacing w:line="259" w:lineRule="auto" w:after="80"/>
        <w:ind w:firstLine="317"/>
      </w:pPr>
      <w:r>
        <w:rPr>
          <w:rFonts w:ascii="Liberation Serif" w:hAnsi="Liberation Serif"/>
          <w:color w:val="1F2937"/>
          <w:sz w:val="20"/>
        </w:rPr>
        <w:t>In the inspected goja source snapshot, the VM maintains the active Program and program counter, value stack, stack and argument indexes, lexical stash, call stack, iterator and reference stacks, try stack, new-target and result values, interrupt state, async runner, and profiler tracker. Instructions implement an internal exec(vm) interface, and the run loop dispatches the active instruction. This structure gives direct access to semantic transition points but also means the instrumentation API must be designed within goja or a maintained fork (Dop251 2026).</w:t>
      </w:r>
    </w:p>
    <w:p>
      <w:pPr>
        <w:spacing w:line="259" w:lineRule="auto" w:after="80"/>
        <w:ind w:firstLine="317"/>
      </w:pPr>
      <w:r>
        <w:rPr>
          <w:rFonts w:ascii="Liberation Serif" w:hAnsi="Liberation Serif"/>
          <w:color w:val="1F2937"/>
          <w:sz w:val="20"/>
        </w:rPr>
        <w:t>The Program representation stores internal instructions, a function name, source file, and source mapping. Public APIs support parsing, compiling, and running Programs. These are useful foundations for stable metadata, but the existing public API does not expose the full VM state or semantic hooks required by the proposal.</w:t>
      </w:r>
    </w:p>
    <w:p>
      <w:pPr>
        <w:pStyle w:val="Heading3"/>
      </w:pPr>
      <w:r>
        <w:rPr>
          <w:rFonts w:ascii="Liberation Sans" w:hAnsi="Liberation Sans"/>
          <w:b/>
          <w:color w:val="245C8A"/>
          <w:sz w:val="23"/>
        </w:rPr>
        <w:t>28.2 Calls and entries</w:t>
      </w:r>
    </w:p>
    <w:p>
      <w:pPr>
        <w:spacing w:line="259" w:lineRule="auto" w:after="80"/>
        <w:ind w:firstLine="317"/>
      </w:pPr>
      <w:r>
        <w:rPr>
          <w:rFonts w:ascii="Liberation Serif" w:hAnsi="Liberation Serif"/>
          <w:color w:val="1F2937"/>
          <w:sz w:val="20"/>
        </w:rPr>
        <w:t>Ordinary bytecode calls dispatch through a callee object's vmCall method. Interpreted functions switch VM context and begin executing a new Program; native functions call Go code synchronously and update the caller stack; Go code can also invoke JavaScript functions through external call paths. A complete event layer must route or wrap each path through one invocation lifecycle. Patching only the ordinary call instruction would miss external and internal invocation paths.</w:t>
      </w:r>
    </w:p>
    <w:p>
      <w:pPr>
        <w:spacing w:line="259" w:lineRule="auto" w:after="80"/>
        <w:ind w:firstLine="317"/>
      </w:pPr>
      <w:r>
        <w:rPr>
          <w:rFonts w:ascii="Liberation Serif" w:hAnsi="Liberation Serif"/>
          <w:color w:val="1F2937"/>
          <w:sz w:val="20"/>
        </w:rPr>
        <w:t>CallBefore should be emitted while caller arguments and receiver are stable. FunctionEnter should be emitted only after the function prologue establishes parameter and local state. A correlation record belongs to the saved caller context so that the eventual return or unwind can produce CallAfter or CallThrow even though the interpreted call did not complete synchronously.</w:t>
      </w:r>
    </w:p>
    <w:p>
      <w:pPr>
        <w:pStyle w:val="Heading3"/>
      </w:pPr>
      <w:r>
        <w:rPr>
          <w:rFonts w:ascii="Liberation Sans" w:hAnsi="Liberation Sans"/>
          <w:b/>
          <w:color w:val="245C8A"/>
          <w:sz w:val="23"/>
        </w:rPr>
        <w:t>28.3 Returns and unwinding</w:t>
      </w:r>
    </w:p>
    <w:p>
      <w:pPr>
        <w:spacing w:line="259" w:lineRule="auto" w:after="80"/>
        <w:ind w:firstLine="317"/>
      </w:pPr>
      <w:r>
        <w:rPr>
          <w:rFonts w:ascii="Liberation Serif" w:hAnsi="Liberation Serif"/>
          <w:color w:val="1F2937"/>
          <w:sz w:val="20"/>
        </w:rPr>
        <w:t>The inspected VM implements normal return by moving the result into the caller-facing stack slot, restoring the previous context, and advancing the caller program counter. Exception handling restores stack, stash, private environment, and call-stack state while searching try frames. Semantic exit events must execute before relevant frame information is discarded, and exception exit events must be generated for every crossed frame. This is the highest-risk correctness area because one abrupt completion can remove multiple frames (Dop251 2026).</w:t>
      </w:r>
    </w:p>
    <w:p>
      <w:pPr>
        <w:pStyle w:val="Heading3"/>
      </w:pPr>
      <w:r>
        <w:rPr>
          <w:rFonts w:ascii="Liberation Sans" w:hAnsi="Liberation Sans"/>
          <w:b/>
          <w:color w:val="245C8A"/>
          <w:sz w:val="23"/>
        </w:rPr>
        <w:t>28.4 Constructors, async runners, and generators</w:t>
      </w:r>
    </w:p>
    <w:p>
      <w:pPr>
        <w:spacing w:line="259" w:lineRule="auto" w:after="80"/>
        <w:ind w:firstLine="317"/>
      </w:pPr>
      <w:r>
        <w:rPr>
          <w:rFonts w:ascii="Liberation Serif" w:hAnsi="Liberation Serif"/>
          <w:color w:val="1F2937"/>
          <w:sz w:val="20"/>
        </w:rPr>
        <w:t>Constructors, super calls, async function runners, and generators have separate paths. The patch plan should first create internal common helpers for semantic invocation and completion, then migrate paths incrementally while preserving tests. Async settlement should be modeled separately from synchronous Promise return. Generator creation should be separated from body entry and later resume events.</w:t>
      </w:r>
    </w:p>
    <w:p>
      <w:pPr>
        <w:pStyle w:val="Heading3"/>
      </w:pPr>
      <w:r>
        <w:rPr>
          <w:rFonts w:ascii="Liberation Sans" w:hAnsi="Liberation Sans"/>
          <w:b/>
          <w:color w:val="245C8A"/>
          <w:sz w:val="23"/>
        </w:rPr>
        <w:t>28.5 Disabled-path design</w:t>
      </w:r>
    </w:p>
    <w:p>
      <w:pPr>
        <w:spacing w:line="259" w:lineRule="auto" w:after="80"/>
        <w:ind w:firstLine="317"/>
      </w:pPr>
      <w:r>
        <w:rPr>
          <w:rFonts w:ascii="Liberation Serif" w:hAnsi="Liberation Serif"/>
          <w:color w:val="1F2937"/>
          <w:sz w:val="20"/>
        </w:rPr>
        <w:t>The fast path should be designed before the dispatcher. For call-level events, one predictable event-mask check at the semantic boundary is the target. Instruction-level tracing should select a separate run loop when enabled, similar in shape to goja's specialized profiling path, rather than placing an unconditional generic callback around every instruction. Attachment selectors should already be resolved to compact IDs or bitsets.</w:t>
      </w:r>
    </w:p>
    <w:p>
      <w:pPr>
        <w:spacing w:after="40"/>
        <w:keepNext/>
      </w:pPr>
      <w:r>
        <w:rPr>
          <w:rFonts w:ascii="Liberation Sans" w:hAnsi="Liberation Sans"/>
          <w:b/>
          <w:color w:val="193E5D"/>
          <w:sz w:val="17"/>
        </w:rPr>
        <w:t>Schematic hook shape. Exact stack access must follow goja internals and event contracts.</w:t>
      </w:r>
    </w:p>
    <w:tbl>
      <w:tblPr>
        <w:tblW w:type="auto" w:w="0"/>
        <w:jc w:val="center"/>
        <w:tblLook w:firstColumn="1" w:firstRow="1" w:lastColumn="0" w:lastRow="0" w:noHBand="0" w:noVBand="1" w:val="04A0"/>
      </w:tblPr>
      <w:tblGrid>
        <w:gridCol w:w="9994"/>
      </w:tblGrid>
      <w:tr>
        <w:tc>
          <w:tcPr>
            <w:tcW w:type="dxa" w:w="9994"/>
            <w:shd w:fill="F7F8FA" w:val="clear"/>
            <w:tcBorders>
              <w:top w:val="single" w:sz="5" w:color="CBD3DA"/>
              <w:left w:val="single" w:sz="5" w:color="CBD3DA"/>
              <w:bottom w:val="single" w:sz="5" w:color="CBD3DA"/>
              <w:right w:val="single" w:sz="5" w:color="CBD3DA"/>
            </w:tcBorders>
            <w:tcMar>
              <w:top w:w="110" w:type="dxa"/>
              <w:start w:w="130" w:type="dxa"/>
              <w:bottom w:w="110" w:type="dxa"/>
              <w:end w:w="130" w:type="dxa"/>
            </w:tcMar>
          </w:tcPr>
          <w:p>
            <w:pPr>
              <w:spacing w:after="0" w:line="240" w:lineRule="auto"/>
            </w:pPr>
            <w:r>
              <w:rPr>
                <w:rFonts w:ascii="DejaVu Sans Mono" w:hAnsi="DejaVu Sans Mono"/>
                <w:color w:val="263442"/>
                <w:sz w:val="16"/>
              </w:rPr>
              <w:t>// schematic internal fast path</w:t>
              <w:br/>
              <w:t>if vm.probes.eventMask &amp; EventCallBefore != 0 {</w:t>
              <w:br/>
              <w:t xml:space="preserve">    vm.probes.fireCallBefore(vm, callee, argc, siteID)</w:t>
              <w:br/>
              <w:t>}</w:t>
              <w:br/>
              <w:t>callee.self.vmCall(vm, argc)</w:t>
              <w:br/>
              <w:br/>
              <w:t>// interpreted calls complete later through return or unwind;</w:t>
              <w:br/>
              <w:t>// native calls may complete synchronously.</w:t>
            </w:r>
          </w:p>
        </w:tc>
      </w:tr>
    </w:tbl>
    <w:p>
      <w:pPr>
        <w:spacing w:after="0"/>
      </w:pPr>
    </w:p>
    <w:p>
      <w:pPr>
        <w:pStyle w:val="Heading2"/>
      </w:pPr>
      <w:r>
        <w:rPr>
          <w:rFonts w:ascii="Liberation Sans" w:hAnsi="Liberation Sans"/>
          <w:b/>
          <w:color w:val="193E5D"/>
          <w:sz w:val="30"/>
        </w:rPr>
        <w:t>29. Stable metadata and the semantic map</w:t>
      </w:r>
    </w:p>
    <w:p>
      <w:pPr>
        <w:spacing w:after="140" w:line="259" w:lineRule="auto"/>
      </w:pPr>
      <w:r>
        <w:rPr>
          <w:rFonts w:ascii="Liberation Serif" w:hAnsi="Liberation Serif"/>
          <w:i/>
          <w:color w:val="193E5D"/>
          <w:sz w:val="22"/>
        </w:rPr>
        <w:t>Metadata is the bridge among source code, compiler decisions, VM execution, formal semantics, and research artifacts.</w:t>
      </w:r>
    </w:p>
    <w:p>
      <w:pPr>
        <w:pStyle w:val="Heading3"/>
      </w:pPr>
      <w:r>
        <w:rPr>
          <w:rFonts w:ascii="Liberation Sans" w:hAnsi="Liberation Sans"/>
          <w:b/>
          <w:color w:val="245C8A"/>
          <w:sz w:val="23"/>
        </w:rPr>
        <w:t>29.1 Program and site identifiers</w:t>
      </w:r>
    </w:p>
    <w:p>
      <w:pPr>
        <w:spacing w:line="259" w:lineRule="auto" w:after="80"/>
        <w:ind w:firstLine="317"/>
      </w:pPr>
      <w:r>
        <w:rPr>
          <w:rFonts w:ascii="Liberation Serif" w:hAnsi="Liberation Serif"/>
          <w:color w:val="1F2937"/>
          <w:sz w:val="20"/>
        </w:rPr>
        <w:t>ProgramID should derive from normalized source content, compiler options, language mode, and relevant dependency metadata. Within a Program, deterministic numbering can assign FunctionID, CallSiteID, BindingID, BranchSiteID, EffectSiteID, and JobOriginID. IDs need not be globally meaningful without the ProgramID; together they provide stable keys for probes, traces, coverage, and proof obligations.</w:t>
      </w:r>
    </w:p>
    <w:p>
      <w:pPr>
        <w:pStyle w:val="Heading3"/>
      </w:pPr>
      <w:r>
        <w:rPr>
          <w:rFonts w:ascii="Liberation Sans" w:hAnsi="Liberation Sans"/>
          <w:b/>
          <w:color w:val="245C8A"/>
          <w:sz w:val="23"/>
        </w:rPr>
        <w:t>29.2 Binding locations and liveness</w:t>
      </w:r>
    </w:p>
    <w:p>
      <w:pPr>
        <w:spacing w:line="259" w:lineRule="auto" w:after="80"/>
        <w:ind w:firstLine="317"/>
      </w:pPr>
      <w:r>
        <w:rPr>
          <w:rFonts w:ascii="Liberation Serif" w:hAnsi="Liberation Serif"/>
          <w:color w:val="1F2937"/>
          <w:sz w:val="20"/>
        </w:rPr>
        <w:t>Reading lexical locals is more difficult than reading arguments. A compiler may place a binding in a stack slot, stash, closure environment, or optimized representation; it may not be live at every site. The compiler should emit a binding-location table indexed by semantic site or program-counter range. read_local(BindingID) is valid only when the table says the binding is live and the capability permits it. This prevents probes from depending on raw stack indexes.</w:t>
      </w:r>
    </w:p>
    <w:p>
      <w:pPr>
        <w:pStyle w:val="Heading3"/>
      </w:pPr>
      <w:r>
        <w:rPr>
          <w:rFonts w:ascii="Liberation Sans" w:hAnsi="Liberation Sans"/>
          <w:b/>
          <w:color w:val="245C8A"/>
          <w:sz w:val="23"/>
        </w:rPr>
        <w:t>29.3 Mapping to specification operations and formal rules</w:t>
      </w:r>
    </w:p>
    <w:p>
      <w:pPr>
        <w:spacing w:line="259" w:lineRule="auto" w:after="80"/>
        <w:ind w:firstLine="317"/>
      </w:pPr>
      <w:r>
        <w:rPr>
          <w:rFonts w:ascii="Liberation Serif" w:hAnsi="Liberation Serif"/>
          <w:color w:val="1F2937"/>
          <w:sz w:val="20"/>
        </w:rPr>
        <w:t>A proof adapter can associate sites or macro-events with ECMA-262 abstract-operation identifiers and with rule identifiers from a Redex, K, Rocq, or Lean model. The mapping may be one-to-many: one VM macro-step can implement several specification algorithms, and one formal rule can span several VM sites. The metadata should allow ranges and hierarchical labels rather than force a false one-to-one relation.</w:t>
      </w:r>
    </w:p>
    <w:p>
      <w:pPr>
        <w:pStyle w:val="Heading3"/>
      </w:pPr>
      <w:r>
        <w:rPr>
          <w:rFonts w:ascii="Liberation Sans" w:hAnsi="Liberation Sans"/>
          <w:b/>
          <w:color w:val="245C8A"/>
          <w:sz w:val="23"/>
        </w:rPr>
        <w:t>29.4 Source maps and generated code</w:t>
      </w:r>
    </w:p>
    <w:p>
      <w:pPr>
        <w:spacing w:line="259" w:lineRule="auto" w:after="80"/>
        <w:ind w:firstLine="317"/>
      </w:pPr>
      <w:r>
        <w:rPr>
          <w:rFonts w:ascii="Liberation Serif" w:hAnsi="Liberation Serif"/>
          <w:color w:val="1F2937"/>
          <w:sz w:val="20"/>
        </w:rPr>
        <w:t>Goja supports source maps. The semantic map should preserve both generated and original spans, because performance and VM debugging may need generated positions while academic claims refer to source constructs. Dynamic code receives a synthetic origin chain: the event and source site that invoked eval, Function, or a module loader, plus a content hash of the generated source.</w:t>
      </w:r>
    </w:p>
    <w:p>
      <w:pPr>
        <w:pStyle w:val="Heading3"/>
      </w:pPr>
      <w:r>
        <w:rPr>
          <w:rFonts w:ascii="Liberation Sans" w:hAnsi="Liberation Sans"/>
          <w:b/>
          <w:color w:val="245C8A"/>
          <w:sz w:val="23"/>
        </w:rPr>
        <w:t>29.5 Metadata validation</w:t>
      </w:r>
    </w:p>
    <w:p>
      <w:pPr>
        <w:spacing w:line="259" w:lineRule="auto" w:after="80"/>
        <w:ind w:firstLine="317"/>
      </w:pPr>
      <w:r>
        <w:rPr>
          <w:rFonts w:ascii="Liberation Serif" w:hAnsi="Liberation Serif"/>
          <w:color w:val="1F2937"/>
          <w:sz w:val="20"/>
        </w:rPr>
        <w:t>Metadata is generated by a complex compiler and can be wrong. The toolchain should validate monotonic source ranges, site uniqueness, binding liveness consistency, instruction-range bounds, and hashes. Translation-validation checks can also replay simple stack-effect facts or compare event-site annotations against compiled control flow. Traces must include the metadata hash so that an event cannot be interpreted against a different build.</w:t>
      </w:r>
    </w:p>
    <w:p>
      <w:pPr>
        <w:pStyle w:val="Heading2"/>
      </w:pPr>
      <w:r>
        <w:rPr>
          <w:rFonts w:ascii="Liberation Sans" w:hAnsi="Liberation Sans"/>
          <w:b/>
          <w:color w:val="193E5D"/>
          <w:sz w:val="30"/>
        </w:rPr>
        <w:t>30. Daily academic tools and research workflows</w:t>
      </w:r>
    </w:p>
    <w:p>
      <w:pPr>
        <w:spacing w:after="140" w:line="259" w:lineRule="auto"/>
      </w:pPr>
      <w:r>
        <w:rPr>
          <w:rFonts w:ascii="Liberation Serif" w:hAnsi="Liberation Serif"/>
          <w:i/>
          <w:color w:val="193E5D"/>
          <w:sz w:val="22"/>
        </w:rPr>
        <w:t>The architecture succeeds only if it lowers the cost of routine semantics work: exploring a rule, finding a counterexample, aligning models, and packaging evidence.</w:t>
      </w:r>
    </w:p>
    <w:p>
      <w:pPr>
        <w:spacing w:after="40"/>
        <w:jc w:val="center"/>
        <w:keepNext/>
      </w:pPr>
      <w:r>
        <w:drawing>
          <wp:inline xmlns:a="http://schemas.openxmlformats.org/drawingml/2006/main" xmlns:pic="http://schemas.openxmlformats.org/drawingml/2006/picture">
            <wp:extent cx="6172200" cy="4561415"/>
            <wp:docPr id="8" name="Picture 8" title="Figure 8. A daily loop from semantic hypothesis through execution, comparison, refinement, and artifact publication." descr="Circular workflow: state rule or invariant, compile metadata and attach probes, execute workloads, compare and minimize traces, discharge proof or refine analysis, publish reproducible artifact."/>
            <wp:cNvGraphicFramePr>
              <a:graphicFrameLocks noChangeAspect="1"/>
            </wp:cNvGraphicFramePr>
            <a:graphic>
              <a:graphicData uri="http://schemas.openxmlformats.org/drawingml/2006/picture">
                <pic:pic>
                  <pic:nvPicPr>
                    <pic:cNvPr id="0" name="workbench_cycle.png"/>
                    <pic:cNvPicPr/>
                  </pic:nvPicPr>
                  <pic:blipFill>
                    <a:blip r:embed="rId18"/>
                    <a:stretch>
                      <a:fillRect/>
                    </a:stretch>
                  </pic:blipFill>
                  <pic:spPr>
                    <a:xfrm>
                      <a:off x="0" y="0"/>
                      <a:ext cx="6172200" cy="4561415"/>
                    </a:xfrm>
                    <a:prstGeom prst="rect"/>
                  </pic:spPr>
                </pic:pic>
              </a:graphicData>
            </a:graphic>
          </wp:inline>
        </w:drawing>
      </w:r>
    </w:p>
    <w:p>
      <w:pPr>
        <w:spacing w:after="140"/>
        <w:jc w:val="center"/>
      </w:pPr>
      <w:r>
        <w:rPr>
          <w:rFonts w:ascii="Liberation Serif" w:hAnsi="Liberation Serif"/>
          <w:i/>
          <w:color w:val="586474"/>
          <w:sz w:val="17"/>
        </w:rPr>
        <w:t>Figure 8. A daily loop from semantic hypothesis through execution, comparison, refinement, and artifact publication.</w:t>
      </w:r>
    </w:p>
    <w:p>
      <w:pPr>
        <w:pStyle w:val="Heading3"/>
      </w:pPr>
      <w:r>
        <w:rPr>
          <w:rFonts w:ascii="Liberation Sans" w:hAnsi="Liberation Sans"/>
          <w:b/>
          <w:color w:val="245C8A"/>
          <w:sz w:val="23"/>
        </w:rPr>
        <w:t>30.1 Semantic double debugger</w:t>
      </w:r>
    </w:p>
    <w:p>
      <w:pPr>
        <w:spacing w:line="259" w:lineRule="auto" w:after="80"/>
        <w:ind w:firstLine="317"/>
      </w:pPr>
      <w:r>
        <w:rPr>
          <w:rFonts w:ascii="Liberation Serif" w:hAnsi="Liberation Serif"/>
          <w:color w:val="1F2937"/>
          <w:sz w:val="20"/>
        </w:rPr>
        <w:t>The debugger should present synchronized panes for source code, formal rule or abstract operation, semantic event, monitor state, and selected VM projection. Stepping can be by source statement, semantic macro-event, formal rule, job boundary, or call frame. A divergence mode runs a reference semantics and goja together and stops at the first normalized event disagreement. This extends the double-debugger methodology of JSExplain to an implementation/reference comparison (Chargueraud, Schmitt, and Wood 2018).</w:t>
      </w:r>
    </w:p>
    <w:p>
      <w:pPr>
        <w:pStyle w:val="Heading3"/>
      </w:pPr>
      <w:r>
        <w:rPr>
          <w:rFonts w:ascii="Liberation Sans" w:hAnsi="Liberation Sans"/>
          <w:b/>
          <w:color w:val="245C8A"/>
          <w:sz w:val="23"/>
        </w:rPr>
        <w:t>30.2 Semantic coverage explorer</w:t>
      </w:r>
    </w:p>
    <w:p>
      <w:pPr>
        <w:spacing w:line="259" w:lineRule="auto" w:after="80"/>
        <w:ind w:firstLine="317"/>
      </w:pPr>
      <w:r>
        <w:rPr>
          <w:rFonts w:ascii="Liberation Serif" w:hAnsi="Liberation Serif"/>
          <w:color w:val="1F2937"/>
          <w:sz w:val="20"/>
        </w:rPr>
        <w:t>Coverage should include event cases, formal rules, specification operations, completion kinds, exceptional edges, proxy paths, Promise transitions, and native summary edges. A test suite can then answer: which return-through-finally cases were exercised; which constructor branches remain uncovered; whether every monitor transition has a witness; and whether a paper's claimed language subset has executable tests for each rule. Redex and KJS provide strong precedents for semantics-driven testing and coverage (Felleisen, Findler, and Flatt 2009; Park, Stefanescu, and Rosu 2015).</w:t>
      </w:r>
    </w:p>
    <w:p>
      <w:pPr>
        <w:pStyle w:val="Heading3"/>
      </w:pPr>
      <w:r>
        <w:rPr>
          <w:rFonts w:ascii="Liberation Sans" w:hAnsi="Liberation Sans"/>
          <w:b/>
          <w:color w:val="245C8A"/>
          <w:sz w:val="23"/>
        </w:rPr>
        <w:t>30.3 Invariant miner and candidate-lemma generator</w:t>
      </w:r>
    </w:p>
    <w:p>
      <w:pPr>
        <w:spacing w:line="259" w:lineRule="auto" w:after="80"/>
        <w:ind w:firstLine="317"/>
      </w:pPr>
      <w:r>
        <w:rPr>
          <w:rFonts w:ascii="Liberation Serif" w:hAnsi="Liberation Serif"/>
          <w:color w:val="1F2937"/>
          <w:sz w:val="20"/>
        </w:rPr>
        <w:t>Researchers can select semantic sites and value projections, run generated or corpus workloads, and infer likely invariants. Candidates appear with support counts, counterexamples, unknown-value rates, and site provenance. One click exports a candidate to the contract language, SMT-LIB, or a proof-assistant lemma template. The interface must label candidates as hypotheses until statically proved or otherwise justified (Ernst et al. 2001, 2007).</w:t>
      </w:r>
    </w:p>
    <w:p>
      <w:pPr>
        <w:pStyle w:val="Heading3"/>
      </w:pPr>
      <w:r>
        <w:rPr>
          <w:rFonts w:ascii="Liberation Sans" w:hAnsi="Liberation Sans"/>
          <w:b/>
          <w:color w:val="245C8A"/>
          <w:sz w:val="23"/>
        </w:rPr>
        <w:t>30.4 Proof debugger</w:t>
      </w:r>
    </w:p>
    <w:p>
      <w:pPr>
        <w:spacing w:line="259" w:lineRule="auto" w:after="80"/>
        <w:ind w:firstLine="317"/>
      </w:pPr>
      <w:r>
        <w:rPr>
          <w:rFonts w:ascii="Liberation Serif" w:hAnsi="Liberation Serif"/>
          <w:color w:val="1F2937"/>
          <w:sz w:val="20"/>
        </w:rPr>
        <w:t>A proof debugger attaches executable forms of induction hypotheses, simulation invariants, or representation relations. On violation it displays the smallest event prefix and projected configuration that falsifies the candidate. The user can request test minimization, compare the formal and concrete states, and export the case. This is particularly useful before investing in long interactive proofs.</w:t>
      </w:r>
    </w:p>
    <w:p>
      <w:pPr>
        <w:pStyle w:val="Heading3"/>
      </w:pPr>
      <w:r>
        <w:rPr>
          <w:rFonts w:ascii="Liberation Sans" w:hAnsi="Liberation Sans"/>
          <w:b/>
          <w:color w:val="245C8A"/>
          <w:sz w:val="23"/>
        </w:rPr>
        <w:t>30.5 Abstract-analysis calibrator</w:t>
      </w:r>
    </w:p>
    <w:p>
      <w:pPr>
        <w:spacing w:line="259" w:lineRule="auto" w:after="80"/>
        <w:ind w:firstLine="317"/>
      </w:pPr>
      <w:r>
        <w:rPr>
          <w:rFonts w:ascii="Liberation Serif" w:hAnsi="Liberation Serif"/>
          <w:color w:val="1F2937"/>
          <w:sz w:val="20"/>
        </w:rPr>
        <w:t>The calibrator aligns concrete event observations with abstract states. It shows where the abstract state is precise, where it contains impossible values, and which join or summary introduced the imprecision. Concrete traces cannot justify removing abstract possibilities, but they guide domain design and regression tests. CEGAR can use solver-checked feasibility to turn this guidance into sound refinement.</w:t>
      </w:r>
    </w:p>
    <w:p>
      <w:pPr>
        <w:pStyle w:val="Heading3"/>
      </w:pPr>
      <w:r>
        <w:rPr>
          <w:rFonts w:ascii="Liberation Sans" w:hAnsi="Liberation Sans"/>
          <w:b/>
          <w:color w:val="245C8A"/>
          <w:sz w:val="23"/>
        </w:rPr>
        <w:t>30.6 Temporal protocol laboratory</w:t>
      </w:r>
    </w:p>
    <w:p>
      <w:pPr>
        <w:spacing w:line="259" w:lineRule="auto" w:after="80"/>
        <w:ind w:firstLine="317"/>
      </w:pPr>
      <w:r>
        <w:rPr>
          <w:rFonts w:ascii="Liberation Serif" w:hAnsi="Liberation Serif"/>
          <w:color w:val="1F2937"/>
          <w:sz w:val="20"/>
        </w:rPr>
        <w:t>A graphical or textual automaton editor defines parameterized protocols over semantic events. The tool generates the probe IR, an offline replay monitor, a property-based test generator, and theorem-prover definitions. Live views show monitor instances keyed by object, transaction, Promise, or job identity. Capacity and eviction status are visible so that monitoring gaps cannot be mistaken for success.</w:t>
      </w:r>
    </w:p>
    <w:p>
      <w:pPr>
        <w:pStyle w:val="Heading3"/>
      </w:pPr>
      <w:r>
        <w:rPr>
          <w:rFonts w:ascii="Liberation Sans" w:hAnsi="Liberation Sans"/>
          <w:b/>
          <w:color w:val="245C8A"/>
          <w:sz w:val="23"/>
        </w:rPr>
        <w:t>30.7 Artifact packager</w:t>
      </w:r>
    </w:p>
    <w:p>
      <w:pPr>
        <w:spacing w:line="259" w:lineRule="auto" w:after="80"/>
        <w:ind w:firstLine="317"/>
      </w:pPr>
      <w:r>
        <w:rPr>
          <w:rFonts w:ascii="Liberation Serif" w:hAnsi="Liberation Serif"/>
          <w:color w:val="1F2937"/>
          <w:sz w:val="20"/>
        </w:rPr>
        <w:t>The packager creates a directory or archive containing pinned sources, semantic metadata, monitor sources and IR, native summaries, input corpus or generator seeds, traces or aggregate certificates, benchmark configuration, and an independent checker. A paper can cite a query that recomputes a table or reproduces a divergence. This makes semantic claims inspectable without requiring the reader to trust screenshots or manually reconstructed logs.</w:t>
      </w:r>
    </w:p>
    <w:p>
      <w:pPr>
        <w:spacing w:after="60"/>
        <w:keepNext/>
      </w:pPr>
      <w:r>
        <w:rPr>
          <w:rFonts w:ascii="Liberation Sans" w:hAnsi="Liberation Sans"/>
          <w:b/>
          <w:color w:val="193E5D"/>
          <w:sz w:val="18"/>
        </w:rPr>
        <w:t>Table 12. Proposed daily research tools.</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2232"/>
            <w:shd w:fill="245C8A" w:val="clear"/>
            <w:tcMar>
              <w:top w:w="70" w:type="dxa"/>
              <w:start w:w="80" w:type="dxa"/>
              <w:bottom w:w="70" w:type="dxa"/>
              <w:end w:w="80" w:type="dxa"/>
            </w:tcMar>
            <w:vAlign w:val="center"/>
          </w:tcPr>
          <w:p>
            <w:pPr>
              <w:jc w:val="left"/>
            </w:pPr>
            <w:r>
              <w:rPr>
                <w:rFonts w:ascii="Liberation Sans" w:hAnsi="Liberation Sans"/>
                <w:b/>
                <w:color w:val="FFFFFF"/>
                <w:sz w:val="17"/>
              </w:rPr>
              <w:t>Tool</w:t>
            </w:r>
          </w:p>
        </w:tc>
        <w:tc>
          <w:tcPr>
            <w:tcW w:type="dxa" w:w="3816"/>
            <w:shd w:fill="245C8A" w:val="clear"/>
            <w:tcMar>
              <w:top w:w="70" w:type="dxa"/>
              <w:start w:w="80" w:type="dxa"/>
              <w:bottom w:w="70" w:type="dxa"/>
              <w:end w:w="80" w:type="dxa"/>
            </w:tcMar>
            <w:vAlign w:val="center"/>
          </w:tcPr>
          <w:p>
            <w:pPr>
              <w:jc w:val="left"/>
            </w:pPr>
            <w:r>
              <w:rPr>
                <w:rFonts w:ascii="Liberation Sans" w:hAnsi="Liberation Sans"/>
                <w:b/>
                <w:color w:val="FFFFFF"/>
                <w:sz w:val="17"/>
              </w:rPr>
              <w:t>Primary input</w:t>
            </w:r>
          </w:p>
        </w:tc>
        <w:tc>
          <w:tcPr>
            <w:tcW w:type="dxa" w:w="3888"/>
            <w:shd w:fill="245C8A" w:val="clear"/>
            <w:tcMar>
              <w:top w:w="70" w:type="dxa"/>
              <w:start w:w="80" w:type="dxa"/>
              <w:bottom w:w="70" w:type="dxa"/>
              <w:end w:w="80" w:type="dxa"/>
            </w:tcMar>
            <w:vAlign w:val="center"/>
          </w:tcPr>
          <w:p>
            <w:pPr>
              <w:jc w:val="left"/>
            </w:pPr>
            <w:r>
              <w:rPr>
                <w:rFonts w:ascii="Liberation Sans" w:hAnsi="Liberation Sans"/>
                <w:b/>
                <w:color w:val="FFFFFF"/>
                <w:sz w:val="17"/>
              </w:rPr>
              <w:t>Primary output</w:t>
            </w:r>
          </w:p>
        </w:tc>
      </w:tr>
      <w:tr>
        <w:trPr>
          <w:cantSplit/>
        </w:trPr>
        <w:tc>
          <w:tcPr>
            <w:tcW w:type="dxa" w:w="2232"/>
            <w:tcMar>
              <w:top w:w="65" w:type="dxa"/>
              <w:start w:w="80" w:type="dxa"/>
              <w:bottom w:w="65" w:type="dxa"/>
              <w:end w:w="80" w:type="dxa"/>
            </w:tcMar>
            <w:vAlign w:val="top"/>
          </w:tcPr>
          <w:p>
            <w:pPr>
              <w:spacing w:after="0" w:line="240" w:lineRule="auto"/>
            </w:pPr>
            <w:r>
              <w:rPr>
                <w:rFonts w:ascii="Liberation Serif" w:hAnsi="Liberation Serif"/>
                <w:color w:val="1F2937"/>
                <w:sz w:val="17"/>
              </w:rPr>
              <w:t>Semantic double debugger</w:t>
            </w:r>
          </w:p>
        </w:tc>
        <w:tc>
          <w:tcPr>
            <w:tcW w:type="dxa" w:w="3816"/>
            <w:tcMar>
              <w:top w:w="65" w:type="dxa"/>
              <w:start w:w="80" w:type="dxa"/>
              <w:bottom w:w="65" w:type="dxa"/>
              <w:end w:w="80" w:type="dxa"/>
            </w:tcMar>
            <w:vAlign w:val="top"/>
          </w:tcPr>
          <w:p>
            <w:pPr>
              <w:spacing w:after="0" w:line="240" w:lineRule="auto"/>
            </w:pPr>
            <w:r>
              <w:rPr>
                <w:rFonts w:ascii="Liberation Serif" w:hAnsi="Liberation Serif"/>
                <w:color w:val="1F2937"/>
                <w:sz w:val="17"/>
              </w:rPr>
              <w:t>Program, model adapter, live or replay trace</w:t>
            </w:r>
          </w:p>
        </w:tc>
        <w:tc>
          <w:tcPr>
            <w:tcW w:type="dxa" w:w="3888"/>
            <w:tcMar>
              <w:top w:w="65" w:type="dxa"/>
              <w:start w:w="80" w:type="dxa"/>
              <w:bottom w:w="65" w:type="dxa"/>
              <w:end w:w="80" w:type="dxa"/>
            </w:tcMar>
            <w:vAlign w:val="top"/>
          </w:tcPr>
          <w:p>
            <w:pPr>
              <w:spacing w:after="0" w:line="240" w:lineRule="auto"/>
            </w:pPr>
            <w:r>
              <w:rPr>
                <w:rFonts w:ascii="Liberation Serif" w:hAnsi="Liberation Serif"/>
                <w:color w:val="1F2937"/>
                <w:sz w:val="17"/>
              </w:rPr>
              <w:t>Aligned source/rule/VM state and first divergence.</w:t>
            </w:r>
          </w:p>
        </w:tc>
      </w:tr>
      <w:tr>
        <w:trPr>
          <w:cantSplit/>
        </w:trPr>
        <w:tc>
          <w:tcPr>
            <w:tcW w:type="dxa" w:w="2232"/>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Coverage explorer</w:t>
            </w:r>
          </w:p>
        </w:tc>
        <w:tc>
          <w:tcPr>
            <w:tcW w:type="dxa" w:w="3816"/>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Metadata, traces, rule inventory</w:t>
            </w:r>
          </w:p>
        </w:tc>
        <w:tc>
          <w:tcPr>
            <w:tcW w:type="dxa" w:w="3888"/>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Uncovered semantic cases and exercised obligations.</w:t>
            </w:r>
          </w:p>
        </w:tc>
      </w:tr>
      <w:tr>
        <w:trPr>
          <w:cantSplit/>
        </w:trPr>
        <w:tc>
          <w:tcPr>
            <w:tcW w:type="dxa" w:w="2232"/>
            <w:tcMar>
              <w:top w:w="65" w:type="dxa"/>
              <w:start w:w="80" w:type="dxa"/>
              <w:bottom w:w="65" w:type="dxa"/>
              <w:end w:w="80" w:type="dxa"/>
            </w:tcMar>
            <w:vAlign w:val="top"/>
          </w:tcPr>
          <w:p>
            <w:pPr>
              <w:spacing w:after="0" w:line="240" w:lineRule="auto"/>
            </w:pPr>
            <w:r>
              <w:rPr>
                <w:rFonts w:ascii="Liberation Serif" w:hAnsi="Liberation Serif"/>
                <w:color w:val="1F2937"/>
                <w:sz w:val="17"/>
              </w:rPr>
              <w:t>Invariant miner</w:t>
            </w:r>
          </w:p>
        </w:tc>
        <w:tc>
          <w:tcPr>
            <w:tcW w:type="dxa" w:w="3816"/>
            <w:tcMar>
              <w:top w:w="65" w:type="dxa"/>
              <w:start w:w="80" w:type="dxa"/>
              <w:bottom w:w="65" w:type="dxa"/>
              <w:end w:w="80" w:type="dxa"/>
            </w:tcMar>
            <w:vAlign w:val="top"/>
          </w:tcPr>
          <w:p>
            <w:pPr>
              <w:spacing w:after="0" w:line="240" w:lineRule="auto"/>
            </w:pPr>
            <w:r>
              <w:rPr>
                <w:rFonts w:ascii="Liberation Serif" w:hAnsi="Liberation Serif"/>
                <w:color w:val="1F2937"/>
                <w:sz w:val="17"/>
              </w:rPr>
              <w:t>Selected sites and value projections</w:t>
            </w:r>
          </w:p>
        </w:tc>
        <w:tc>
          <w:tcPr>
            <w:tcW w:type="dxa" w:w="3888"/>
            <w:tcMar>
              <w:top w:w="65" w:type="dxa"/>
              <w:start w:w="80" w:type="dxa"/>
              <w:bottom w:w="65" w:type="dxa"/>
              <w:end w:w="80" w:type="dxa"/>
            </w:tcMar>
            <w:vAlign w:val="top"/>
          </w:tcPr>
          <w:p>
            <w:pPr>
              <w:spacing w:after="0" w:line="240" w:lineRule="auto"/>
            </w:pPr>
            <w:r>
              <w:rPr>
                <w:rFonts w:ascii="Liberation Serif" w:hAnsi="Liberation Serif"/>
                <w:color w:val="1F2937"/>
                <w:sz w:val="17"/>
              </w:rPr>
              <w:t>Candidate contracts with provenance and counterexamples.</w:t>
            </w:r>
          </w:p>
        </w:tc>
      </w:tr>
      <w:tr>
        <w:trPr>
          <w:cantSplit/>
        </w:trPr>
        <w:tc>
          <w:tcPr>
            <w:tcW w:type="dxa" w:w="2232"/>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Proof debugger</w:t>
            </w:r>
          </w:p>
        </w:tc>
        <w:tc>
          <w:tcPr>
            <w:tcW w:type="dxa" w:w="3816"/>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Candidate invariant or simulation relation</w:t>
            </w:r>
          </w:p>
        </w:tc>
        <w:tc>
          <w:tcPr>
            <w:tcW w:type="dxa" w:w="3888"/>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Minimal concrete violation and exported proof case.</w:t>
            </w:r>
          </w:p>
        </w:tc>
      </w:tr>
      <w:tr>
        <w:trPr>
          <w:cantSplit/>
        </w:trPr>
        <w:tc>
          <w:tcPr>
            <w:tcW w:type="dxa" w:w="2232"/>
            <w:tcMar>
              <w:top w:w="65" w:type="dxa"/>
              <w:start w:w="80" w:type="dxa"/>
              <w:bottom w:w="65" w:type="dxa"/>
              <w:end w:w="80" w:type="dxa"/>
            </w:tcMar>
            <w:vAlign w:val="top"/>
          </w:tcPr>
          <w:p>
            <w:pPr>
              <w:spacing w:after="0" w:line="240" w:lineRule="auto"/>
            </w:pPr>
            <w:r>
              <w:rPr>
                <w:rFonts w:ascii="Liberation Serif" w:hAnsi="Liberation Serif"/>
                <w:color w:val="1F2937"/>
                <w:sz w:val="17"/>
              </w:rPr>
              <w:t>Analysis calibrator</w:t>
            </w:r>
          </w:p>
        </w:tc>
        <w:tc>
          <w:tcPr>
            <w:tcW w:type="dxa" w:w="3816"/>
            <w:tcMar>
              <w:top w:w="65" w:type="dxa"/>
              <w:start w:w="80" w:type="dxa"/>
              <w:bottom w:w="65" w:type="dxa"/>
              <w:end w:w="80" w:type="dxa"/>
            </w:tcMar>
            <w:vAlign w:val="top"/>
          </w:tcPr>
          <w:p>
            <w:pPr>
              <w:spacing w:after="0" w:line="240" w:lineRule="auto"/>
            </w:pPr>
            <w:r>
              <w:rPr>
                <w:rFonts w:ascii="Liberation Serif" w:hAnsi="Liberation Serif"/>
                <w:color w:val="1F2937"/>
                <w:sz w:val="17"/>
              </w:rPr>
              <w:t>Abstract states plus concrete traces</w:t>
            </w:r>
          </w:p>
        </w:tc>
        <w:tc>
          <w:tcPr>
            <w:tcW w:type="dxa" w:w="3888"/>
            <w:tcMar>
              <w:top w:w="65" w:type="dxa"/>
              <w:start w:w="80" w:type="dxa"/>
              <w:bottom w:w="65" w:type="dxa"/>
              <w:end w:w="80" w:type="dxa"/>
            </w:tcMar>
            <w:vAlign w:val="top"/>
          </w:tcPr>
          <w:p>
            <w:pPr>
              <w:spacing w:after="0" w:line="240" w:lineRule="auto"/>
            </w:pPr>
            <w:r>
              <w:rPr>
                <w:rFonts w:ascii="Liberation Serif" w:hAnsi="Liberation Serif"/>
                <w:color w:val="1F2937"/>
                <w:sz w:val="17"/>
              </w:rPr>
              <w:t>Precision diagnostics and refinement candidates.</w:t>
            </w:r>
          </w:p>
        </w:tc>
      </w:tr>
      <w:tr>
        <w:trPr>
          <w:cantSplit/>
        </w:trPr>
        <w:tc>
          <w:tcPr>
            <w:tcW w:type="dxa" w:w="2232"/>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Protocol laboratory</w:t>
            </w:r>
          </w:p>
        </w:tc>
        <w:tc>
          <w:tcPr>
            <w:tcW w:type="dxa" w:w="3816"/>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Temporal or automaton property</w:t>
            </w:r>
          </w:p>
        </w:tc>
        <w:tc>
          <w:tcPr>
            <w:tcW w:type="dxa" w:w="3888"/>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Verified runtime monitor, replay monitor, test generator.</w:t>
            </w:r>
          </w:p>
        </w:tc>
      </w:tr>
      <w:tr>
        <w:trPr>
          <w:cantSplit/>
        </w:trPr>
        <w:tc>
          <w:tcPr>
            <w:tcW w:type="dxa" w:w="2232"/>
            <w:tcMar>
              <w:top w:w="65" w:type="dxa"/>
              <w:start w:w="80" w:type="dxa"/>
              <w:bottom w:w="65" w:type="dxa"/>
              <w:end w:w="80" w:type="dxa"/>
            </w:tcMar>
            <w:vAlign w:val="top"/>
          </w:tcPr>
          <w:p>
            <w:pPr>
              <w:spacing w:after="0" w:line="240" w:lineRule="auto"/>
            </w:pPr>
            <w:r>
              <w:rPr>
                <w:rFonts w:ascii="Liberation Serif" w:hAnsi="Liberation Serif"/>
                <w:color w:val="1F2937"/>
                <w:sz w:val="17"/>
              </w:rPr>
              <w:t>Artifact packager</w:t>
            </w:r>
          </w:p>
        </w:tc>
        <w:tc>
          <w:tcPr>
            <w:tcW w:type="dxa" w:w="3816"/>
            <w:tcMar>
              <w:top w:w="65" w:type="dxa"/>
              <w:start w:w="80" w:type="dxa"/>
              <w:bottom w:w="65" w:type="dxa"/>
              <w:end w:w="80" w:type="dxa"/>
            </w:tcMar>
            <w:vAlign w:val="top"/>
          </w:tcPr>
          <w:p>
            <w:pPr>
              <w:spacing w:after="0" w:line="240" w:lineRule="auto"/>
            </w:pPr>
            <w:r>
              <w:rPr>
                <w:rFonts w:ascii="Liberation Serif" w:hAnsi="Liberation Serif"/>
                <w:color w:val="1F2937"/>
                <w:sz w:val="17"/>
              </w:rPr>
              <w:t>Manifest, sources, probes, traces, queries</w:t>
            </w:r>
          </w:p>
        </w:tc>
        <w:tc>
          <w:tcPr>
            <w:tcW w:type="dxa" w:w="3888"/>
            <w:tcMar>
              <w:top w:w="65" w:type="dxa"/>
              <w:start w:w="80" w:type="dxa"/>
              <w:bottom w:w="65" w:type="dxa"/>
              <w:end w:w="80" w:type="dxa"/>
            </w:tcMar>
            <w:vAlign w:val="top"/>
          </w:tcPr>
          <w:p>
            <w:pPr>
              <w:spacing w:after="0" w:line="240" w:lineRule="auto"/>
            </w:pPr>
            <w:r>
              <w:rPr>
                <w:rFonts w:ascii="Liberation Serif" w:hAnsi="Liberation Serif"/>
                <w:color w:val="1F2937"/>
                <w:sz w:val="17"/>
              </w:rPr>
              <w:t>Reproducible research bundle.</w:t>
            </w:r>
          </w:p>
        </w:tc>
      </w:tr>
    </w:tbl>
    <w:p>
      <w:pPr>
        <w:spacing w:after="0"/>
      </w:pPr>
    </w:p>
    <w:p>
      <w:pPr>
        <w:pStyle w:val="Heading2"/>
      </w:pPr>
      <w:r>
        <w:rPr>
          <w:rFonts w:ascii="Liberation Sans" w:hAnsi="Liberation Sans"/>
          <w:b/>
          <w:color w:val="193E5D"/>
          <w:sz w:val="30"/>
        </w:rPr>
        <w:t>31. Worked example: a ledger contract and protocol monitor</w:t>
      </w:r>
    </w:p>
    <w:p>
      <w:pPr>
        <w:spacing w:after="140" w:line="259" w:lineRule="auto"/>
      </w:pPr>
      <w:r>
        <w:rPr>
          <w:rFonts w:ascii="Liberation Serif" w:hAnsi="Liberation Serif"/>
          <w:i/>
          <w:color w:val="193E5D"/>
          <w:sz w:val="22"/>
        </w:rPr>
        <w:t>A single example illustrates operational events, frame-local state, static residualization, temporal monitoring, symbolic counterexamples, and proof artifacts.</w:t>
      </w:r>
    </w:p>
    <w:p>
      <w:pPr>
        <w:pStyle w:val="Heading3"/>
      </w:pPr>
      <w:r>
        <w:rPr>
          <w:rFonts w:ascii="Liberation Sans" w:hAnsi="Liberation Sans"/>
          <w:b/>
          <w:color w:val="245C8A"/>
          <w:sz w:val="23"/>
        </w:rPr>
        <w:t>31.1 JavaScript program</w:t>
      </w:r>
    </w:p>
    <w:p>
      <w:pPr>
        <w:spacing w:after="40"/>
        <w:keepNext/>
      </w:pPr>
      <w:r>
        <w:rPr>
          <w:rFonts w:ascii="Liberation Sans" w:hAnsi="Liberation Sans"/>
          <w:b/>
          <w:color w:val="193E5D"/>
          <w:sz w:val="17"/>
        </w:rPr>
        <w:t>Running JavaScript example.</w:t>
      </w:r>
    </w:p>
    <w:tbl>
      <w:tblPr>
        <w:tblW w:type="auto" w:w="0"/>
        <w:jc w:val="center"/>
        <w:tblLook w:firstColumn="1" w:firstRow="1" w:lastColumn="0" w:lastRow="0" w:noHBand="0" w:noVBand="1" w:val="04A0"/>
      </w:tblPr>
      <w:tblGrid>
        <w:gridCol w:w="9994"/>
      </w:tblGrid>
      <w:tr>
        <w:tc>
          <w:tcPr>
            <w:tcW w:type="dxa" w:w="9994"/>
            <w:shd w:fill="F7F8FA" w:val="clear"/>
            <w:tcBorders>
              <w:top w:val="single" w:sz="5" w:color="CBD3DA"/>
              <w:left w:val="single" w:sz="5" w:color="CBD3DA"/>
              <w:bottom w:val="single" w:sz="5" w:color="CBD3DA"/>
              <w:right w:val="single" w:sz="5" w:color="CBD3DA"/>
            </w:tcBorders>
            <w:tcMar>
              <w:top w:w="110" w:type="dxa"/>
              <w:start w:w="130" w:type="dxa"/>
              <w:bottom w:w="110" w:type="dxa"/>
              <w:end w:w="130" w:type="dxa"/>
            </w:tcMar>
          </w:tcPr>
          <w:p>
            <w:pPr>
              <w:spacing w:after="0" w:line="240" w:lineRule="auto"/>
            </w:pPr>
            <w:r>
              <w:rPr>
                <w:rFonts w:ascii="DejaVu Sans Mono" w:hAnsi="DejaVu Sans Mono"/>
                <w:color w:val="263442"/>
                <w:sz w:val="16"/>
              </w:rPr>
              <w:t>class Ledger {</w:t>
              <w:br/>
              <w:t xml:space="preserve">  constructor(balance) {</w:t>
              <w:br/>
              <w:t xml:space="preserve">    this.balance = balance;</w:t>
              <w:br/>
              <w:t xml:space="preserve">    this.open = true;</w:t>
              <w:br/>
              <w:t xml:space="preserve">  }</w:t>
              <w:br/>
              <w:br/>
              <w:t xml:space="preserve">  debit(amount) {</w:t>
              <w:br/>
              <w:t xml:space="preserve">    if (!this.open) throw new Error("closed");</w:t>
              <w:br/>
              <w:t xml:space="preserve">    if (amount &lt; 0) throw new Error("negative amount");</w:t>
              <w:br/>
              <w:t xml:space="preserve">    this.balance -= amount;</w:t>
              <w:br/>
              <w:t xml:space="preserve">    return this.balance;</w:t>
              <w:br/>
              <w:t xml:space="preserve">  }</w:t>
              <w:br/>
              <w:br/>
              <w:t xml:space="preserve">  close() {</w:t>
              <w:br/>
              <w:t xml:space="preserve">    this.open = false;</w:t>
              <w:br/>
              <w:t xml:space="preserve">  }</w:t>
              <w:br/>
              <w:t>}</w:t>
            </w:r>
          </w:p>
        </w:tc>
      </w:tr>
    </w:tbl>
    <w:p>
      <w:pPr>
        <w:spacing w:after="0"/>
      </w:pPr>
    </w:p>
    <w:p>
      <w:pPr>
        <w:spacing w:line="259" w:lineRule="auto" w:after="80"/>
        <w:ind w:firstLine="317"/>
      </w:pPr>
      <w:r>
        <w:rPr>
          <w:rFonts w:ascii="Liberation Serif" w:hAnsi="Liberation Serif"/>
          <w:color w:val="1F2937"/>
          <w:sz w:val="20"/>
        </w:rPr>
        <w:t>The intended properties are: initial balance is nonnegative; debit receives a nonnegative amount; a successful debit preserves nonnegative balance and decreases it exactly by amount; debit on a closed ledger throws without changing balance; close is irreversible; and no debit call may occur after a successful close.</w:t>
      </w:r>
    </w:p>
    <w:p>
      <w:pPr>
        <w:pStyle w:val="Heading3"/>
      </w:pPr>
      <w:r>
        <w:rPr>
          <w:rFonts w:ascii="Liberation Sans" w:hAnsi="Liberation Sans"/>
          <w:b/>
          <w:color w:val="245C8A"/>
          <w:sz w:val="23"/>
        </w:rPr>
        <w:t>31.2 Contract probe</w:t>
      </w:r>
    </w:p>
    <w:p>
      <w:pPr>
        <w:spacing w:after="40"/>
        <w:keepNext/>
      </w:pPr>
      <w:r>
        <w:rPr>
          <w:rFonts w:ascii="Liberation Sans" w:hAnsi="Liberation Sans"/>
          <w:b/>
          <w:color w:val="193E5D"/>
          <w:sz w:val="17"/>
        </w:rPr>
        <w:t>Illustrative source language for an entry/return/throw contract.</w:t>
      </w:r>
    </w:p>
    <w:tbl>
      <w:tblPr>
        <w:tblW w:type="auto" w:w="0"/>
        <w:jc w:val="center"/>
        <w:tblLook w:firstColumn="1" w:firstRow="1" w:lastColumn="0" w:lastRow="0" w:noHBand="0" w:noVBand="1" w:val="04A0"/>
      </w:tblPr>
      <w:tblGrid>
        <w:gridCol w:w="9994"/>
      </w:tblGrid>
      <w:tr>
        <w:tc>
          <w:tcPr>
            <w:tcW w:type="dxa" w:w="9994"/>
            <w:shd w:fill="F7F8FA" w:val="clear"/>
            <w:tcBorders>
              <w:top w:val="single" w:sz="5" w:color="CBD3DA"/>
              <w:left w:val="single" w:sz="5" w:color="CBD3DA"/>
              <w:bottom w:val="single" w:sz="5" w:color="CBD3DA"/>
              <w:right w:val="single" w:sz="5" w:color="CBD3DA"/>
            </w:tcBorders>
            <w:tcMar>
              <w:top w:w="110" w:type="dxa"/>
              <w:start w:w="130" w:type="dxa"/>
              <w:bottom w:w="110" w:type="dxa"/>
              <w:end w:w="130" w:type="dxa"/>
            </w:tcMar>
          </w:tcPr>
          <w:p>
            <w:pPr>
              <w:spacing w:after="0" w:line="240" w:lineRule="auto"/>
            </w:pPr>
            <w:r>
              <w:rPr>
                <w:rFonts w:ascii="DejaVu Sans Mono" w:hAnsi="DejaVu Sans Mono"/>
                <w:color w:val="263442"/>
                <w:sz w:val="16"/>
              </w:rPr>
              <w:t>probe LedgerDebit {</w:t>
              <w:br/>
              <w:t xml:space="preserve">  attach function("ledger.js", "Ledger.debit");</w:t>
              <w:br/>
              <w:br/>
              <w:t xml:space="preserve">  frame_local&lt;i64&gt; entry_balance;</w:t>
              <w:br/>
              <w:t xml:space="preserve">  frame_local&lt;bool&gt; entry_open;</w:t>
              <w:br/>
              <w:br/>
              <w:t xml:space="preserve">  on enter(amount) {</w:t>
              <w:br/>
              <w:t xml:space="preserve">    assert as_i64(amount) &gt;= 0;</w:t>
              <w:br/>
              <w:t xml:space="preserve">    entry_balance = own_i64(this, "balance")?;</w:t>
              <w:br/>
              <w:t xml:space="preserve">    entry_open = own_bool(this, "open")?;</w:t>
              <w:br/>
              <w:t xml:space="preserve">    assert entry_open;</w:t>
              <w:br/>
              <w:t xml:space="preserve">  }</w:t>
              <w:br/>
              <w:br/>
              <w:t xml:space="preserve">  on return(amount, result) {</w:t>
              <w:br/>
              <w:t xml:space="preserve">    let current = own_i64(this, "balance")?;</w:t>
              <w:br/>
              <w:t xml:space="preserve">    assert current &gt;= 0;</w:t>
              <w:br/>
              <w:t xml:space="preserve">    assert current == entry_balance - as_i64(amount);</w:t>
              <w:br/>
              <w:t xml:space="preserve">    assert as_i64(result) == current;</w:t>
              <w:br/>
              <w:t xml:space="preserve">  }</w:t>
              <w:br/>
              <w:br/>
              <w:t xml:space="preserve">  on throw(error) {</w:t>
              <w:br/>
              <w:t xml:space="preserve">    assert own_i64(this, "balance")? == entry_balance;</w:t>
              <w:br/>
              <w:t xml:space="preserve">  }</w:t>
              <w:br/>
              <w:t>}</w:t>
            </w:r>
          </w:p>
        </w:tc>
      </w:tr>
    </w:tbl>
    <w:p>
      <w:pPr>
        <w:spacing w:after="0"/>
      </w:pPr>
    </w:p>
    <w:p>
      <w:pPr>
        <w:spacing w:line="259" w:lineRule="auto" w:after="80"/>
        <w:ind w:firstLine="317"/>
      </w:pPr>
      <w:r>
        <w:rPr>
          <w:rFonts w:ascii="Liberation Serif" w:hAnsi="Liberation Serif"/>
          <w:color w:val="1F2937"/>
          <w:sz w:val="20"/>
        </w:rPr>
        <w:t>The compiler resolves the function selector to FunctionID, checks that requested property helpers are safe own-data-property reads, allocates fixed frame-local slots, and emits event-specific IR. Enter records the pre-state; Return relates it to the post-state; Throw checks exceptional frame conditions. The monitor receives no arbitrary object traversal or JavaScript callbacks.</w:t>
      </w:r>
    </w:p>
    <w:p>
      <w:pPr>
        <w:pStyle w:val="Heading3"/>
      </w:pPr>
      <w:r>
        <w:rPr>
          <w:rFonts w:ascii="Liberation Sans" w:hAnsi="Liberation Sans"/>
          <w:b/>
          <w:color w:val="245C8A"/>
          <w:sz w:val="23"/>
        </w:rPr>
        <w:t>31.3 Protocol monitor</w:t>
      </w:r>
    </w:p>
    <w:p>
      <w:pPr>
        <w:spacing w:after="40"/>
        <w:keepNext/>
      </w:pPr>
      <w:r>
        <w:rPr>
          <w:rFonts w:ascii="Liberation Sans" w:hAnsi="Liberation Sans"/>
          <w:b/>
          <w:color w:val="193E5D"/>
          <w:sz w:val="17"/>
        </w:rPr>
        <w:t>Parametric typestate monitor keyed by stable ledger identity.</w:t>
      </w:r>
    </w:p>
    <w:tbl>
      <w:tblPr>
        <w:tblW w:type="auto" w:w="0"/>
        <w:jc w:val="center"/>
        <w:tblLook w:firstColumn="1" w:firstRow="1" w:lastColumn="0" w:lastRow="0" w:noHBand="0" w:noVBand="1" w:val="04A0"/>
      </w:tblPr>
      <w:tblGrid>
        <w:gridCol w:w="9994"/>
      </w:tblGrid>
      <w:tr>
        <w:tc>
          <w:tcPr>
            <w:tcW w:type="dxa" w:w="9994"/>
            <w:shd w:fill="F7F8FA" w:val="clear"/>
            <w:tcBorders>
              <w:top w:val="single" w:sz="5" w:color="CBD3DA"/>
              <w:left w:val="single" w:sz="5" w:color="CBD3DA"/>
              <w:bottom w:val="single" w:sz="5" w:color="CBD3DA"/>
              <w:right w:val="single" w:sz="5" w:color="CBD3DA"/>
            </w:tcBorders>
            <w:tcMar>
              <w:top w:w="110" w:type="dxa"/>
              <w:start w:w="130" w:type="dxa"/>
              <w:bottom w:w="110" w:type="dxa"/>
              <w:end w:w="130" w:type="dxa"/>
            </w:tcMar>
          </w:tcPr>
          <w:p>
            <w:pPr>
              <w:spacing w:after="0" w:line="240" w:lineRule="auto"/>
            </w:pPr>
            <w:r>
              <w:rPr>
                <w:rFonts w:ascii="DejaVu Sans Mono" w:hAnsi="DejaVu Sans Mono"/>
                <w:color w:val="263442"/>
                <w:sz w:val="16"/>
              </w:rPr>
              <w:t>state map&lt;ObjectID, State&gt; ledger_state capacity 10000 fail_closed;</w:t>
              <w:br/>
              <w:br/>
              <w:t>enum State { OPEN, CLOSED }</w:t>
              <w:br/>
              <w:br/>
              <w:t>on ConstructAfter(instance) where function == Ledger.constructor {</w:t>
              <w:br/>
              <w:t xml:space="preserve">  state[object_id(instance)] = OPEN;</w:t>
              <w:br/>
              <w:t>}</w:t>
              <w:br/>
              <w:br/>
              <w:t>on FunctionReturn(this) where function == Ledger.close {</w:t>
              <w:br/>
              <w:t xml:space="preserve">  require state[object_id(this)] == OPEN;</w:t>
              <w:br/>
              <w:t xml:space="preserve">  state[object_id(this)] = CLOSED;</w:t>
              <w:br/>
              <w:t>}</w:t>
              <w:br/>
              <w:br/>
              <w:t>on CallBefore(this) where callee == Ledger.debit {</w:t>
              <w:br/>
              <w:t xml:space="preserve">  require state[object_id(this)] == OPEN;</w:t>
              <w:br/>
              <w:t>}</w:t>
            </w:r>
          </w:p>
        </w:tc>
      </w:tr>
    </w:tbl>
    <w:p>
      <w:pPr>
        <w:spacing w:after="0"/>
      </w:pPr>
    </w:p>
    <w:p>
      <w:pPr>
        <w:spacing w:line="259" w:lineRule="auto" w:after="80"/>
        <w:ind w:firstLine="317"/>
      </w:pPr>
      <w:r>
        <w:rPr>
          <w:rFonts w:ascii="Liberation Serif" w:hAnsi="Liberation Serif"/>
          <w:color w:val="1F2937"/>
          <w:sz w:val="20"/>
        </w:rPr>
        <w:t>This property is a safety protocol. The first debit after close is a finite bad prefix. The state map must be non-evicting or fail closed; otherwise an evicted CLOSED state could allow a later debit. Object identity lifecycle needs an explicit policy. If ledger objects can be collected, reclamation may delete terminal CLOSED instances, but the monitor should record that reclamation event for replay.</w:t>
      </w:r>
    </w:p>
    <w:p>
      <w:pPr>
        <w:pStyle w:val="Heading3"/>
      </w:pPr>
      <w:r>
        <w:rPr>
          <w:rFonts w:ascii="Liberation Sans" w:hAnsi="Liberation Sans"/>
          <w:b/>
          <w:color w:val="245C8A"/>
          <w:sz w:val="23"/>
        </w:rPr>
        <w:t>31.4 Static and symbolic interpretations</w:t>
      </w:r>
    </w:p>
    <w:p>
      <w:pPr>
        <w:spacing w:line="259" w:lineRule="auto" w:after="80"/>
        <w:ind w:firstLine="317"/>
      </w:pPr>
      <w:r>
        <w:rPr>
          <w:rFonts w:ascii="Liberation Serif" w:hAnsi="Liberation Serif"/>
          <w:color w:val="1F2937"/>
          <w:sz w:val="20"/>
        </w:rPr>
        <w:t>An interval or refinement analysis may prove amount &gt;= 0 at selected call sites, allowing the corresponding entry assertion to be erased there. It may prove that close is called at most once under a closed-world module analysis. Unresolved dynamic call sites retain the monitor. A symbolic executor can negate current &gt;= 0 and search for an input balance and amount that cause a violation. If constructor balance is unconstrained, the solver immediately finds a negative initial balance, revealing a missing constructor contract.</w:t>
      </w:r>
    </w:p>
    <w:p>
      <w:pPr>
        <w:pStyle w:val="Heading3"/>
      </w:pPr>
      <w:r>
        <w:rPr>
          <w:rFonts w:ascii="Liberation Sans" w:hAnsi="Liberation Sans"/>
          <w:b/>
          <w:color w:val="245C8A"/>
          <w:sz w:val="23"/>
        </w:rPr>
        <w:t>31.5 Logical formulation</w:t>
      </w:r>
    </w:p>
    <w:tbl>
      <w:tblPr>
        <w:tblW w:type="auto" w:w="0"/>
        <w:jc w:val="center"/>
        <w:tblLayout w:type="autofit"/>
        <w:tblLook w:firstColumn="1" w:firstRow="1" w:lastColumn="0" w:lastRow="0" w:noHBand="0" w:noVBand="1" w:val="04A0"/>
      </w:tblPr>
      <w:tblGrid>
        <w:gridCol w:w="9994"/>
      </w:tblGrid>
      <w:tr>
        <w:tc>
          <w:tcPr>
            <w:tcW w:type="dxa" w:w="9994"/>
            <w:shd w:fill="F3F5F7" w:val="clear"/>
            <w:tcBorders>
              <w:top w:val="single" w:sz="6" w:color="9CA8B3"/>
              <w:left w:val="single" w:sz="6" w:color="9CA8B3"/>
              <w:bottom w:val="single" w:sz="6" w:color="9CA8B3"/>
              <w:right w:val="single" w:sz="6" w:color="9CA8B3"/>
            </w:tcBorders>
            <w:tcMar>
              <w:top w:w="110" w:type="dxa"/>
              <w:start w:w="150" w:type="dxa"/>
              <w:bottom w:w="110" w:type="dxa"/>
              <w:end w:w="150" w:type="dxa"/>
            </w:tcMar>
          </w:tcPr>
          <w:p>
            <w:pPr>
              <w:jc w:val="center"/>
            </w:pPr>
            <w:r>
              <w:rPr>
                <w:rFonts w:ascii="DejaVu Sans Mono" w:hAnsi="DejaVu Sans Mono"/>
                <w:color w:val="193E5D"/>
                <w:sz w:val="18"/>
              </w:rPr>
              <w:t>entry_open and amount &gt;= 0 and balance = b  and  debit returns r  =&gt;  r = b - amount and r &gt;= 0</w:t>
            </w:r>
          </w:p>
          <w:p>
            <w:pPr>
              <w:jc w:val="center"/>
            </w:pPr>
            <w:r>
              <w:rPr>
                <w:rFonts w:ascii="Liberation Serif" w:hAnsi="Liberation Serif"/>
                <w:i/>
                <w:color w:val="586474"/>
                <w:sz w:val="17"/>
              </w:rPr>
              <w:t>One functional postcondition; a complete model must also account for the branch that throws.</w:t>
            </w:r>
          </w:p>
        </w:tc>
      </w:tr>
    </w:tbl>
    <w:p>
      <w:pPr>
        <w:spacing w:after="0"/>
      </w:pPr>
    </w:p>
    <w:p>
      <w:pPr>
        <w:spacing w:line="259" w:lineRule="auto" w:after="80"/>
        <w:ind w:firstLine="317"/>
      </w:pPr>
      <w:r>
        <w:rPr>
          <w:rFonts w:ascii="Liberation Serif" w:hAnsi="Liberation Serif"/>
          <w:color w:val="1F2937"/>
          <w:sz w:val="20"/>
        </w:rPr>
        <w:t>In a proof assistant, LedgerDebit becomes a relation between entry and exit states at events with the selected FunctionID. The monitor-compiler theorem states that the IR reaches Violation exactly when the trace prefix violates the executable contract semantics, subject to helper correctness. A separate program theorem proves that all modeled executions satisfy the contract. Runtime traces provide regression cases and evidence for actual executions but are not substituted for the program theorem.</w:t>
      </w:r>
    </w:p>
    <w:p>
      <w:pPr>
        <w:pStyle w:val="Heading3"/>
      </w:pPr>
      <w:r>
        <w:rPr>
          <w:rFonts w:ascii="Liberation Sans" w:hAnsi="Liberation Sans"/>
          <w:b/>
          <w:color w:val="245C8A"/>
          <w:sz w:val="23"/>
        </w:rPr>
        <w:t>31.6 Counterexample trace</w:t>
      </w:r>
    </w:p>
    <w:p>
      <w:pPr>
        <w:spacing w:after="60"/>
        <w:keepNext/>
      </w:pPr>
      <w:r>
        <w:rPr>
          <w:rFonts w:ascii="Liberation Sans" w:hAnsi="Liberation Sans"/>
          <w:b/>
          <w:color w:val="193E5D"/>
          <w:sz w:val="18"/>
        </w:rPr>
        <w:t>Table 13. Example bad prefix for a ledger invariant.</w:t>
      </w: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rPr>
          <w:tblHeader w:val="true"/>
          <w:cantSplit/>
        </w:trPr>
        <w:tc>
          <w:tcPr>
            <w:tcW w:type="dxa" w:w="792"/>
            <w:shd w:fill="245C8A" w:val="clear"/>
            <w:tcMar>
              <w:top w:w="70" w:type="dxa"/>
              <w:start w:w="80" w:type="dxa"/>
              <w:bottom w:w="70" w:type="dxa"/>
              <w:end w:w="80" w:type="dxa"/>
            </w:tcMar>
            <w:vAlign w:val="center"/>
          </w:tcPr>
          <w:p>
            <w:pPr>
              <w:jc w:val="left"/>
            </w:pPr>
            <w:r>
              <w:rPr>
                <w:rFonts w:ascii="Liberation Sans" w:hAnsi="Liberation Sans"/>
                <w:b/>
                <w:color w:val="FFFFFF"/>
                <w:sz w:val="17"/>
              </w:rPr>
              <w:t>Seq</w:t>
            </w:r>
          </w:p>
        </w:tc>
        <w:tc>
          <w:tcPr>
            <w:tcW w:type="dxa" w:w="2232"/>
            <w:shd w:fill="245C8A" w:val="clear"/>
            <w:tcMar>
              <w:top w:w="70" w:type="dxa"/>
              <w:start w:w="80" w:type="dxa"/>
              <w:bottom w:w="70" w:type="dxa"/>
              <w:end w:w="80" w:type="dxa"/>
            </w:tcMar>
            <w:vAlign w:val="center"/>
          </w:tcPr>
          <w:p>
            <w:pPr>
              <w:jc w:val="left"/>
            </w:pPr>
            <w:r>
              <w:rPr>
                <w:rFonts w:ascii="Liberation Sans" w:hAnsi="Liberation Sans"/>
                <w:b/>
                <w:color w:val="FFFFFF"/>
                <w:sz w:val="17"/>
              </w:rPr>
              <w:t>Event</w:t>
            </w:r>
          </w:p>
        </w:tc>
        <w:tc>
          <w:tcPr>
            <w:tcW w:type="dxa" w:w="4104"/>
            <w:shd w:fill="245C8A" w:val="clear"/>
            <w:tcMar>
              <w:top w:w="70" w:type="dxa"/>
              <w:start w:w="80" w:type="dxa"/>
              <w:bottom w:w="70" w:type="dxa"/>
              <w:end w:w="80" w:type="dxa"/>
            </w:tcMar>
            <w:vAlign w:val="center"/>
          </w:tcPr>
          <w:p>
            <w:pPr>
              <w:jc w:val="left"/>
            </w:pPr>
            <w:r>
              <w:rPr>
                <w:rFonts w:ascii="Liberation Sans" w:hAnsi="Liberation Sans"/>
                <w:b/>
                <w:color w:val="FFFFFF"/>
                <w:sz w:val="17"/>
              </w:rPr>
              <w:t>Key observation</w:t>
            </w:r>
          </w:p>
        </w:tc>
        <w:tc>
          <w:tcPr>
            <w:tcW w:type="dxa" w:w="2880"/>
            <w:shd w:fill="245C8A" w:val="clear"/>
            <w:tcMar>
              <w:top w:w="70" w:type="dxa"/>
              <w:start w:w="80" w:type="dxa"/>
              <w:bottom w:w="70" w:type="dxa"/>
              <w:end w:w="80" w:type="dxa"/>
            </w:tcMar>
            <w:vAlign w:val="center"/>
          </w:tcPr>
          <w:p>
            <w:pPr>
              <w:jc w:val="left"/>
            </w:pPr>
            <w:r>
              <w:rPr>
                <w:rFonts w:ascii="Liberation Sans" w:hAnsi="Liberation Sans"/>
                <w:b/>
                <w:color w:val="FFFFFF"/>
                <w:sz w:val="17"/>
              </w:rPr>
              <w:t>Monitor transition</w:t>
            </w:r>
          </w:p>
        </w:tc>
      </w:tr>
      <w:tr>
        <w:trPr>
          <w:cantSplit/>
        </w:trPr>
        <w:tc>
          <w:tcPr>
            <w:tcW w:type="dxa" w:w="792"/>
            <w:tcMar>
              <w:top w:w="65" w:type="dxa"/>
              <w:start w:w="80" w:type="dxa"/>
              <w:bottom w:w="65" w:type="dxa"/>
              <w:end w:w="80" w:type="dxa"/>
            </w:tcMar>
            <w:vAlign w:val="top"/>
          </w:tcPr>
          <w:p>
            <w:pPr>
              <w:spacing w:after="0" w:line="240" w:lineRule="auto"/>
            </w:pPr>
            <w:r>
              <w:rPr>
                <w:rFonts w:ascii="Liberation Serif" w:hAnsi="Liberation Serif"/>
                <w:color w:val="1F2937"/>
                <w:sz w:val="17"/>
              </w:rPr>
              <w:t>41</w:t>
            </w:r>
          </w:p>
        </w:tc>
        <w:tc>
          <w:tcPr>
            <w:tcW w:type="dxa" w:w="2232"/>
            <w:tcMar>
              <w:top w:w="65" w:type="dxa"/>
              <w:start w:w="80" w:type="dxa"/>
              <w:bottom w:w="65" w:type="dxa"/>
              <w:end w:w="80" w:type="dxa"/>
            </w:tcMar>
            <w:vAlign w:val="top"/>
          </w:tcPr>
          <w:p>
            <w:pPr>
              <w:spacing w:after="0" w:line="240" w:lineRule="auto"/>
            </w:pPr>
            <w:r>
              <w:rPr>
                <w:rFonts w:ascii="Liberation Serif" w:hAnsi="Liberation Serif"/>
                <w:color w:val="1F2937"/>
                <w:sz w:val="17"/>
              </w:rPr>
              <w:t>ConstructAfter</w:t>
            </w:r>
          </w:p>
        </w:tc>
        <w:tc>
          <w:tcPr>
            <w:tcW w:type="dxa" w:w="4104"/>
            <w:tcMar>
              <w:top w:w="65" w:type="dxa"/>
              <w:start w:w="80" w:type="dxa"/>
              <w:bottom w:w="65" w:type="dxa"/>
              <w:end w:w="80" w:type="dxa"/>
            </w:tcMar>
            <w:vAlign w:val="top"/>
          </w:tcPr>
          <w:p>
            <w:pPr>
              <w:spacing w:after="0" w:line="240" w:lineRule="auto"/>
            </w:pPr>
            <w:r>
              <w:rPr>
                <w:rFonts w:ascii="Liberation Serif" w:hAnsi="Liberation Serif"/>
                <w:color w:val="1F2937"/>
                <w:sz w:val="17"/>
              </w:rPr>
              <w:t>ledger O17, balance=5, open=true</w:t>
            </w:r>
          </w:p>
        </w:tc>
        <w:tc>
          <w:tcPr>
            <w:tcW w:type="dxa" w:w="2880"/>
            <w:tcMar>
              <w:top w:w="65" w:type="dxa"/>
              <w:start w:w="80" w:type="dxa"/>
              <w:bottom w:w="65" w:type="dxa"/>
              <w:end w:w="80" w:type="dxa"/>
            </w:tcMar>
            <w:vAlign w:val="top"/>
          </w:tcPr>
          <w:p>
            <w:pPr>
              <w:spacing w:after="0" w:line="240" w:lineRule="auto"/>
            </w:pPr>
            <w:r>
              <w:rPr>
                <w:rFonts w:ascii="Liberation Serif" w:hAnsi="Liberation Serif"/>
                <w:color w:val="1F2937"/>
                <w:sz w:val="17"/>
              </w:rPr>
              <w:t>state[O17] := OPEN</w:t>
            </w:r>
          </w:p>
        </w:tc>
      </w:tr>
      <w:tr>
        <w:trPr>
          <w:cantSplit/>
        </w:trPr>
        <w:tc>
          <w:tcPr>
            <w:tcW w:type="dxa" w:w="792"/>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58</w:t>
            </w:r>
          </w:p>
        </w:tc>
        <w:tc>
          <w:tcPr>
            <w:tcW w:type="dxa" w:w="2232"/>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FunctionEnter debit</w:t>
            </w:r>
          </w:p>
        </w:tc>
        <w:tc>
          <w:tcPr>
            <w:tcW w:type="dxa" w:w="4104"/>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amount=8, balance=5</w:t>
            </w:r>
          </w:p>
        </w:tc>
        <w:tc>
          <w:tcPr>
            <w:tcW w:type="dxa" w:w="2880"/>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entry_balance := 5; precondition holds</w:t>
            </w:r>
          </w:p>
        </w:tc>
      </w:tr>
      <w:tr>
        <w:trPr>
          <w:cantSplit/>
        </w:trPr>
        <w:tc>
          <w:tcPr>
            <w:tcW w:type="dxa" w:w="792"/>
            <w:tcMar>
              <w:top w:w="65" w:type="dxa"/>
              <w:start w:w="80" w:type="dxa"/>
              <w:bottom w:w="65" w:type="dxa"/>
              <w:end w:w="80" w:type="dxa"/>
            </w:tcMar>
            <w:vAlign w:val="top"/>
          </w:tcPr>
          <w:p>
            <w:pPr>
              <w:spacing w:after="0" w:line="240" w:lineRule="auto"/>
            </w:pPr>
            <w:r>
              <w:rPr>
                <w:rFonts w:ascii="Liberation Serif" w:hAnsi="Liberation Serif"/>
                <w:color w:val="1F2937"/>
                <w:sz w:val="17"/>
              </w:rPr>
              <w:t>63</w:t>
            </w:r>
          </w:p>
        </w:tc>
        <w:tc>
          <w:tcPr>
            <w:tcW w:type="dxa" w:w="2232"/>
            <w:tcMar>
              <w:top w:w="65" w:type="dxa"/>
              <w:start w:w="80" w:type="dxa"/>
              <w:bottom w:w="65" w:type="dxa"/>
              <w:end w:w="80" w:type="dxa"/>
            </w:tcMar>
            <w:vAlign w:val="top"/>
          </w:tcPr>
          <w:p>
            <w:pPr>
              <w:spacing w:after="0" w:line="240" w:lineRule="auto"/>
            </w:pPr>
            <w:r>
              <w:rPr>
                <w:rFonts w:ascii="Liberation Serif" w:hAnsi="Liberation Serif"/>
                <w:color w:val="1F2937"/>
                <w:sz w:val="17"/>
              </w:rPr>
              <w:t>PropertyWrite balance</w:t>
            </w:r>
          </w:p>
        </w:tc>
        <w:tc>
          <w:tcPr>
            <w:tcW w:type="dxa" w:w="4104"/>
            <w:tcMar>
              <w:top w:w="65" w:type="dxa"/>
              <w:start w:w="80" w:type="dxa"/>
              <w:bottom w:w="65" w:type="dxa"/>
              <w:end w:w="80" w:type="dxa"/>
            </w:tcMar>
            <w:vAlign w:val="top"/>
          </w:tcPr>
          <w:p>
            <w:pPr>
              <w:spacing w:after="0" w:line="240" w:lineRule="auto"/>
            </w:pPr>
            <w:r>
              <w:rPr>
                <w:rFonts w:ascii="Liberation Serif" w:hAnsi="Liberation Serif"/>
                <w:color w:val="1F2937"/>
                <w:sz w:val="17"/>
              </w:rPr>
              <w:t>new value=-3</w:t>
            </w:r>
          </w:p>
        </w:tc>
        <w:tc>
          <w:tcPr>
            <w:tcW w:type="dxa" w:w="2880"/>
            <w:tcMar>
              <w:top w:w="65" w:type="dxa"/>
              <w:start w:w="80" w:type="dxa"/>
              <w:bottom w:w="65" w:type="dxa"/>
              <w:end w:w="80" w:type="dxa"/>
            </w:tcMar>
            <w:vAlign w:val="top"/>
          </w:tcPr>
          <w:p>
            <w:pPr>
              <w:spacing w:after="0" w:line="240" w:lineRule="auto"/>
            </w:pPr>
            <w:r>
              <w:rPr>
                <w:rFonts w:ascii="Liberation Serif" w:hAnsi="Liberation Serif"/>
                <w:color w:val="1F2937"/>
                <w:sz w:val="17"/>
              </w:rPr>
              <w:t>optional effect trace</w:t>
            </w:r>
          </w:p>
        </w:tc>
      </w:tr>
      <w:tr>
        <w:trPr>
          <w:cantSplit/>
        </w:trPr>
        <w:tc>
          <w:tcPr>
            <w:tcW w:type="dxa" w:w="792"/>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66</w:t>
            </w:r>
          </w:p>
        </w:tc>
        <w:tc>
          <w:tcPr>
            <w:tcW w:type="dxa" w:w="2232"/>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FunctionReturn debit</w:t>
            </w:r>
          </w:p>
        </w:tc>
        <w:tc>
          <w:tcPr>
            <w:tcW w:type="dxa" w:w="4104"/>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result=-3, balance=-3</w:t>
            </w:r>
          </w:p>
        </w:tc>
        <w:tc>
          <w:tcPr>
            <w:tcW w:type="dxa" w:w="2880"/>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postcondition current&gt;=0 fails</w:t>
            </w:r>
          </w:p>
        </w:tc>
      </w:tr>
      <w:tr>
        <w:trPr>
          <w:cantSplit/>
        </w:trPr>
        <w:tc>
          <w:tcPr>
            <w:tcW w:type="dxa" w:w="792"/>
            <w:tcMar>
              <w:top w:w="65" w:type="dxa"/>
              <w:start w:w="80" w:type="dxa"/>
              <w:bottom w:w="65" w:type="dxa"/>
              <w:end w:w="80" w:type="dxa"/>
            </w:tcMar>
            <w:vAlign w:val="top"/>
          </w:tcPr>
          <w:p>
            <w:pPr>
              <w:spacing w:after="0" w:line="240" w:lineRule="auto"/>
            </w:pPr>
            <w:r>
              <w:rPr>
                <w:rFonts w:ascii="Liberation Serif" w:hAnsi="Liberation Serif"/>
                <w:color w:val="1F2937"/>
                <w:sz w:val="17"/>
              </w:rPr>
              <w:t>67</w:t>
            </w:r>
          </w:p>
        </w:tc>
        <w:tc>
          <w:tcPr>
            <w:tcW w:type="dxa" w:w="2232"/>
            <w:tcMar>
              <w:top w:w="65" w:type="dxa"/>
              <w:start w:w="80" w:type="dxa"/>
              <w:bottom w:w="65" w:type="dxa"/>
              <w:end w:w="80" w:type="dxa"/>
            </w:tcMar>
            <w:vAlign w:val="top"/>
          </w:tcPr>
          <w:p>
            <w:pPr>
              <w:spacing w:after="0" w:line="240" w:lineRule="auto"/>
            </w:pPr>
            <w:r>
              <w:rPr>
                <w:rFonts w:ascii="Liberation Serif" w:hAnsi="Liberation Serif"/>
                <w:color w:val="1F2937"/>
                <w:sz w:val="17"/>
              </w:rPr>
              <w:t>Violation</w:t>
            </w:r>
          </w:p>
        </w:tc>
        <w:tc>
          <w:tcPr>
            <w:tcW w:type="dxa" w:w="4104"/>
            <w:tcMar>
              <w:top w:w="65" w:type="dxa"/>
              <w:start w:w="80" w:type="dxa"/>
              <w:bottom w:w="65" w:type="dxa"/>
              <w:end w:w="80" w:type="dxa"/>
            </w:tcMar>
            <w:vAlign w:val="top"/>
          </w:tcPr>
          <w:p>
            <w:pPr>
              <w:spacing w:after="0" w:line="240" w:lineRule="auto"/>
            </w:pPr>
            <w:r>
              <w:rPr>
                <w:rFonts w:ascii="Liberation Serif" w:hAnsi="Liberation Serif"/>
                <w:color w:val="1F2937"/>
                <w:sz w:val="17"/>
              </w:rPr>
              <w:t>LedgerDebit/postcondition-1</w:t>
            </w:r>
          </w:p>
        </w:tc>
        <w:tc>
          <w:tcPr>
            <w:tcW w:type="dxa" w:w="2880"/>
            <w:tcMar>
              <w:top w:w="65" w:type="dxa"/>
              <w:start w:w="80" w:type="dxa"/>
              <w:bottom w:w="65" w:type="dxa"/>
              <w:end w:w="80" w:type="dxa"/>
            </w:tcMar>
            <w:vAlign w:val="top"/>
          </w:tcPr>
          <w:p>
            <w:pPr>
              <w:spacing w:after="0" w:line="240" w:lineRule="auto"/>
            </w:pPr>
            <w:r>
              <w:rPr>
                <w:rFonts w:ascii="Liberation Serif" w:hAnsi="Liberation Serif"/>
                <w:color w:val="1F2937"/>
                <w:sz w:val="17"/>
              </w:rPr>
              <w:t>execution stopped; trace slice sealed</w:t>
            </w:r>
          </w:p>
        </w:tc>
      </w:tr>
    </w:tbl>
    <w:p>
      <w:pPr>
        <w:spacing w:after="0"/>
      </w:pPr>
    </w:p>
    <w:p>
      <w:pPr>
        <w:spacing w:line="259" w:lineRule="auto" w:after="80"/>
        <w:ind w:firstLine="317"/>
      </w:pPr>
      <w:r>
        <w:rPr>
          <w:rFonts w:ascii="Liberation Serif" w:hAnsi="Liberation Serif"/>
          <w:color w:val="1F2937"/>
          <w:sz w:val="20"/>
        </w:rPr>
        <w:t>The minimizer preserves the semantic path and reduces constructor balance and debit amount while retaining the violation. The artifact includes the source, metadata, probe IR, five-event trace slice, helper projections, and checker output. The same case becomes a unit test for the runtime event mapping, a solver regression, and a proof-assistant counterexample to an overly strong theorem that omitted the balance precondition.</w:t>
      </w:r>
    </w:p>
    <w:p>
      <w:pPr>
        <w:pStyle w:val="Heading2"/>
      </w:pPr>
      <w:r>
        <w:rPr>
          <w:rFonts w:ascii="Liberation Sans" w:hAnsi="Liberation Sans"/>
          <w:b/>
          <w:color w:val="193E5D"/>
          <w:sz w:val="30"/>
        </w:rPr>
        <w:t>32. Evaluation methodology</w:t>
      </w:r>
    </w:p>
    <w:p>
      <w:pPr>
        <w:spacing w:after="140" w:line="259" w:lineRule="auto"/>
      </w:pPr>
      <w:r>
        <w:rPr>
          <w:rFonts w:ascii="Liberation Serif" w:hAnsi="Liberation Serif"/>
          <w:i/>
          <w:color w:val="193E5D"/>
          <w:sz w:val="22"/>
        </w:rPr>
        <w:t>Evaluation must treat semantic fidelity, safety, performance, research utility, and reproducibility as separate axes.</w:t>
      </w:r>
    </w:p>
    <w:p>
      <w:pPr>
        <w:pStyle w:val="Heading3"/>
      </w:pPr>
      <w:r>
        <w:rPr>
          <w:rFonts w:ascii="Liberation Sans" w:hAnsi="Liberation Sans"/>
          <w:b/>
          <w:color w:val="245C8A"/>
          <w:sz w:val="23"/>
        </w:rPr>
        <w:t>32.1 Semantic conformance suite</w:t>
      </w:r>
    </w:p>
    <w:p>
      <w:pPr>
        <w:spacing w:line="259" w:lineRule="auto" w:after="80"/>
        <w:ind w:firstLine="317"/>
      </w:pPr>
      <w:r>
        <w:rPr>
          <w:rFonts w:ascii="Liberation Serif" w:hAnsi="Liberation Serif"/>
          <w:color w:val="1F2937"/>
          <w:sz w:val="20"/>
        </w:rPr>
        <w:t>Build a focused corpus for each event family. Calls cover ordinary, arrow, bound, proxy, native, Go-to-JavaScript, recursive, and constructor calls. Completion covers implicit return, explicit return, return through finally, caught and uncaught throws, and multi-frame unwinds. Async covers await fulfillment, rejection, nested awaits, handler absence, job ordering, cancellation, and host callbacks. Each test declares the expected event partial order and observation fields.</w:t>
      </w:r>
    </w:p>
    <w:p>
      <w:pPr>
        <w:spacing w:line="259" w:lineRule="auto" w:after="80"/>
        <w:ind w:firstLine="317"/>
      </w:pPr>
      <w:r>
        <w:rPr>
          <w:rFonts w:ascii="Liberation Serif" w:hAnsi="Liberation Serif"/>
          <w:color w:val="1F2937"/>
          <w:sz w:val="20"/>
        </w:rPr>
        <w:t>Generated testing should operate over the formal subset and compare goja with a Redex, K, or extracted model. Semantic-rule coverage identifies untested rules. Mutation testing can deliberately move or omit hooks to measure whether the suite detects mapping defects. This is stronger than merely checking that probes fire.</w:t>
      </w:r>
    </w:p>
    <w:p>
      <w:pPr>
        <w:pStyle w:val="Heading3"/>
      </w:pPr>
      <w:r>
        <w:rPr>
          <w:rFonts w:ascii="Liberation Sans" w:hAnsi="Liberation Sans"/>
          <w:b/>
          <w:color w:val="245C8A"/>
          <w:sz w:val="23"/>
        </w:rPr>
        <w:t>32.2 Verifier evaluation</w:t>
      </w:r>
    </w:p>
    <w:p>
      <w:pPr>
        <w:spacing w:line="259" w:lineRule="auto" w:after="80"/>
        <w:ind w:firstLine="317"/>
      </w:pPr>
      <w:r>
        <w:rPr>
          <w:rFonts w:ascii="Liberation Serif" w:hAnsi="Liberation Serif"/>
          <w:color w:val="1F2937"/>
          <w:sz w:val="20"/>
        </w:rPr>
        <w:t>The verifier test suite should include accepted programs, type confusion attempts, invalid event-phase access, lifetime escape, excessive emission, map-schema mismatch, branch-join errors, unsupported loops, helper capability violations, and malformed binaries. Fuzz the decoder and verifier with structure-aware generators. Compare verifier decisions with a small reference semantics of the IR. Measure verification latency and worst-case path growth.</w:t>
      </w:r>
    </w:p>
    <w:p>
      <w:pPr>
        <w:pStyle w:val="Heading3"/>
      </w:pPr>
      <w:r>
        <w:rPr>
          <w:rFonts w:ascii="Liberation Sans" w:hAnsi="Liberation Sans"/>
          <w:b/>
          <w:color w:val="245C8A"/>
          <w:sz w:val="23"/>
        </w:rPr>
        <w:t>32.3 Performance experiments</w:t>
      </w:r>
    </w:p>
    <w:p>
      <w:pPr>
        <w:spacing w:line="259" w:lineRule="auto" w:after="80"/>
        <w:ind w:firstLine="317"/>
      </w:pPr>
      <w:r>
        <w:rPr>
          <w:rFonts w:ascii="Liberation Serif" w:hAnsi="Liberation Serif"/>
          <w:color w:val="1F2937"/>
          <w:sz w:val="20"/>
        </w:rPr>
        <w:t>Benchmark micro-level events and application workloads. Report nanoseconds or relative overhead per call, return, throw, property effect, job event, and instruction event. Separate interpreted and native calls. Include recursive depth, exception-heavy code, Promise workloads, host-blocking calls, and module-heavy applications. Measure allocation, garbage collection, ring-buffer loss, and map memory in addition to elapsed time.</w:t>
      </w:r>
    </w:p>
    <w:p>
      <w:pPr>
        <w:spacing w:after="60"/>
        <w:keepNext/>
      </w:pPr>
      <w:r>
        <w:rPr>
          <w:rFonts w:ascii="Liberation Sans" w:hAnsi="Liberation Sans"/>
          <w:b/>
          <w:color w:val="193E5D"/>
          <w:sz w:val="18"/>
        </w:rPr>
        <w:t>Table 14. Required performance configurations.</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rPr>
        <w:tc>
          <w:tcPr>
            <w:tcW w:type="dxa" w:w="3096"/>
            <w:shd w:fill="245C8A" w:val="clear"/>
            <w:tcMar>
              <w:top w:w="70" w:type="dxa"/>
              <w:start w:w="80" w:type="dxa"/>
              <w:bottom w:w="70" w:type="dxa"/>
              <w:end w:w="80" w:type="dxa"/>
            </w:tcMar>
            <w:vAlign w:val="center"/>
          </w:tcPr>
          <w:p>
            <w:pPr>
              <w:jc w:val="left"/>
            </w:pPr>
            <w:r>
              <w:rPr>
                <w:rFonts w:ascii="Liberation Sans" w:hAnsi="Liberation Sans"/>
                <w:b/>
                <w:color w:val="FFFFFF"/>
                <w:sz w:val="17"/>
              </w:rPr>
              <w:t>Configuration</w:t>
            </w:r>
          </w:p>
        </w:tc>
        <w:tc>
          <w:tcPr>
            <w:tcW w:type="dxa" w:w="6840"/>
            <w:shd w:fill="245C8A" w:val="clear"/>
            <w:tcMar>
              <w:top w:w="70" w:type="dxa"/>
              <w:start w:w="80" w:type="dxa"/>
              <w:bottom w:w="70" w:type="dxa"/>
              <w:end w:w="80" w:type="dxa"/>
            </w:tcMar>
            <w:vAlign w:val="center"/>
          </w:tcPr>
          <w:p>
            <w:pPr>
              <w:jc w:val="left"/>
            </w:pPr>
            <w:r>
              <w:rPr>
                <w:rFonts w:ascii="Liberation Sans" w:hAnsi="Liberation Sans"/>
                <w:b/>
                <w:color w:val="FFFFFF"/>
                <w:sz w:val="17"/>
              </w:rPr>
              <w:t>Purpose</w:t>
            </w:r>
          </w:p>
        </w:tc>
      </w:tr>
      <w:tr>
        <w:trPr>
          <w:cantSplit/>
        </w:trPr>
        <w:tc>
          <w:tcPr>
            <w:tcW w:type="dxa" w:w="3096"/>
            <w:tcMar>
              <w:top w:w="65" w:type="dxa"/>
              <w:start w:w="80" w:type="dxa"/>
              <w:bottom w:w="65" w:type="dxa"/>
              <w:end w:w="80" w:type="dxa"/>
            </w:tcMar>
            <w:vAlign w:val="top"/>
          </w:tcPr>
          <w:p>
            <w:pPr>
              <w:spacing w:after="0" w:line="240" w:lineRule="auto"/>
            </w:pPr>
            <w:r>
              <w:rPr>
                <w:rFonts w:ascii="Liberation Serif" w:hAnsi="Liberation Serif"/>
                <w:color w:val="1F2937"/>
                <w:sz w:val="17"/>
              </w:rPr>
              <w:t>Baseline</w:t>
            </w:r>
          </w:p>
        </w:tc>
        <w:tc>
          <w:tcPr>
            <w:tcW w:type="dxa" w:w="6840"/>
            <w:tcMar>
              <w:top w:w="65" w:type="dxa"/>
              <w:start w:w="80" w:type="dxa"/>
              <w:bottom w:w="65" w:type="dxa"/>
              <w:end w:w="80" w:type="dxa"/>
            </w:tcMar>
            <w:vAlign w:val="top"/>
          </w:tcPr>
          <w:p>
            <w:pPr>
              <w:spacing w:after="0" w:line="240" w:lineRule="auto"/>
            </w:pPr>
            <w:r>
              <w:rPr>
                <w:rFonts w:ascii="Liberation Serif" w:hAnsi="Liberation Serif"/>
                <w:color w:val="1F2937"/>
                <w:sz w:val="17"/>
              </w:rPr>
              <w:t>Unmodified or instrumentation-compiled-but-disabled interpreter.</w:t>
            </w:r>
          </w:p>
        </w:tc>
      </w:tr>
      <w:tr>
        <w:trPr>
          <w:cantSplit/>
        </w:trPr>
        <w:tc>
          <w:tcPr>
            <w:tcW w:type="dxa" w:w="3096"/>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Event mask disabled</w:t>
            </w:r>
          </w:p>
        </w:tc>
        <w:tc>
          <w:tcPr>
            <w:tcW w:type="dxa" w:w="6840"/>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Cost of retaining probe fields and branch structure.</w:t>
            </w:r>
          </w:p>
        </w:tc>
      </w:tr>
      <w:tr>
        <w:trPr>
          <w:cantSplit/>
        </w:trPr>
        <w:tc>
          <w:tcPr>
            <w:tcW w:type="dxa" w:w="3096"/>
            <w:tcMar>
              <w:top w:w="65" w:type="dxa"/>
              <w:start w:w="80" w:type="dxa"/>
              <w:bottom w:w="65" w:type="dxa"/>
              <w:end w:w="80" w:type="dxa"/>
            </w:tcMar>
            <w:vAlign w:val="top"/>
          </w:tcPr>
          <w:p>
            <w:pPr>
              <w:spacing w:after="0" w:line="240" w:lineRule="auto"/>
            </w:pPr>
            <w:r>
              <w:rPr>
                <w:rFonts w:ascii="Liberation Serif" w:hAnsi="Liberation Serif"/>
                <w:color w:val="1F2937"/>
                <w:sz w:val="17"/>
              </w:rPr>
              <w:t>Family enabled, no attachment</w:t>
            </w:r>
          </w:p>
        </w:tc>
        <w:tc>
          <w:tcPr>
            <w:tcW w:type="dxa" w:w="6840"/>
            <w:tcMar>
              <w:top w:w="65" w:type="dxa"/>
              <w:start w:w="80" w:type="dxa"/>
              <w:bottom w:w="65" w:type="dxa"/>
              <w:end w:w="80" w:type="dxa"/>
            </w:tcMar>
            <w:vAlign w:val="top"/>
          </w:tcPr>
          <w:p>
            <w:pPr>
              <w:spacing w:after="0" w:line="240" w:lineRule="auto"/>
            </w:pPr>
            <w:r>
              <w:rPr>
                <w:rFonts w:ascii="Liberation Serif" w:hAnsi="Liberation Serif"/>
                <w:color w:val="1F2937"/>
                <w:sz w:val="17"/>
              </w:rPr>
              <w:t>Dispatcher/site-filter cost.</w:t>
            </w:r>
          </w:p>
        </w:tc>
      </w:tr>
      <w:tr>
        <w:trPr>
          <w:cantSplit/>
        </w:trPr>
        <w:tc>
          <w:tcPr>
            <w:tcW w:type="dxa" w:w="3096"/>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No-op verified probe</w:t>
            </w:r>
          </w:p>
        </w:tc>
        <w:tc>
          <w:tcPr>
            <w:tcW w:type="dxa" w:w="6840"/>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Invocation and verifier-runtime framework cost.</w:t>
            </w:r>
          </w:p>
        </w:tc>
      </w:tr>
      <w:tr>
        <w:trPr>
          <w:cantSplit/>
        </w:trPr>
        <w:tc>
          <w:tcPr>
            <w:tcW w:type="dxa" w:w="3096"/>
            <w:tcMar>
              <w:top w:w="65" w:type="dxa"/>
              <w:start w:w="80" w:type="dxa"/>
              <w:bottom w:w="65" w:type="dxa"/>
              <w:end w:w="80" w:type="dxa"/>
            </w:tcMar>
            <w:vAlign w:val="top"/>
          </w:tcPr>
          <w:p>
            <w:pPr>
              <w:spacing w:after="0" w:line="240" w:lineRule="auto"/>
            </w:pPr>
            <w:r>
              <w:rPr>
                <w:rFonts w:ascii="Liberation Serif" w:hAnsi="Liberation Serif"/>
                <w:color w:val="1F2937"/>
                <w:sz w:val="17"/>
              </w:rPr>
              <w:t>Counter/histogram</w:t>
            </w:r>
          </w:p>
        </w:tc>
        <w:tc>
          <w:tcPr>
            <w:tcW w:type="dxa" w:w="6840"/>
            <w:tcMar>
              <w:top w:w="65" w:type="dxa"/>
              <w:start w:w="80" w:type="dxa"/>
              <w:bottom w:w="65" w:type="dxa"/>
              <w:end w:w="80" w:type="dxa"/>
            </w:tcMar>
            <w:vAlign w:val="top"/>
          </w:tcPr>
          <w:p>
            <w:pPr>
              <w:spacing w:after="0" w:line="240" w:lineRule="auto"/>
            </w:pPr>
            <w:r>
              <w:rPr>
                <w:rFonts w:ascii="Liberation Serif" w:hAnsi="Liberation Serif"/>
                <w:color w:val="1F2937"/>
                <w:sz w:val="17"/>
              </w:rPr>
              <w:t>Representative metrics aggregation.</w:t>
            </w:r>
          </w:p>
        </w:tc>
      </w:tr>
      <w:tr>
        <w:trPr>
          <w:cantSplit/>
        </w:trPr>
        <w:tc>
          <w:tcPr>
            <w:tcW w:type="dxa" w:w="3096"/>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Frame-local contract</w:t>
            </w:r>
          </w:p>
        </w:tc>
        <w:tc>
          <w:tcPr>
            <w:tcW w:type="dxa" w:w="6840"/>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Representative invariant monitor.</w:t>
            </w:r>
          </w:p>
        </w:tc>
      </w:tr>
      <w:tr>
        <w:trPr>
          <w:cantSplit/>
        </w:trPr>
        <w:tc>
          <w:tcPr>
            <w:tcW w:type="dxa" w:w="3096"/>
            <w:tcMar>
              <w:top w:w="65" w:type="dxa"/>
              <w:start w:w="80" w:type="dxa"/>
              <w:bottom w:w="65" w:type="dxa"/>
              <w:end w:w="80" w:type="dxa"/>
            </w:tcMar>
            <w:vAlign w:val="top"/>
          </w:tcPr>
          <w:p>
            <w:pPr>
              <w:spacing w:after="0" w:line="240" w:lineRule="auto"/>
            </w:pPr>
            <w:r>
              <w:rPr>
                <w:rFonts w:ascii="Liberation Serif" w:hAnsi="Liberation Serif"/>
                <w:color w:val="1F2937"/>
                <w:sz w:val="17"/>
              </w:rPr>
              <w:t>Trace emission</w:t>
            </w:r>
          </w:p>
        </w:tc>
        <w:tc>
          <w:tcPr>
            <w:tcW w:type="dxa" w:w="6840"/>
            <w:tcMar>
              <w:top w:w="65" w:type="dxa"/>
              <w:start w:w="80" w:type="dxa"/>
              <w:bottom w:w="65" w:type="dxa"/>
              <w:end w:w="80" w:type="dxa"/>
            </w:tcMar>
            <w:vAlign w:val="top"/>
          </w:tcPr>
          <w:p>
            <w:pPr>
              <w:spacing w:after="0" w:line="240" w:lineRule="auto"/>
            </w:pPr>
            <w:r>
              <w:rPr>
                <w:rFonts w:ascii="Liberation Serif" w:hAnsi="Liberation Serif"/>
                <w:color w:val="1F2937"/>
                <w:sz w:val="17"/>
              </w:rPr>
              <w:t>Serialization/ring-buffer and offline drain cost.</w:t>
            </w:r>
          </w:p>
        </w:tc>
      </w:tr>
      <w:tr>
        <w:trPr>
          <w:cantSplit/>
        </w:trPr>
        <w:tc>
          <w:tcPr>
            <w:tcW w:type="dxa" w:w="3096"/>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Instruction sampling</w:t>
            </w:r>
          </w:p>
        </w:tc>
        <w:tc>
          <w:tcPr>
            <w:tcW w:type="dxa" w:w="6840"/>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High-frequency optional diagnostic tier.</w:t>
            </w:r>
          </w:p>
        </w:tc>
      </w:tr>
    </w:tbl>
    <w:p>
      <w:pPr>
        <w:spacing w:after="0"/>
      </w:pPr>
    </w:p>
    <w:p>
      <w:pPr>
        <w:pStyle w:val="Heading3"/>
      </w:pPr>
      <w:r>
        <w:rPr>
          <w:rFonts w:ascii="Liberation Sans" w:hAnsi="Liberation Sans"/>
          <w:b/>
          <w:color w:val="245C8A"/>
          <w:sz w:val="23"/>
        </w:rPr>
        <w:t>32.4 Research-utility study</w:t>
      </w:r>
    </w:p>
    <w:p>
      <w:pPr>
        <w:spacing w:line="259" w:lineRule="auto" w:after="80"/>
        <w:ind w:firstLine="317"/>
      </w:pPr>
      <w:r>
        <w:rPr>
          <w:rFonts w:ascii="Liberation Serif" w:hAnsi="Liberation Serif"/>
          <w:color w:val="1F2937"/>
          <w:sz w:val="20"/>
        </w:rPr>
        <w:t>Select published or realistically sized semantic models and seed known defects: wrong exception boundary, missing constructor case, incorrect job order, unsound property helper, or incomplete native summary. Ask participants to locate the defect using ordinary logs versus the semantic workbench. Measure time to first relevant divergence, counterexample size, number of irrelevant steps inspected, and correctness of diagnosis. A smaller within-subject study can provide initial evidence; a larger study is required for broad productivity claims.</w:t>
      </w:r>
    </w:p>
    <w:p>
      <w:pPr>
        <w:pStyle w:val="Heading3"/>
      </w:pPr>
      <w:r>
        <w:rPr>
          <w:rFonts w:ascii="Liberation Sans" w:hAnsi="Liberation Sans"/>
          <w:b/>
          <w:color w:val="245C8A"/>
          <w:sz w:val="23"/>
        </w:rPr>
        <w:t>32.5 Reproducibility and artifact evaluation</w:t>
      </w:r>
    </w:p>
    <w:p>
      <w:pPr>
        <w:spacing w:line="259" w:lineRule="auto" w:after="80"/>
        <w:ind w:firstLine="317"/>
      </w:pPr>
      <w:r>
        <w:rPr>
          <w:rFonts w:ascii="Liberation Serif" w:hAnsi="Liberation Serif"/>
          <w:color w:val="1F2937"/>
          <w:sz w:val="20"/>
        </w:rPr>
        <w:t>Every reported table should be derivable from a pinned manifest and query. Traces should either be included or regenerable from seeds and recorded host oracles. The checker should validate schema, hashes, event loss, and monitor transitions before computing results. Performance artifacts should record machine, Go version, operating system, CPU governor, load, and warm-up policy. The paper should distinguish deterministic semantic evidence from noisy timing data.</w:t>
      </w:r>
    </w:p>
    <w:p>
      <w:pPr>
        <w:pStyle w:val="Heading2"/>
      </w:pPr>
      <w:r>
        <w:rPr>
          <w:rFonts w:ascii="Liberation Sans" w:hAnsi="Liberation Sans"/>
          <w:b/>
          <w:color w:val="193E5D"/>
          <w:sz w:val="30"/>
        </w:rPr>
        <w:t>33. Implementation roadmap and open research questions</w:t>
      </w:r>
    </w:p>
    <w:p>
      <w:pPr>
        <w:spacing w:after="140" w:line="259" w:lineRule="auto"/>
      </w:pPr>
      <w:r>
        <w:rPr>
          <w:rFonts w:ascii="Liberation Serif" w:hAnsi="Liberation Serif"/>
          <w:i/>
          <w:color w:val="193E5D"/>
          <w:sz w:val="22"/>
        </w:rPr>
        <w:t>The roadmap should establish event correctness before investing heavily in a rich probe language or broad event coverage.</w:t>
      </w:r>
    </w:p>
    <w:p>
      <w:pPr>
        <w:pStyle w:val="Heading3"/>
      </w:pPr>
      <w:r>
        <w:rPr>
          <w:rFonts w:ascii="Liberation Sans" w:hAnsi="Liberation Sans"/>
          <w:b/>
          <w:color w:val="245C8A"/>
          <w:sz w:val="23"/>
        </w:rPr>
        <w:t>33.1 Phase 1: semantic lifecycle events</w:t>
      </w:r>
    </w:p>
    <w:p>
      <w:pPr>
        <w:pStyle w:val="ListNumber"/>
        <w:spacing w:after="50" w:line="252" w:lineRule="auto"/>
        <w:ind w:left="317" w:hanging="230"/>
      </w:pPr>
      <w:r>
        <w:rPr>
          <w:rFonts w:ascii="Liberation Serif" w:hAnsi="Liberation Serif"/>
          <w:color w:val="1F2937"/>
          <w:sz w:val="20"/>
        </w:rPr>
        <w:t>Fork or extend goja with a private event manager and fast event masks.</w:t>
      </w:r>
    </w:p>
    <w:p>
      <w:pPr>
        <w:pStyle w:val="ListNumber"/>
        <w:spacing w:after="50" w:line="252" w:lineRule="auto"/>
        <w:ind w:left="317" w:hanging="230"/>
      </w:pPr>
      <w:r>
        <w:rPr>
          <w:rFonts w:ascii="Liberation Serif" w:hAnsi="Liberation Serif"/>
          <w:color w:val="1F2937"/>
          <w:sz w:val="20"/>
        </w:rPr>
        <w:t>Implement CallBefore, FunctionEnter, FunctionReturn, FunctionThrow, CallAfter, CallThrow, ConstructBefore, ConstructAfter, ConstructThrow, HostEnter, HostReturn, and HostThrow.</w:t>
      </w:r>
    </w:p>
    <w:p>
      <w:pPr>
        <w:pStyle w:val="ListNumber"/>
        <w:spacing w:after="50" w:line="252" w:lineRule="auto"/>
        <w:ind w:left="317" w:hanging="230"/>
      </w:pPr>
      <w:r>
        <w:rPr>
          <w:rFonts w:ascii="Liberation Serif" w:hAnsi="Liberation Serif"/>
          <w:color w:val="1F2937"/>
          <w:sz w:val="20"/>
        </w:rPr>
        <w:t>Add stable ProgramID, FunctionID, CallSiteID, FrameID, and source spans.</w:t>
      </w:r>
    </w:p>
    <w:p>
      <w:pPr>
        <w:pStyle w:val="ListNumber"/>
        <w:spacing w:after="50" w:line="252" w:lineRule="auto"/>
        <w:ind w:left="317" w:hanging="230"/>
      </w:pPr>
      <w:r>
        <w:rPr>
          <w:rFonts w:ascii="Liberation Serif" w:hAnsi="Liberation Serif"/>
          <w:color w:val="1F2937"/>
          <w:sz w:val="20"/>
        </w:rPr>
        <w:t>Use a trusted Go sink first; do not build the probe bytecode until event order is tested.</w:t>
      </w:r>
    </w:p>
    <w:p>
      <w:pPr>
        <w:pStyle w:val="ListNumber"/>
        <w:spacing w:after="50" w:line="252" w:lineRule="auto"/>
        <w:ind w:left="317" w:hanging="230"/>
      </w:pPr>
      <w:r>
        <w:rPr>
          <w:rFonts w:ascii="Liberation Serif" w:hAnsi="Liberation Serif"/>
          <w:color w:val="1F2937"/>
          <w:sz w:val="20"/>
        </w:rPr>
        <w:t>Create exhaustive tests for normal, native, external, proxy, recursive, constructor, finally, and unwind paths.</w:t>
      </w:r>
    </w:p>
    <w:p>
      <w:pPr>
        <w:pStyle w:val="Heading3"/>
      </w:pPr>
      <w:r>
        <w:rPr>
          <w:rFonts w:ascii="Liberation Sans" w:hAnsi="Liberation Sans"/>
          <w:b/>
          <w:color w:val="245C8A"/>
          <w:sz w:val="23"/>
        </w:rPr>
        <w:t>33.2 Phase 2: verified observational probes</w:t>
      </w:r>
    </w:p>
    <w:p>
      <w:pPr>
        <w:pStyle w:val="ListNumber"/>
        <w:spacing w:after="50" w:line="252" w:lineRule="auto"/>
        <w:ind w:left="317" w:hanging="230"/>
      </w:pPr>
      <w:r>
        <w:rPr>
          <w:rFonts w:ascii="Liberation Serif" w:hAnsi="Liberation Serif"/>
          <w:color w:val="1F2937"/>
          <w:sz w:val="20"/>
        </w:rPr>
        <w:t>Implement acyclic typed IR, register verifier, primitive projections, safe own-data-property helpers, counters, hashes, frame-local state, and bounded ring-buffer emission.</w:t>
      </w:r>
    </w:p>
    <w:p>
      <w:pPr>
        <w:pStyle w:val="ListNumber"/>
        <w:spacing w:after="50" w:line="252" w:lineRule="auto"/>
        <w:ind w:left="317" w:hanging="230"/>
      </w:pPr>
      <w:r>
        <w:rPr>
          <w:rFonts w:ascii="Liberation Serif" w:hAnsi="Liberation Serif"/>
          <w:color w:val="1F2937"/>
          <w:sz w:val="20"/>
        </w:rPr>
        <w:t>Integrate a manager through go-go-goja RuntimeInitializer and runtime-owner scheduling.</w:t>
      </w:r>
    </w:p>
    <w:p>
      <w:pPr>
        <w:pStyle w:val="ListNumber"/>
        <w:spacing w:after="50" w:line="252" w:lineRule="auto"/>
        <w:ind w:left="317" w:hanging="230"/>
      </w:pPr>
      <w:r>
        <w:rPr>
          <w:rFonts w:ascii="Liberation Serif" w:hAnsi="Liberation Serif"/>
          <w:color w:val="1F2937"/>
          <w:sz w:val="20"/>
        </w:rPr>
        <w:t>Add attach/detach control-plane operations, manifests, and strict versus best-effort modes.</w:t>
      </w:r>
    </w:p>
    <w:p>
      <w:pPr>
        <w:pStyle w:val="ListNumber"/>
        <w:spacing w:after="50" w:line="252" w:lineRule="auto"/>
        <w:ind w:left="317" w:hanging="230"/>
      </w:pPr>
      <w:r>
        <w:rPr>
          <w:rFonts w:ascii="Liberation Serif" w:hAnsi="Liberation Serif"/>
          <w:color w:val="1F2937"/>
          <w:sz w:val="20"/>
        </w:rPr>
        <w:t>Benchmark disabled and common enabled paths before adding higher-frequency events.</w:t>
      </w:r>
    </w:p>
    <w:p>
      <w:pPr>
        <w:pStyle w:val="Heading3"/>
      </w:pPr>
      <w:r>
        <w:rPr>
          <w:rFonts w:ascii="Liberation Sans" w:hAnsi="Liberation Sans"/>
          <w:b/>
          <w:color w:val="245C8A"/>
          <w:sz w:val="23"/>
        </w:rPr>
        <w:t>33.3 Phase 3: semantics adapters and offline workbench</w:t>
      </w:r>
    </w:p>
    <w:p>
      <w:pPr>
        <w:pStyle w:val="ListNumber"/>
        <w:spacing w:after="50" w:line="252" w:lineRule="auto"/>
        <w:ind w:left="317" w:hanging="230"/>
      </w:pPr>
      <w:r>
        <w:rPr>
          <w:rFonts w:ascii="Liberation Serif" w:hAnsi="Liberation Serif"/>
          <w:color w:val="1F2937"/>
          <w:sz w:val="20"/>
        </w:rPr>
        <w:t>Define normalized event formats for a small Redex, K, or proof-assistant model.</w:t>
      </w:r>
    </w:p>
    <w:p>
      <w:pPr>
        <w:pStyle w:val="ListNumber"/>
        <w:spacing w:after="50" w:line="252" w:lineRule="auto"/>
        <w:ind w:left="317" w:hanging="230"/>
      </w:pPr>
      <w:r>
        <w:rPr>
          <w:rFonts w:ascii="Liberation Serif" w:hAnsi="Liberation Serif"/>
          <w:color w:val="1F2937"/>
          <w:sz w:val="20"/>
        </w:rPr>
        <w:t>Build differential trace comparison, semantic coverage, minimization, and replay.</w:t>
      </w:r>
    </w:p>
    <w:p>
      <w:pPr>
        <w:pStyle w:val="ListNumber"/>
        <w:spacing w:after="50" w:line="252" w:lineRule="auto"/>
        <w:ind w:left="317" w:hanging="230"/>
      </w:pPr>
      <w:r>
        <w:rPr>
          <w:rFonts w:ascii="Liberation Serif" w:hAnsi="Liberation Serif"/>
          <w:color w:val="1F2937"/>
          <w:sz w:val="20"/>
        </w:rPr>
        <w:t>Add property-language compilation to runtime IR and offline monitor.</w:t>
      </w:r>
    </w:p>
    <w:p>
      <w:pPr>
        <w:pStyle w:val="ListNumber"/>
        <w:spacing w:after="50" w:line="252" w:lineRule="auto"/>
        <w:ind w:left="317" w:hanging="230"/>
      </w:pPr>
      <w:r>
        <w:rPr>
          <w:rFonts w:ascii="Liberation Serif" w:hAnsi="Liberation Serif"/>
          <w:color w:val="1F2937"/>
          <w:sz w:val="20"/>
        </w:rPr>
        <w:t>Export SMT-LIB and theorem-prover definitions with a manifest of assumptions.</w:t>
      </w:r>
    </w:p>
    <w:p>
      <w:pPr>
        <w:pStyle w:val="Heading3"/>
      </w:pPr>
      <w:r>
        <w:rPr>
          <w:rFonts w:ascii="Liberation Sans" w:hAnsi="Liberation Sans"/>
          <w:b/>
          <w:color w:val="245C8A"/>
          <w:sz w:val="23"/>
        </w:rPr>
        <w:t>33.4 Phase 4: async, generators, properties, and residual verification</w:t>
      </w:r>
    </w:p>
    <w:p>
      <w:pPr>
        <w:pStyle w:val="ListNumber"/>
        <w:spacing w:after="50" w:line="252" w:lineRule="auto"/>
        <w:ind w:left="317" w:hanging="230"/>
      </w:pPr>
      <w:r>
        <w:rPr>
          <w:rFonts w:ascii="Liberation Serif" w:hAnsi="Liberation Serif"/>
          <w:color w:val="1F2937"/>
          <w:sz w:val="20"/>
        </w:rPr>
        <w:t>Add job, Promise, await, generator, and causal events with continuation-aware storage.</w:t>
      </w:r>
    </w:p>
    <w:p>
      <w:pPr>
        <w:pStyle w:val="ListNumber"/>
        <w:spacing w:after="50" w:line="252" w:lineRule="auto"/>
        <w:ind w:left="317" w:hanging="230"/>
      </w:pPr>
      <w:r>
        <w:rPr>
          <w:rFonts w:ascii="Liberation Serif" w:hAnsi="Liberation Serif"/>
          <w:color w:val="1F2937"/>
          <w:sz w:val="20"/>
        </w:rPr>
        <w:t>Add carefully stratified property-effect events and safe object-shape observations.</w:t>
      </w:r>
    </w:p>
    <w:p>
      <w:pPr>
        <w:pStyle w:val="ListNumber"/>
        <w:spacing w:after="50" w:line="252" w:lineRule="auto"/>
        <w:ind w:left="317" w:hanging="230"/>
      </w:pPr>
      <w:r>
        <w:rPr>
          <w:rFonts w:ascii="Liberation Serif" w:hAnsi="Liberation Serif"/>
          <w:color w:val="1F2937"/>
          <w:sz w:val="20"/>
        </w:rPr>
        <w:t>Implement one abstract domain and one symbolic execution adapter for the shared IR.</w:t>
      </w:r>
    </w:p>
    <w:p>
      <w:pPr>
        <w:pStyle w:val="ListNumber"/>
        <w:spacing w:after="50" w:line="252" w:lineRule="auto"/>
        <w:ind w:left="317" w:hanging="230"/>
      </w:pPr>
      <w:r>
        <w:rPr>
          <w:rFonts w:ascii="Liberation Serif" w:hAnsi="Liberation Serif"/>
          <w:color w:val="1F2937"/>
          <w:sz w:val="20"/>
        </w:rPr>
        <w:t>Add static discharge and residual-monitor manifests.</w:t>
      </w:r>
    </w:p>
    <w:p>
      <w:pPr>
        <w:pStyle w:val="ListNumber"/>
        <w:spacing w:after="50" w:line="252" w:lineRule="auto"/>
        <w:ind w:left="317" w:hanging="230"/>
      </w:pPr>
      <w:r>
        <w:rPr>
          <w:rFonts w:ascii="Liberation Serif" w:hAnsi="Liberation Serif"/>
          <w:color w:val="1F2937"/>
          <w:sz w:val="20"/>
        </w:rPr>
        <w:t>Evaluate hyperproperty and multi-run trace alignment separately from single-run monitoring.</w:t>
      </w:r>
    </w:p>
    <w:p>
      <w:pPr>
        <w:pStyle w:val="Heading3"/>
      </w:pPr>
      <w:r>
        <w:rPr>
          <w:rFonts w:ascii="Liberation Sans" w:hAnsi="Liberation Sans"/>
          <w:b/>
          <w:color w:val="245C8A"/>
          <w:sz w:val="23"/>
        </w:rPr>
        <w:t>33.5 Open theoretical questions</w:t>
      </w:r>
    </w:p>
    <w:p>
      <w:pPr>
        <w:pStyle w:val="ListBullet"/>
        <w:spacing w:after="50" w:line="252" w:lineRule="auto"/>
        <w:ind w:left="317" w:hanging="230"/>
      </w:pPr>
      <w:r>
        <w:rPr>
          <w:rFonts w:ascii="Liberation Serif" w:hAnsi="Liberation Serif"/>
          <w:color w:val="1F2937"/>
          <w:sz w:val="20"/>
        </w:rPr>
        <w:t>What is the smallest event basis that is adequate for a useful class of JavaScript analyses?</w:t>
      </w:r>
    </w:p>
    <w:p>
      <w:pPr>
        <w:pStyle w:val="ListBullet"/>
        <w:spacing w:after="50" w:line="252" w:lineRule="auto"/>
        <w:ind w:left="317" w:hanging="230"/>
      </w:pPr>
      <w:r>
        <w:rPr>
          <w:rFonts w:ascii="Liberation Serif" w:hAnsi="Liberation Serif"/>
          <w:color w:val="1F2937"/>
          <w:sz w:val="20"/>
        </w:rPr>
        <w:t>Can read-only probes be proved transparent in a host model that includes observable time, memory pressure, interrupts, and Promise scheduling?</w:t>
      </w:r>
    </w:p>
    <w:p>
      <w:pPr>
        <w:pStyle w:val="ListBullet"/>
        <w:spacing w:after="50" w:line="252" w:lineRule="auto"/>
        <w:ind w:left="317" w:hanging="230"/>
      </w:pPr>
      <w:r>
        <w:rPr>
          <w:rFonts w:ascii="Liberation Serif" w:hAnsi="Liberation Serif"/>
          <w:color w:val="1F2937"/>
          <w:sz w:val="20"/>
        </w:rPr>
        <w:t>Which event capabilities admit a full-abstraction result, and which necessarily expose implementation representation?</w:t>
      </w:r>
    </w:p>
    <w:p>
      <w:pPr>
        <w:pStyle w:val="ListBullet"/>
        <w:spacing w:after="50" w:line="252" w:lineRule="auto"/>
        <w:ind w:left="317" w:hanging="230"/>
      </w:pPr>
      <w:r>
        <w:rPr>
          <w:rFonts w:ascii="Liberation Serif" w:hAnsi="Liberation Serif"/>
          <w:color w:val="1F2937"/>
          <w:sz w:val="20"/>
        </w:rPr>
        <w:t>How should safe observation of proxies, accessors, weak references, and host objects be modeled?</w:t>
      </w:r>
    </w:p>
    <w:p>
      <w:pPr>
        <w:pStyle w:val="ListBullet"/>
        <w:spacing w:after="50" w:line="252" w:lineRule="auto"/>
        <w:ind w:left="317" w:hanging="230"/>
      </w:pPr>
      <w:r>
        <w:rPr>
          <w:rFonts w:ascii="Liberation Serif" w:hAnsi="Liberation Serif"/>
          <w:color w:val="1F2937"/>
          <w:sz w:val="20"/>
        </w:rPr>
        <w:t>Can monitor fusion be proved correct while preserving independent budgets and verdict ordering?</w:t>
      </w:r>
    </w:p>
    <w:p>
      <w:pPr>
        <w:pStyle w:val="ListBullet"/>
        <w:spacing w:after="50" w:line="252" w:lineRule="auto"/>
        <w:ind w:left="317" w:hanging="230"/>
      </w:pPr>
      <w:r>
        <w:rPr>
          <w:rFonts w:ascii="Liberation Serif" w:hAnsi="Liberation Serif"/>
          <w:color w:val="1F2937"/>
          <w:sz w:val="20"/>
        </w:rPr>
        <w:t>How can dynamic code and native modules be enrolled without making the trusted base impractically large?</w:t>
      </w:r>
    </w:p>
    <w:p>
      <w:pPr>
        <w:pStyle w:val="ListBullet"/>
        <w:spacing w:after="50" w:line="252" w:lineRule="auto"/>
        <w:ind w:left="317" w:hanging="230"/>
      </w:pPr>
      <w:r>
        <w:rPr>
          <w:rFonts w:ascii="Liberation Serif" w:hAnsi="Liberation Serif"/>
          <w:color w:val="1F2937"/>
          <w:sz w:val="20"/>
        </w:rPr>
        <w:t>Can proof-relevant traces remain compact enough for workload-scale use while supporting independent checking?</w:t>
      </w:r>
    </w:p>
    <w:p>
      <w:pPr>
        <w:pStyle w:val="ListBullet"/>
        <w:spacing w:after="50" w:line="252" w:lineRule="auto"/>
        <w:ind w:left="317" w:hanging="230"/>
      </w:pPr>
      <w:r>
        <w:rPr>
          <w:rFonts w:ascii="Liberation Serif" w:hAnsi="Liberation Serif"/>
          <w:color w:val="1F2937"/>
          <w:sz w:val="20"/>
        </w:rPr>
        <w:t>What static domains best complement runtime probes for JavaScript contracts and async protocols?</w:t>
      </w:r>
    </w:p>
    <w:p>
      <w:pPr>
        <w:pStyle w:val="ListBullet"/>
        <w:spacing w:after="50" w:line="252" w:lineRule="auto"/>
        <w:ind w:left="317" w:hanging="230"/>
      </w:pPr>
      <w:r>
        <w:rPr>
          <w:rFonts w:ascii="Liberation Serif" w:hAnsi="Liberation Serif"/>
          <w:color w:val="1F2937"/>
          <w:sz w:val="20"/>
        </w:rPr>
        <w:t>How should event schemas evolve across ECMAScript editions and interpreter refactorings?</w:t>
      </w:r>
    </w:p>
    <w:p>
      <w:pPr>
        <w:pStyle w:val="ListBullet"/>
        <w:spacing w:after="50" w:line="252" w:lineRule="auto"/>
        <w:ind w:left="317" w:hanging="230"/>
      </w:pPr>
      <w:r>
        <w:rPr>
          <w:rFonts w:ascii="Liberation Serif" w:hAnsi="Liberation Serif"/>
          <w:color w:val="1F2937"/>
          <w:sz w:val="20"/>
        </w:rPr>
        <w:t>Can semantic probes support translation validation of interpreter optimizations or alternative bytecode compilers?</w:t>
      </w:r>
    </w:p>
    <w:p>
      <w:pPr>
        <w:pStyle w:val="Heading3"/>
      </w:pPr>
      <w:r>
        <w:rPr>
          <w:rFonts w:ascii="Liberation Sans" w:hAnsi="Liberation Sans"/>
          <w:b/>
          <w:color w:val="245C8A"/>
          <w:sz w:val="23"/>
        </w:rPr>
        <w:t>33.6 Final assessment</w:t>
      </w:r>
    </w:p>
    <w:p>
      <w:pPr>
        <w:spacing w:line="259" w:lineRule="auto" w:after="80"/>
        <w:ind w:firstLine="317"/>
      </w:pPr>
      <w:r>
        <w:rPr>
          <w:rFonts w:ascii="Liberation Serif" w:hAnsi="Liberation Serif"/>
          <w:color w:val="1F2937"/>
          <w:sz w:val="20"/>
        </w:rPr>
        <w:t>The project is technically plausible and theoretically rich because it creates an explicit seam between concrete interpreter execution and formal interpretation. Its novelty does not lie in inventing runtime monitoring, executable semantics, or safe extension in isolation. It lies in combining them around a versioned semantic event ABI inside a practical interpreter, with a single verified property substrate and research-facing metadata. The decisive risk is event semantics: if events are incomplete, mistimed, or ambiguously projected, the rest of the system can produce precise answers to the wrong questions.</w:t>
      </w:r>
    </w:p>
    <w:p>
      <w:pPr>
        <w:spacing w:line="259" w:lineRule="auto" w:after="80"/>
        <w:ind w:firstLine="317"/>
      </w:pPr>
      <w:r>
        <w:rPr>
          <w:rFonts w:ascii="Liberation Serif" w:hAnsi="Liberation Serif"/>
          <w:color w:val="1F2937"/>
          <w:sz w:val="20"/>
        </w:rPr>
        <w:t>The recommended strategy is therefore conservative. Begin with a small event subset, state its semantics, test every control path, prove erasure in a model, and make traces independently checkable. Once that foundation is reliable, metrics, contracts, abstract interpretation, symbolic execution, temporal monitoring, and proof tools can share it. The result can become both an instrumentation facility and a semantics laboratory used during ordinary academic work rather than only in final artifact construction.</w:t>
      </w:r>
    </w:p>
    <w:p>
      <w:r>
        <w:br w:type="page"/>
      </w:r>
    </w:p>
    <w:p>
      <w:pPr>
        <w:pStyle w:val="Heading1"/>
        <w:spacing w:before="0" w:after="160"/>
      </w:pPr>
      <w:r>
        <w:rPr>
          <w:rFonts w:ascii="Liberation Sans" w:hAnsi="Liberation Sans"/>
          <w:b/>
          <w:color w:val="193E5D"/>
          <w:sz w:val="40"/>
        </w:rPr>
        <w:t>Appendices</w:t>
      </w:r>
    </w:p>
    <w:p>
      <w:pPr>
        <w:spacing w:after="320"/>
      </w:pPr>
      <w:r>
        <w:rPr>
          <w:rFonts w:ascii="Liberation Serif" w:hAnsi="Liberation Serif"/>
          <w:i/>
          <w:color w:val="586474"/>
          <w:sz w:val="22"/>
        </w:rPr>
        <w:t>Formal sketches, schemas, implementation interfaces, and bibliography.</w:t>
      </w:r>
    </w:p>
    <w:p>
      <w:pPr>
        <w:pStyle w:val="Heading2"/>
      </w:pPr>
      <w:r>
        <w:rPr>
          <w:rFonts w:ascii="Liberation Sans" w:hAnsi="Liberation Sans"/>
          <w:b/>
          <w:color w:val="193E5D"/>
          <w:sz w:val="30"/>
        </w:rPr>
        <w:t>Appendix A. Formal core for a first mechanization</w:t>
      </w:r>
    </w:p>
    <w:p>
      <w:pPr>
        <w:pStyle w:val="Heading3"/>
      </w:pPr>
      <w:r>
        <w:rPr>
          <w:rFonts w:ascii="Liberation Sans" w:hAnsi="Liberation Sans"/>
          <w:b/>
          <w:color w:val="245C8A"/>
          <w:sz w:val="23"/>
        </w:rPr>
        <w:t>A.1 Core configurations</w:t>
      </w:r>
    </w:p>
    <w:p>
      <w:pPr>
        <w:spacing w:line="259" w:lineRule="auto" w:after="80"/>
        <w:ind w:firstLine="317"/>
      </w:pPr>
      <w:r>
        <w:rPr>
          <w:rFonts w:ascii="Liberation Serif" w:hAnsi="Liberation Serif"/>
          <w:color w:val="1F2937"/>
          <w:sz w:val="20"/>
        </w:rPr>
        <w:t>A first mechanization should use a deliberately small language with values, variables, mutable objects, function calls, constructors, return, throw, try/catch/finally, and native effects represented as abstract events. The purpose is to prove the instrumentation architecture, not to formalize all of ECMAScript immediately. A CESK-like machine makes the environment, store, and continuation explicit.</w:t>
      </w:r>
    </w:p>
    <w:p>
      <w:pPr>
        <w:spacing w:after="40"/>
        <w:keepNext/>
      </w:pPr>
      <w:r>
        <w:rPr>
          <w:rFonts w:ascii="Liberation Sans" w:hAnsi="Liberation Sans"/>
          <w:b/>
          <w:color w:val="193E5D"/>
          <w:sz w:val="17"/>
        </w:rPr>
        <w:t>Schematic core language and machine components.</w:t>
      </w:r>
    </w:p>
    <w:tbl>
      <w:tblPr>
        <w:tblW w:type="auto" w:w="0"/>
        <w:jc w:val="center"/>
        <w:tblLook w:firstColumn="1" w:firstRow="1" w:lastColumn="0" w:lastRow="0" w:noHBand="0" w:noVBand="1" w:val="04A0"/>
      </w:tblPr>
      <w:tblGrid>
        <w:gridCol w:w="9994"/>
      </w:tblGrid>
      <w:tr>
        <w:tc>
          <w:tcPr>
            <w:tcW w:type="dxa" w:w="9994"/>
            <w:shd w:fill="F7F8FA" w:val="clear"/>
            <w:tcBorders>
              <w:top w:val="single" w:sz="5" w:color="CBD3DA"/>
              <w:left w:val="single" w:sz="5" w:color="CBD3DA"/>
              <w:bottom w:val="single" w:sz="5" w:color="CBD3DA"/>
              <w:right w:val="single" w:sz="5" w:color="CBD3DA"/>
            </w:tcBorders>
            <w:tcMar>
              <w:top w:w="110" w:type="dxa"/>
              <w:start w:w="130" w:type="dxa"/>
              <w:bottom w:w="110" w:type="dxa"/>
              <w:end w:w="130" w:type="dxa"/>
            </w:tcMar>
          </w:tcPr>
          <w:p>
            <w:pPr>
              <w:spacing w:after="0" w:line="240" w:lineRule="auto"/>
            </w:pPr>
            <w:r>
              <w:rPr>
                <w:rFonts w:ascii="DejaVu Sans Mono" w:hAnsi="DejaVu Sans Mono"/>
                <w:color w:val="263442"/>
                <w:sz w:val="16"/>
              </w:rPr>
              <w:t>Value v   ::= n | b | string | undefined | null | location | closure</w:t>
              <w:br/>
              <w:t>Expr  e   ::= v | x | e(e*) | new e(e*) | e.p | e.p := e</w:t>
              <w:br/>
              <w:t xml:space="preserve">           | return e | throw e | try e catch(x) e finally e</w:t>
              <w:br/>
              <w:br/>
              <w:t>Env   rho : Variable -&gt; Address</w:t>
              <w:br/>
              <w:t>Store sigma : Address -&gt; Storable</w:t>
              <w:br/>
              <w:t>Kont  kappa ::= halt | callK(...) | returnK(...) | throwK(...) | finallyK(...)</w:t>
              <w:br/>
              <w:t>Config C ::= &lt;e, rho, sigma, kappa&gt; | &lt;completion, sigma, kappa&gt;</w:t>
            </w:r>
          </w:p>
        </w:tc>
      </w:tr>
    </w:tbl>
    <w:p>
      <w:pPr>
        <w:spacing w:after="0"/>
      </w:pPr>
    </w:p>
    <w:p>
      <w:pPr>
        <w:pStyle w:val="Heading3"/>
      </w:pPr>
      <w:r>
        <w:rPr>
          <w:rFonts w:ascii="Liberation Sans" w:hAnsi="Liberation Sans"/>
          <w:b/>
          <w:color w:val="245C8A"/>
          <w:sz w:val="23"/>
        </w:rPr>
        <w:t>A.2 Event-labelled rules</w:t>
      </w:r>
    </w:p>
    <w:p>
      <w:pPr>
        <w:spacing w:line="259" w:lineRule="auto" w:after="80"/>
        <w:ind w:firstLine="317"/>
      </w:pPr>
      <w:r>
        <w:rPr>
          <w:rFonts w:ascii="Liberation Serif" w:hAnsi="Liberation Serif"/>
          <w:color w:val="1F2937"/>
          <w:sz w:val="20"/>
        </w:rPr>
        <w:t>Rules should distinguish call-site and callee lifecycle events. The following are schemas rather than finished inference rules. Observations are projections and therefore do not contain the full configuration.</w:t>
      </w:r>
    </w:p>
    <w:p>
      <w:pPr>
        <w:spacing w:after="40"/>
        <w:keepNext/>
      </w:pPr>
      <w:r>
        <w:rPr>
          <w:rFonts w:ascii="Liberation Sans" w:hAnsi="Liberation Sans"/>
          <w:b/>
          <w:color w:val="193E5D"/>
          <w:sz w:val="17"/>
        </w:rPr>
        <w:t>Illustrative event-labelled transition schemas.</w:t>
      </w:r>
    </w:p>
    <w:tbl>
      <w:tblPr>
        <w:tblW w:type="auto" w:w="0"/>
        <w:jc w:val="center"/>
        <w:tblLook w:firstColumn="1" w:firstRow="1" w:lastColumn="0" w:lastRow="0" w:noHBand="0" w:noVBand="1" w:val="04A0"/>
      </w:tblPr>
      <w:tblGrid>
        <w:gridCol w:w="9994"/>
      </w:tblGrid>
      <w:tr>
        <w:tc>
          <w:tcPr>
            <w:tcW w:type="dxa" w:w="9994"/>
            <w:shd w:fill="F7F8FA" w:val="clear"/>
            <w:tcBorders>
              <w:top w:val="single" w:sz="5" w:color="CBD3DA"/>
              <w:left w:val="single" w:sz="5" w:color="CBD3DA"/>
              <w:bottom w:val="single" w:sz="5" w:color="CBD3DA"/>
              <w:right w:val="single" w:sz="5" w:color="CBD3DA"/>
            </w:tcBorders>
            <w:tcMar>
              <w:top w:w="110" w:type="dxa"/>
              <w:start w:w="130" w:type="dxa"/>
              <w:bottom w:w="110" w:type="dxa"/>
              <w:end w:w="130" w:type="dxa"/>
            </w:tcMar>
          </w:tcPr>
          <w:p>
            <w:pPr>
              <w:spacing w:after="0" w:line="240" w:lineRule="auto"/>
            </w:pPr>
            <w:r>
              <w:rPr>
                <w:rFonts w:ascii="DejaVu Sans Mono" w:hAnsi="DejaVu Sans Mono"/>
                <w:color w:val="263442"/>
                <w:sz w:val="16"/>
              </w:rPr>
              <w:t>CALL-BEFORE</w:t>
              <w:br/>
              <w:t xml:space="preserve">  evaluate callee, receiver, and arguments</w:t>
              <w:br/>
              <w:t xml:space="preserve">  -------------------------------------------------</w:t>
              <w:br/>
              <w:t xml:space="preserve">  &lt;callsite, rho, sigma, kappa&gt;</w:t>
              <w:br/>
              <w:t xml:space="preserve">      -[CallBefore(site, callee, receiver, args)]-&gt;</w:t>
              <w:br/>
              <w:t xml:space="preserve">  &lt;callee-body, rho_f, sigma, callK(frame, kappa)&gt;</w:t>
              <w:br/>
              <w:br/>
              <w:t>FUNCTION-RETURN</w:t>
              <w:br/>
              <w:t xml:space="preserve">  final completion is Normal(v)</w:t>
              <w:br/>
              <w:t xml:space="preserve">  -------------------------------------------------</w:t>
              <w:br/>
              <w:t xml:space="preserve">  &lt;Normal(v), sigma, callK(frame, kappa)&gt;</w:t>
              <w:br/>
              <w:t xml:space="preserve">      -[FunctionReturn(frame, v)]-&gt;</w:t>
              <w:br/>
              <w:t xml:space="preserve">  &lt;caller-result(v), sigma, kappa&gt;</w:t>
              <w:br/>
              <w:br/>
              <w:t>FUNCTION-THROW</w:t>
              <w:br/>
              <w:t xml:space="preserve">  abrupt completion crosses frame</w:t>
              <w:br/>
              <w:t xml:space="preserve">  -------------------------------------------------</w:t>
              <w:br/>
              <w:t xml:space="preserve">  &lt;Throw(x), sigma, callK(frame, kappa)&gt;</w:t>
              <w:br/>
              <w:t xml:space="preserve">      -[FunctionThrow(frame, x)]-&gt;</w:t>
              <w:br/>
              <w:t xml:space="preserve">  &lt;Throw(x), sigma, kappa&gt;</w:t>
            </w:r>
          </w:p>
        </w:tc>
      </w:tr>
    </w:tbl>
    <w:p>
      <w:pPr>
        <w:spacing w:after="0"/>
      </w:pPr>
    </w:p>
    <w:p>
      <w:pPr>
        <w:pStyle w:val="Heading3"/>
      </w:pPr>
      <w:r>
        <w:rPr>
          <w:rFonts w:ascii="Liberation Sans" w:hAnsi="Liberation Sans"/>
          <w:b/>
          <w:color w:val="245C8A"/>
          <w:sz w:val="23"/>
        </w:rPr>
        <w:t>A.3 Instrumented product</w:t>
      </w:r>
    </w:p>
    <w:p>
      <w:pPr>
        <w:spacing w:after="40"/>
        <w:keepNext/>
      </w:pPr>
      <w:r>
        <w:rPr>
          <w:rFonts w:ascii="Liberation Sans" w:hAnsi="Liberation Sans"/>
          <w:b/>
          <w:color w:val="193E5D"/>
          <w:sz w:val="17"/>
        </w:rPr>
        <w:t>Core monitor-product semantics.</w:t>
      </w:r>
    </w:p>
    <w:tbl>
      <w:tblPr>
        <w:tblW w:type="auto" w:w="0"/>
        <w:jc w:val="center"/>
        <w:tblLook w:firstColumn="1" w:firstRow="1" w:lastColumn="0" w:lastRow="0" w:noHBand="0" w:noVBand="1" w:val="04A0"/>
      </w:tblPr>
      <w:tblGrid>
        <w:gridCol w:w="9994"/>
      </w:tblGrid>
      <w:tr>
        <w:tc>
          <w:tcPr>
            <w:tcW w:type="dxa" w:w="9994"/>
            <w:shd w:fill="F7F8FA" w:val="clear"/>
            <w:tcBorders>
              <w:top w:val="single" w:sz="5" w:color="CBD3DA"/>
              <w:left w:val="single" w:sz="5" w:color="CBD3DA"/>
              <w:bottom w:val="single" w:sz="5" w:color="CBD3DA"/>
              <w:right w:val="single" w:sz="5" w:color="CBD3DA"/>
            </w:tcBorders>
            <w:tcMar>
              <w:top w:w="110" w:type="dxa"/>
              <w:start w:w="130" w:type="dxa"/>
              <w:bottom w:w="110" w:type="dxa"/>
              <w:end w:w="130" w:type="dxa"/>
            </w:tcMar>
          </w:tcPr>
          <w:p>
            <w:pPr>
              <w:spacing w:after="0" w:line="240" w:lineRule="auto"/>
            </w:pPr>
            <w:r>
              <w:rPr>
                <w:rFonts w:ascii="DejaVu Sans Mono" w:hAnsi="DejaVu Sans Mono"/>
                <w:color w:val="263442"/>
                <w:sz w:val="16"/>
              </w:rPr>
              <w:t>Program transition:</w:t>
              <w:br/>
              <w:t xml:space="preserve">    C -[e/o]-&gt; C'</w:t>
              <w:br/>
              <w:br/>
              <w:t>Monitor transition:</w:t>
              <w:br/>
              <w:t xml:space="preserve">    delta(m, e, o) = (m', action)</w:t>
              <w:br/>
              <w:br/>
              <w:t>Product transition:</w:t>
              <w:br/>
              <w:t xml:space="preserve">    (C, m) ==&gt; (C', m')          when action = Continue</w:t>
              <w:br/>
              <w:t xml:space="preserve">    (C, m) ==&gt; Violation(id, t)  when action = Violate(id)</w:t>
              <w:br/>
              <w:br/>
              <w:t>Silent transition:</w:t>
              <w:br/>
              <w:t xml:space="preserve">    C -[tau]-&gt; C'</w:t>
              <w:br/>
              <w:t xml:space="preserve">    ----------------</w:t>
              <w:br/>
              <w:t xml:space="preserve">    (C, m) ==&gt; (C', m)</w:t>
            </w:r>
          </w:p>
        </w:tc>
      </w:tr>
    </w:tbl>
    <w:p>
      <w:pPr>
        <w:spacing w:after="0"/>
      </w:pPr>
    </w:p>
    <w:p>
      <w:pPr>
        <w:pStyle w:val="Heading3"/>
      </w:pPr>
      <w:r>
        <w:rPr>
          <w:rFonts w:ascii="Liberation Sans" w:hAnsi="Liberation Sans"/>
          <w:b/>
          <w:color w:val="245C8A"/>
          <w:sz w:val="23"/>
        </w:rPr>
        <w:t>A.4 Candidate theorems</w:t>
      </w:r>
    </w:p>
    <w:p>
      <w:pPr>
        <w:pStyle w:val="ListBullet"/>
        <w:spacing w:after="50" w:line="252" w:lineRule="auto"/>
        <w:ind w:left="317" w:hanging="230"/>
      </w:pPr>
      <w:r>
        <w:rPr>
          <w:rFonts w:ascii="Liberation Serif" w:hAnsi="Liberation Serif"/>
          <w:color w:val="1F2937"/>
          <w:sz w:val="20"/>
        </w:rPr>
        <w:t>Probe progress: a verified probe invocation either completes within its budget or produces a defined budget outcome; it does not become stuck.</w:t>
      </w:r>
    </w:p>
    <w:p>
      <w:pPr>
        <w:pStyle w:val="ListBullet"/>
        <w:spacing w:after="50" w:line="252" w:lineRule="auto"/>
        <w:ind w:left="317" w:hanging="230"/>
      </w:pPr>
      <w:r>
        <w:rPr>
          <w:rFonts w:ascii="Liberation Serif" w:hAnsi="Liberation Serif"/>
          <w:color w:val="1F2937"/>
          <w:sz w:val="20"/>
        </w:rPr>
        <w:t>Probe preservation: executing a verified instruction preserves the verifier's register, stack, handle-lifetime, and map-schema invariants.</w:t>
      </w:r>
    </w:p>
    <w:p>
      <w:pPr>
        <w:pStyle w:val="ListBullet"/>
        <w:spacing w:after="50" w:line="252" w:lineRule="auto"/>
        <w:ind w:left="317" w:hanging="230"/>
      </w:pPr>
      <w:r>
        <w:rPr>
          <w:rFonts w:ascii="Liberation Serif" w:hAnsi="Liberation Serif"/>
          <w:color w:val="1F2937"/>
          <w:sz w:val="20"/>
        </w:rPr>
        <w:t>Observational erasure: for observe-mode probes, erasing monitor state and tau steps yields an execution related to the uninstrumented execution.</w:t>
      </w:r>
    </w:p>
    <w:p>
      <w:pPr>
        <w:pStyle w:val="ListBullet"/>
        <w:spacing w:after="50" w:line="252" w:lineRule="auto"/>
        <w:ind w:left="317" w:hanging="230"/>
      </w:pPr>
      <w:r>
        <w:rPr>
          <w:rFonts w:ascii="Liberation Serif" w:hAnsi="Liberation Serif"/>
          <w:color w:val="1F2937"/>
          <w:sz w:val="20"/>
        </w:rPr>
        <w:t>Event soundness: every non-tau event in the instrumented machine corresponds to the event-labelled source rule of the same kind.</w:t>
      </w:r>
    </w:p>
    <w:p>
      <w:pPr>
        <w:pStyle w:val="ListBullet"/>
        <w:spacing w:after="50" w:line="252" w:lineRule="auto"/>
        <w:ind w:left="317" w:hanging="230"/>
      </w:pPr>
      <w:r>
        <w:rPr>
          <w:rFonts w:ascii="Liberation Serif" w:hAnsi="Liberation Serif"/>
          <w:color w:val="1F2937"/>
          <w:sz w:val="20"/>
        </w:rPr>
        <w:t>Event completeness for the core: every selected source rule produces exactly the required event when the family is enabled.</w:t>
      </w:r>
    </w:p>
    <w:p>
      <w:pPr>
        <w:pStyle w:val="ListBullet"/>
        <w:spacing w:after="50" w:line="252" w:lineRule="auto"/>
        <w:ind w:left="317" w:hanging="230"/>
      </w:pPr>
      <w:r>
        <w:rPr>
          <w:rFonts w:ascii="Liberation Serif" w:hAnsi="Liberation Serif"/>
          <w:color w:val="1F2937"/>
          <w:sz w:val="20"/>
        </w:rPr>
        <w:t>Monitor compiler correctness: compiling a core contract or automaton produces an IR monitor with the same bad prefixes.</w:t>
      </w:r>
    </w:p>
    <w:p>
      <w:pPr>
        <w:pStyle w:val="ListBullet"/>
        <w:spacing w:after="50" w:line="252" w:lineRule="auto"/>
        <w:ind w:left="317" w:hanging="230"/>
      </w:pPr>
      <w:r>
        <w:rPr>
          <w:rFonts w:ascii="Liberation Serif" w:hAnsi="Liberation Serif"/>
          <w:color w:val="1F2937"/>
          <w:sz w:val="20"/>
        </w:rPr>
        <w:t>Trace checker soundness: acceptance by the checker implies that local event and monitor-transition constraints hold for the supplied trace.</w:t>
      </w:r>
    </w:p>
    <w:p>
      <w:pPr>
        <w:pStyle w:val="Heading2"/>
      </w:pPr>
      <w:r>
        <w:rPr>
          <w:rFonts w:ascii="Liberation Sans" w:hAnsi="Liberation Sans"/>
          <w:b/>
          <w:color w:val="193E5D"/>
          <w:sz w:val="30"/>
        </w:rPr>
        <w:t>Appendix B. Event schema sketch</w:t>
      </w:r>
    </w:p>
    <w:p>
      <w:pPr>
        <w:pStyle w:val="Heading3"/>
      </w:pPr>
      <w:r>
        <w:rPr>
          <w:rFonts w:ascii="Liberation Sans" w:hAnsi="Liberation Sans"/>
          <w:b/>
          <w:color w:val="245C8A"/>
          <w:sz w:val="23"/>
        </w:rPr>
        <w:t>B.1 Common envelope</w:t>
      </w:r>
    </w:p>
    <w:p>
      <w:pPr>
        <w:spacing w:after="40"/>
        <w:keepNext/>
      </w:pPr>
      <w:r>
        <w:rPr>
          <w:rFonts w:ascii="Liberation Sans" w:hAnsi="Liberation Sans"/>
          <w:b/>
          <w:color w:val="193E5D"/>
          <w:sz w:val="17"/>
        </w:rPr>
        <w:t>Common trace envelope. Runtime probe contexts should use event-specific typed records.</w:t>
      </w:r>
    </w:p>
    <w:tbl>
      <w:tblPr>
        <w:tblW w:type="auto" w:w="0"/>
        <w:jc w:val="center"/>
        <w:tblLook w:firstColumn="1" w:firstRow="1" w:lastColumn="0" w:lastRow="0" w:noHBand="0" w:noVBand="1" w:val="04A0"/>
      </w:tblPr>
      <w:tblGrid>
        <w:gridCol w:w="9994"/>
      </w:tblGrid>
      <w:tr>
        <w:tc>
          <w:tcPr>
            <w:tcW w:type="dxa" w:w="9994"/>
            <w:shd w:fill="F7F8FA" w:val="clear"/>
            <w:tcBorders>
              <w:top w:val="single" w:sz="5" w:color="CBD3DA"/>
              <w:left w:val="single" w:sz="5" w:color="CBD3DA"/>
              <w:bottom w:val="single" w:sz="5" w:color="CBD3DA"/>
              <w:right w:val="single" w:sz="5" w:color="CBD3DA"/>
            </w:tcBorders>
            <w:tcMar>
              <w:top w:w="110" w:type="dxa"/>
              <w:start w:w="130" w:type="dxa"/>
              <w:bottom w:w="110" w:type="dxa"/>
              <w:end w:w="130" w:type="dxa"/>
            </w:tcMar>
          </w:tcPr>
          <w:p>
            <w:pPr>
              <w:spacing w:after="0" w:line="240" w:lineRule="auto"/>
            </w:pPr>
            <w:r>
              <w:rPr>
                <w:rFonts w:ascii="DejaVu Sans Mono" w:hAnsi="DejaVu Sans Mono"/>
                <w:color w:val="263442"/>
                <w:sz w:val="16"/>
              </w:rPr>
              <w:t>EventEnvelope {</w:t>
              <w:br/>
              <w:t xml:space="preserve">  schema_version : u32</w:t>
              <w:br/>
              <w:t xml:space="preserve">  run_id         : RunID</w:t>
              <w:br/>
              <w:t xml:space="preserve">  sequence       : u64</w:t>
              <w:br/>
              <w:t xml:space="preserve">  event_id       : EventID</w:t>
              <w:br/>
              <w:t xml:space="preserve">  kind           : EventKind</w:t>
              <w:br/>
              <w:br/>
              <w:t xml:space="preserve">  program_id     : ProgramID?</w:t>
              <w:br/>
              <w:t xml:space="preserve">  function_id    : FunctionID?</w:t>
              <w:br/>
              <w:t xml:space="preserve">  site_id        : SiteID?</w:t>
              <w:br/>
              <w:t xml:space="preserve">  frame_id       : FrameID?</w:t>
              <w:br/>
              <w:t xml:space="preserve">  continuation_id: ContinuationID?</w:t>
              <w:br/>
              <w:t xml:space="preserve">  job_id         : JobID?</w:t>
              <w:br/>
              <w:br/>
              <w:t xml:space="preserve">  source         : SourceSpan?</w:t>
              <w:br/>
              <w:t xml:space="preserve">  formal_rule    : RuleID?</w:t>
              <w:br/>
              <w:t xml:space="preserve">  spec_operation : OperationID?</w:t>
              <w:br/>
              <w:t xml:space="preserve">  cause          : EventID?</w:t>
              <w:br/>
              <w:br/>
              <w:t xml:space="preserve">  payload        : EventPayload</w:t>
              <w:br/>
              <w:t>}</w:t>
            </w:r>
          </w:p>
        </w:tc>
      </w:tr>
    </w:tbl>
    <w:p>
      <w:pPr>
        <w:spacing w:after="0"/>
      </w:pPr>
    </w:p>
    <w:p>
      <w:pPr>
        <w:pStyle w:val="Heading3"/>
      </w:pPr>
      <w:r>
        <w:rPr>
          <w:rFonts w:ascii="Liberation Sans" w:hAnsi="Liberation Sans"/>
          <w:b/>
          <w:color w:val="245C8A"/>
          <w:sz w:val="23"/>
        </w:rPr>
        <w:t>B.2 Event payload examples</w:t>
      </w:r>
    </w:p>
    <w:p>
      <w:pPr>
        <w:spacing w:after="60"/>
        <w:keepNext/>
      </w:pPr>
      <w:r>
        <w:rPr>
          <w:rFonts w:ascii="Liberation Sans" w:hAnsi="Liberation Sans"/>
          <w:b/>
          <w:color w:val="193E5D"/>
          <w:sz w:val="18"/>
        </w:rPr>
        <w:t>Table 15. Event payload contracts for an initial ABI.</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2088"/>
            <w:shd w:fill="245C8A" w:val="clear"/>
            <w:tcMar>
              <w:top w:w="70" w:type="dxa"/>
              <w:start w:w="80" w:type="dxa"/>
              <w:bottom w:w="70" w:type="dxa"/>
              <w:end w:w="80" w:type="dxa"/>
            </w:tcMar>
            <w:vAlign w:val="center"/>
          </w:tcPr>
          <w:p>
            <w:pPr>
              <w:jc w:val="left"/>
            </w:pPr>
            <w:r>
              <w:rPr>
                <w:rFonts w:ascii="Liberation Sans" w:hAnsi="Liberation Sans"/>
                <w:b/>
                <w:color w:val="FFFFFF"/>
                <w:sz w:val="17"/>
              </w:rPr>
              <w:t>Event</w:t>
            </w:r>
          </w:p>
        </w:tc>
        <w:tc>
          <w:tcPr>
            <w:tcW w:type="dxa" w:w="5328"/>
            <w:shd w:fill="245C8A" w:val="clear"/>
            <w:tcMar>
              <w:top w:w="70" w:type="dxa"/>
              <w:start w:w="80" w:type="dxa"/>
              <w:bottom w:w="70" w:type="dxa"/>
              <w:end w:w="80" w:type="dxa"/>
            </w:tcMar>
            <w:vAlign w:val="center"/>
          </w:tcPr>
          <w:p>
            <w:pPr>
              <w:jc w:val="left"/>
            </w:pPr>
            <w:r>
              <w:rPr>
                <w:rFonts w:ascii="Liberation Sans" w:hAnsi="Liberation Sans"/>
                <w:b/>
                <w:color w:val="FFFFFF"/>
                <w:sz w:val="17"/>
              </w:rPr>
              <w:t>Required payload</w:t>
            </w:r>
          </w:p>
        </w:tc>
        <w:tc>
          <w:tcPr>
            <w:tcW w:type="dxa" w:w="2736"/>
            <w:shd w:fill="245C8A" w:val="clear"/>
            <w:tcMar>
              <w:top w:w="70" w:type="dxa"/>
              <w:start w:w="80" w:type="dxa"/>
              <w:bottom w:w="70" w:type="dxa"/>
              <w:end w:w="80" w:type="dxa"/>
            </w:tcMar>
            <w:vAlign w:val="center"/>
          </w:tcPr>
          <w:p>
            <w:pPr>
              <w:jc w:val="left"/>
            </w:pPr>
            <w:r>
              <w:rPr>
                <w:rFonts w:ascii="Liberation Sans" w:hAnsi="Liberation Sans"/>
                <w:b/>
                <w:color w:val="FFFFFF"/>
                <w:sz w:val="17"/>
              </w:rPr>
              <w:t>Semantic phase</w:t>
            </w:r>
          </w:p>
        </w:tc>
      </w:tr>
      <w:tr>
        <w:trPr>
          <w:cantSplit/>
        </w:trPr>
        <w:tc>
          <w:tcPr>
            <w:tcW w:type="dxa" w:w="2088"/>
            <w:tcMar>
              <w:top w:w="65" w:type="dxa"/>
              <w:start w:w="80" w:type="dxa"/>
              <w:bottom w:w="65" w:type="dxa"/>
              <w:end w:w="80" w:type="dxa"/>
            </w:tcMar>
            <w:vAlign w:val="top"/>
          </w:tcPr>
          <w:p>
            <w:pPr>
              <w:spacing w:after="0" w:line="240" w:lineRule="auto"/>
            </w:pPr>
            <w:r>
              <w:rPr>
                <w:rFonts w:ascii="Liberation Serif" w:hAnsi="Liberation Serif"/>
                <w:color w:val="1F2937"/>
                <w:sz w:val="17"/>
              </w:rPr>
              <w:t>CallBefore</w:t>
            </w:r>
          </w:p>
        </w:tc>
        <w:tc>
          <w:tcPr>
            <w:tcW w:type="dxa" w:w="5328"/>
            <w:tcMar>
              <w:top w:w="65" w:type="dxa"/>
              <w:start w:w="80" w:type="dxa"/>
              <w:bottom w:w="65" w:type="dxa"/>
              <w:end w:w="80" w:type="dxa"/>
            </w:tcMar>
            <w:vAlign w:val="top"/>
          </w:tcPr>
          <w:p>
            <w:pPr>
              <w:spacing w:after="0" w:line="240" w:lineRule="auto"/>
            </w:pPr>
            <w:r>
              <w:rPr>
                <w:rFonts w:ascii="Liberation Serif" w:hAnsi="Liberation Serif"/>
                <w:color w:val="1F2937"/>
                <w:sz w:val="17"/>
              </w:rPr>
              <w:t>callee, receiver, argument view, call kind, call-site ID</w:t>
            </w:r>
          </w:p>
        </w:tc>
        <w:tc>
          <w:tcPr>
            <w:tcW w:type="dxa" w:w="2736"/>
            <w:tcMar>
              <w:top w:w="65" w:type="dxa"/>
              <w:start w:w="80" w:type="dxa"/>
              <w:bottom w:w="65" w:type="dxa"/>
              <w:end w:w="80" w:type="dxa"/>
            </w:tcMar>
            <w:vAlign w:val="top"/>
          </w:tcPr>
          <w:p>
            <w:pPr>
              <w:spacing w:after="0" w:line="240" w:lineRule="auto"/>
            </w:pPr>
            <w:r>
              <w:rPr>
                <w:rFonts w:ascii="Liberation Serif" w:hAnsi="Liberation Serif"/>
                <w:color w:val="1F2937"/>
                <w:sz w:val="17"/>
              </w:rPr>
              <w:t>After operand evaluation; before invocation semantics.</w:t>
            </w:r>
          </w:p>
        </w:tc>
      </w:tr>
      <w:tr>
        <w:trPr>
          <w:cantSplit/>
        </w:trPr>
        <w:tc>
          <w:tcPr>
            <w:tcW w:type="dxa" w:w="2088"/>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FunctionEnter</w:t>
            </w:r>
          </w:p>
        </w:tc>
        <w:tc>
          <w:tcPr>
            <w:tcW w:type="dxa" w:w="5328"/>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function, frame, this availability, parameters, new target</w:t>
            </w:r>
          </w:p>
        </w:tc>
        <w:tc>
          <w:tcPr>
            <w:tcW w:type="dxa" w:w="2736"/>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After prologue/parameter initialization.</w:t>
            </w:r>
          </w:p>
        </w:tc>
      </w:tr>
      <w:tr>
        <w:trPr>
          <w:cantSplit/>
        </w:trPr>
        <w:tc>
          <w:tcPr>
            <w:tcW w:type="dxa" w:w="2088"/>
            <w:tcMar>
              <w:top w:w="65" w:type="dxa"/>
              <w:start w:w="80" w:type="dxa"/>
              <w:bottom w:w="65" w:type="dxa"/>
              <w:end w:w="80" w:type="dxa"/>
            </w:tcMar>
            <w:vAlign w:val="top"/>
          </w:tcPr>
          <w:p>
            <w:pPr>
              <w:spacing w:after="0" w:line="240" w:lineRule="auto"/>
            </w:pPr>
            <w:r>
              <w:rPr>
                <w:rFonts w:ascii="Liberation Serif" w:hAnsi="Liberation Serif"/>
                <w:color w:val="1F2937"/>
                <w:sz w:val="17"/>
              </w:rPr>
              <w:t>FunctionReturn</w:t>
            </w:r>
          </w:p>
        </w:tc>
        <w:tc>
          <w:tcPr>
            <w:tcW w:type="dxa" w:w="5328"/>
            <w:tcMar>
              <w:top w:w="65" w:type="dxa"/>
              <w:start w:w="80" w:type="dxa"/>
              <w:bottom w:w="65" w:type="dxa"/>
              <w:end w:w="80" w:type="dxa"/>
            </w:tcMar>
            <w:vAlign w:val="top"/>
          </w:tcPr>
          <w:p>
            <w:pPr>
              <w:spacing w:after="0" w:line="240" w:lineRule="auto"/>
            </w:pPr>
            <w:r>
              <w:rPr>
                <w:rFonts w:ascii="Liberation Serif" w:hAnsi="Liberation Serif"/>
                <w:color w:val="1F2937"/>
                <w:sz w:val="17"/>
              </w:rPr>
              <w:t>function, frame, final normal result</w:t>
            </w:r>
          </w:p>
        </w:tc>
        <w:tc>
          <w:tcPr>
            <w:tcW w:type="dxa" w:w="2736"/>
            <w:tcMar>
              <w:top w:w="65" w:type="dxa"/>
              <w:start w:w="80" w:type="dxa"/>
              <w:bottom w:w="65" w:type="dxa"/>
              <w:end w:w="80" w:type="dxa"/>
            </w:tcMar>
            <w:vAlign w:val="top"/>
          </w:tcPr>
          <w:p>
            <w:pPr>
              <w:spacing w:after="0" w:line="240" w:lineRule="auto"/>
            </w:pPr>
            <w:r>
              <w:rPr>
                <w:rFonts w:ascii="Liberation Serif" w:hAnsi="Liberation Serif"/>
                <w:color w:val="1F2937"/>
                <w:sz w:val="17"/>
              </w:rPr>
              <w:t>Immediately before crossing callee boundary.</w:t>
            </w:r>
          </w:p>
        </w:tc>
      </w:tr>
      <w:tr>
        <w:trPr>
          <w:cantSplit/>
        </w:trPr>
        <w:tc>
          <w:tcPr>
            <w:tcW w:type="dxa" w:w="2088"/>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FunctionThrow</w:t>
            </w:r>
          </w:p>
        </w:tc>
        <w:tc>
          <w:tcPr>
            <w:tcW w:type="dxa" w:w="5328"/>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function, frame, final exception value/category</w:t>
            </w:r>
          </w:p>
        </w:tc>
        <w:tc>
          <w:tcPr>
            <w:tcW w:type="dxa" w:w="2736"/>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When unwinding crosses the frame.</w:t>
            </w:r>
          </w:p>
        </w:tc>
      </w:tr>
      <w:tr>
        <w:trPr>
          <w:cantSplit/>
        </w:trPr>
        <w:tc>
          <w:tcPr>
            <w:tcW w:type="dxa" w:w="2088"/>
            <w:tcMar>
              <w:top w:w="65" w:type="dxa"/>
              <w:start w:w="80" w:type="dxa"/>
              <w:bottom w:w="65" w:type="dxa"/>
              <w:end w:w="80" w:type="dxa"/>
            </w:tcMar>
            <w:vAlign w:val="top"/>
          </w:tcPr>
          <w:p>
            <w:pPr>
              <w:spacing w:after="0" w:line="240" w:lineRule="auto"/>
            </w:pPr>
            <w:r>
              <w:rPr>
                <w:rFonts w:ascii="Liberation Serif" w:hAnsi="Liberation Serif"/>
                <w:color w:val="1F2937"/>
                <w:sz w:val="17"/>
              </w:rPr>
              <w:t>CallAfter</w:t>
            </w:r>
          </w:p>
        </w:tc>
        <w:tc>
          <w:tcPr>
            <w:tcW w:type="dxa" w:w="5328"/>
            <w:tcMar>
              <w:top w:w="65" w:type="dxa"/>
              <w:start w:w="80" w:type="dxa"/>
              <w:bottom w:w="65" w:type="dxa"/>
              <w:end w:w="80" w:type="dxa"/>
            </w:tcMar>
            <w:vAlign w:val="top"/>
          </w:tcPr>
          <w:p>
            <w:pPr>
              <w:spacing w:after="0" w:line="240" w:lineRule="auto"/>
            </w:pPr>
            <w:r>
              <w:rPr>
                <w:rFonts w:ascii="Liberation Serif" w:hAnsi="Liberation Serif"/>
                <w:color w:val="1F2937"/>
                <w:sz w:val="17"/>
              </w:rPr>
              <w:t>call site, correlated frame/call ID, caller-visible result</w:t>
            </w:r>
          </w:p>
        </w:tc>
        <w:tc>
          <w:tcPr>
            <w:tcW w:type="dxa" w:w="2736"/>
            <w:tcMar>
              <w:top w:w="65" w:type="dxa"/>
              <w:start w:w="80" w:type="dxa"/>
              <w:bottom w:w="65" w:type="dxa"/>
              <w:end w:w="80" w:type="dxa"/>
            </w:tcMar>
            <w:vAlign w:val="top"/>
          </w:tcPr>
          <w:p>
            <w:pPr>
              <w:spacing w:after="0" w:line="240" w:lineRule="auto"/>
            </w:pPr>
            <w:r>
              <w:rPr>
                <w:rFonts w:ascii="Liberation Serif" w:hAnsi="Liberation Serif"/>
                <w:color w:val="1F2937"/>
                <w:sz w:val="17"/>
              </w:rPr>
              <w:t>After invocation completes normally.</w:t>
            </w:r>
          </w:p>
        </w:tc>
      </w:tr>
      <w:tr>
        <w:trPr>
          <w:cantSplit/>
        </w:trPr>
        <w:tc>
          <w:tcPr>
            <w:tcW w:type="dxa" w:w="2088"/>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ConstructAfter</w:t>
            </w:r>
          </w:p>
        </w:tc>
        <w:tc>
          <w:tcPr>
            <w:tcW w:type="dxa" w:w="5328"/>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constructor, new target, final instance</w:t>
            </w:r>
          </w:p>
        </w:tc>
        <w:tc>
          <w:tcPr>
            <w:tcW w:type="dxa" w:w="2736"/>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After constructor return rules choose the instance.</w:t>
            </w:r>
          </w:p>
        </w:tc>
      </w:tr>
      <w:tr>
        <w:trPr>
          <w:cantSplit/>
        </w:trPr>
        <w:tc>
          <w:tcPr>
            <w:tcW w:type="dxa" w:w="2088"/>
            <w:tcMar>
              <w:top w:w="65" w:type="dxa"/>
              <w:start w:w="80" w:type="dxa"/>
              <w:bottom w:w="65" w:type="dxa"/>
              <w:end w:w="80" w:type="dxa"/>
            </w:tcMar>
            <w:vAlign w:val="top"/>
          </w:tcPr>
          <w:p>
            <w:pPr>
              <w:spacing w:after="0" w:line="240" w:lineRule="auto"/>
            </w:pPr>
            <w:r>
              <w:rPr>
                <w:rFonts w:ascii="Liberation Serif" w:hAnsi="Liberation Serif"/>
                <w:color w:val="1F2937"/>
                <w:sz w:val="17"/>
              </w:rPr>
              <w:t>AwaitSuspend</w:t>
            </w:r>
          </w:p>
        </w:tc>
        <w:tc>
          <w:tcPr>
            <w:tcW w:type="dxa" w:w="5328"/>
            <w:tcMar>
              <w:top w:w="65" w:type="dxa"/>
              <w:start w:w="80" w:type="dxa"/>
              <w:bottom w:w="65" w:type="dxa"/>
              <w:end w:w="80" w:type="dxa"/>
            </w:tcMar>
            <w:vAlign w:val="top"/>
          </w:tcPr>
          <w:p>
            <w:pPr>
              <w:spacing w:after="0" w:line="240" w:lineRule="auto"/>
            </w:pPr>
            <w:r>
              <w:rPr>
                <w:rFonts w:ascii="Liberation Serif" w:hAnsi="Liberation Serif"/>
                <w:color w:val="1F2937"/>
                <w:sz w:val="17"/>
              </w:rPr>
              <w:t>frame, continuation, awaited Promise/value, reaction/job origin</w:t>
            </w:r>
          </w:p>
        </w:tc>
        <w:tc>
          <w:tcPr>
            <w:tcW w:type="dxa" w:w="2736"/>
            <w:tcMar>
              <w:top w:w="65" w:type="dxa"/>
              <w:start w:w="80" w:type="dxa"/>
              <w:bottom w:w="65" w:type="dxa"/>
              <w:end w:w="80" w:type="dxa"/>
            </w:tcMar>
            <w:vAlign w:val="top"/>
          </w:tcPr>
          <w:p>
            <w:pPr>
              <w:spacing w:after="0" w:line="240" w:lineRule="auto"/>
            </w:pPr>
            <w:r>
              <w:rPr>
                <w:rFonts w:ascii="Liberation Serif" w:hAnsi="Liberation Serif"/>
                <w:color w:val="1F2937"/>
                <w:sz w:val="17"/>
              </w:rPr>
              <w:t>After continuation capture and reaction setup.</w:t>
            </w:r>
          </w:p>
        </w:tc>
      </w:tr>
      <w:tr>
        <w:trPr>
          <w:cantSplit/>
        </w:trPr>
        <w:tc>
          <w:tcPr>
            <w:tcW w:type="dxa" w:w="2088"/>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AwaitResume</w:t>
            </w:r>
          </w:p>
        </w:tc>
        <w:tc>
          <w:tcPr>
            <w:tcW w:type="dxa" w:w="5328"/>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continuation, job, fulfilled/rejected input</w:t>
            </w:r>
          </w:p>
        </w:tc>
        <w:tc>
          <w:tcPr>
            <w:tcW w:type="dxa" w:w="2736"/>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At resumption before body continues.</w:t>
            </w:r>
          </w:p>
        </w:tc>
      </w:tr>
      <w:tr>
        <w:trPr>
          <w:cantSplit/>
        </w:trPr>
        <w:tc>
          <w:tcPr>
            <w:tcW w:type="dxa" w:w="2088"/>
            <w:tcMar>
              <w:top w:w="65" w:type="dxa"/>
              <w:start w:w="80" w:type="dxa"/>
              <w:bottom w:w="65" w:type="dxa"/>
              <w:end w:w="80" w:type="dxa"/>
            </w:tcMar>
            <w:vAlign w:val="top"/>
          </w:tcPr>
          <w:p>
            <w:pPr>
              <w:spacing w:after="0" w:line="240" w:lineRule="auto"/>
            </w:pPr>
            <w:r>
              <w:rPr>
                <w:rFonts w:ascii="Liberation Serif" w:hAnsi="Liberation Serif"/>
                <w:color w:val="1F2937"/>
                <w:sz w:val="17"/>
              </w:rPr>
              <w:t>PropertyReadSafe</w:t>
            </w:r>
          </w:p>
        </w:tc>
        <w:tc>
          <w:tcPr>
            <w:tcW w:type="dxa" w:w="5328"/>
            <w:tcMar>
              <w:top w:w="65" w:type="dxa"/>
              <w:start w:w="80" w:type="dxa"/>
              <w:bottom w:w="65" w:type="dxa"/>
              <w:end w:w="80" w:type="dxa"/>
            </w:tcMar>
            <w:vAlign w:val="top"/>
          </w:tcPr>
          <w:p>
            <w:pPr>
              <w:spacing w:after="0" w:line="240" w:lineRule="auto"/>
            </w:pPr>
            <w:r>
              <w:rPr>
                <w:rFonts w:ascii="Liberation Serif" w:hAnsi="Liberation Serif"/>
                <w:color w:val="1F2937"/>
                <w:sz w:val="17"/>
              </w:rPr>
              <w:t>base ID, key ID/hash, data value or Unknown reason</w:t>
            </w:r>
          </w:p>
        </w:tc>
        <w:tc>
          <w:tcPr>
            <w:tcW w:type="dxa" w:w="2736"/>
            <w:tcMar>
              <w:top w:w="65" w:type="dxa"/>
              <w:start w:w="80" w:type="dxa"/>
              <w:bottom w:w="65" w:type="dxa"/>
              <w:end w:w="80" w:type="dxa"/>
            </w:tcMar>
            <w:vAlign w:val="top"/>
          </w:tcPr>
          <w:p>
            <w:pPr>
              <w:spacing w:after="0" w:line="240" w:lineRule="auto"/>
            </w:pPr>
            <w:r>
              <w:rPr>
                <w:rFonts w:ascii="Liberation Serif" w:hAnsi="Liberation Serif"/>
                <w:color w:val="1F2937"/>
                <w:sz w:val="17"/>
              </w:rPr>
              <w:t>Pure observation helper; not ordinary JavaScript Get.</w:t>
            </w:r>
          </w:p>
        </w:tc>
      </w:tr>
      <w:tr>
        <w:trPr>
          <w:cantSplit/>
        </w:trPr>
        <w:tc>
          <w:tcPr>
            <w:tcW w:type="dxa" w:w="2088"/>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HostCall</w:t>
            </w:r>
          </w:p>
        </w:tc>
        <w:tc>
          <w:tcPr>
            <w:tcW w:type="dxa" w:w="5328"/>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module/function summary ID, bounded arguments, effect token</w:t>
            </w:r>
          </w:p>
        </w:tc>
        <w:tc>
          <w:tcPr>
            <w:tcW w:type="dxa" w:w="2736"/>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At declared host boundary.</w:t>
            </w:r>
          </w:p>
        </w:tc>
      </w:tr>
    </w:tbl>
    <w:p>
      <w:pPr>
        <w:spacing w:after="0"/>
      </w:pPr>
    </w:p>
    <w:p>
      <w:pPr>
        <w:pStyle w:val="Heading3"/>
      </w:pPr>
      <w:r>
        <w:rPr>
          <w:rFonts w:ascii="Liberation Sans" w:hAnsi="Liberation Sans"/>
          <w:b/>
          <w:color w:val="245C8A"/>
          <w:sz w:val="23"/>
        </w:rPr>
        <w:t>B.3 Loss and sampling records</w:t>
      </w:r>
    </w:p>
    <w:p>
      <w:pPr>
        <w:spacing w:line="259" w:lineRule="auto" w:after="80"/>
        <w:ind w:firstLine="317"/>
      </w:pPr>
      <w:r>
        <w:rPr>
          <w:rFonts w:ascii="Liberation Serif" w:hAnsi="Liberation Serif"/>
          <w:color w:val="1F2937"/>
          <w:sz w:val="20"/>
        </w:rPr>
        <w:t>Every stream should carry explicit loss metadata. EvidenceLost includes the event family, first missing sequence if known, count, reason, and whether the run remains valid for each attached analysis. SamplingConfig identifies the selection process and seed. Strict monitors reject loss; statistical consumers may continue with declared estimators.</w:t>
      </w:r>
    </w:p>
    <w:p>
      <w:pPr>
        <w:pStyle w:val="Heading2"/>
      </w:pPr>
      <w:r>
        <w:rPr>
          <w:rFonts w:ascii="Liberation Sans" w:hAnsi="Liberation Sans"/>
          <w:b/>
          <w:color w:val="193E5D"/>
          <w:sz w:val="30"/>
        </w:rPr>
        <w:t>Appendix C. Probe IR and verifier sketch</w:t>
      </w:r>
    </w:p>
    <w:p>
      <w:pPr>
        <w:pStyle w:val="Heading3"/>
      </w:pPr>
      <w:r>
        <w:rPr>
          <w:rFonts w:ascii="Liberation Sans" w:hAnsi="Liberation Sans"/>
          <w:b/>
          <w:color w:val="245C8A"/>
          <w:sz w:val="23"/>
        </w:rPr>
        <w:t>C.1 Instruction classes</w:t>
      </w:r>
    </w:p>
    <w:p>
      <w:pPr>
        <w:spacing w:after="60"/>
        <w:keepNext/>
      </w:pPr>
      <w:r>
        <w:rPr>
          <w:rFonts w:ascii="Liberation Sans" w:hAnsi="Liberation Sans"/>
          <w:b/>
          <w:color w:val="193E5D"/>
          <w:sz w:val="18"/>
        </w:rPr>
        <w:t>Table 16. Proposed IR instruction classes.</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1944"/>
            <w:shd w:fill="245C8A" w:val="clear"/>
            <w:tcMar>
              <w:top w:w="70" w:type="dxa"/>
              <w:start w:w="80" w:type="dxa"/>
              <w:bottom w:w="70" w:type="dxa"/>
              <w:end w:w="80" w:type="dxa"/>
            </w:tcMar>
            <w:vAlign w:val="center"/>
          </w:tcPr>
          <w:p>
            <w:pPr>
              <w:jc w:val="left"/>
            </w:pPr>
            <w:r>
              <w:rPr>
                <w:rFonts w:ascii="Liberation Sans" w:hAnsi="Liberation Sans"/>
                <w:b/>
                <w:color w:val="FFFFFF"/>
                <w:sz w:val="17"/>
              </w:rPr>
              <w:t>Class</w:t>
            </w:r>
          </w:p>
        </w:tc>
        <w:tc>
          <w:tcPr>
            <w:tcW w:type="dxa" w:w="4104"/>
            <w:shd w:fill="245C8A" w:val="clear"/>
            <w:tcMar>
              <w:top w:w="70" w:type="dxa"/>
              <w:start w:w="80" w:type="dxa"/>
              <w:bottom w:w="70" w:type="dxa"/>
              <w:end w:w="80" w:type="dxa"/>
            </w:tcMar>
            <w:vAlign w:val="center"/>
          </w:tcPr>
          <w:p>
            <w:pPr>
              <w:jc w:val="left"/>
            </w:pPr>
            <w:r>
              <w:rPr>
                <w:rFonts w:ascii="Liberation Sans" w:hAnsi="Liberation Sans"/>
                <w:b/>
                <w:color w:val="FFFFFF"/>
                <w:sz w:val="17"/>
              </w:rPr>
              <w:t>Examples</w:t>
            </w:r>
          </w:p>
        </w:tc>
        <w:tc>
          <w:tcPr>
            <w:tcW w:type="dxa" w:w="4104"/>
            <w:shd w:fill="245C8A" w:val="clear"/>
            <w:tcMar>
              <w:top w:w="70" w:type="dxa"/>
              <w:start w:w="80" w:type="dxa"/>
              <w:bottom w:w="70" w:type="dxa"/>
              <w:end w:w="80" w:type="dxa"/>
            </w:tcMar>
            <w:vAlign w:val="center"/>
          </w:tcPr>
          <w:p>
            <w:pPr>
              <w:jc w:val="left"/>
            </w:pPr>
            <w:r>
              <w:rPr>
                <w:rFonts w:ascii="Liberation Sans" w:hAnsi="Liberation Sans"/>
                <w:b/>
                <w:color w:val="FFFFFF"/>
                <w:sz w:val="17"/>
              </w:rPr>
              <w:t>Notes</w:t>
            </w:r>
          </w:p>
        </w:tc>
      </w:tr>
      <w:tr>
        <w:trPr>
          <w:cantSplit/>
        </w:trPr>
        <w:tc>
          <w:tcPr>
            <w:tcW w:type="dxa" w:w="1944"/>
            <w:tcMar>
              <w:top w:w="65" w:type="dxa"/>
              <w:start w:w="80" w:type="dxa"/>
              <w:bottom w:w="65" w:type="dxa"/>
              <w:end w:w="80" w:type="dxa"/>
            </w:tcMar>
            <w:vAlign w:val="top"/>
          </w:tcPr>
          <w:p>
            <w:pPr>
              <w:spacing w:after="0" w:line="240" w:lineRule="auto"/>
            </w:pPr>
            <w:r>
              <w:rPr>
                <w:rFonts w:ascii="Liberation Serif" w:hAnsi="Liberation Serif"/>
                <w:color w:val="1F2937"/>
                <w:sz w:val="17"/>
              </w:rPr>
              <w:t>Pure arithmetic</w:t>
            </w:r>
          </w:p>
        </w:tc>
        <w:tc>
          <w:tcPr>
            <w:tcW w:type="dxa" w:w="4104"/>
            <w:tcMar>
              <w:top w:w="65" w:type="dxa"/>
              <w:start w:w="80" w:type="dxa"/>
              <w:bottom w:w="65" w:type="dxa"/>
              <w:end w:w="80" w:type="dxa"/>
            </w:tcMar>
            <w:vAlign w:val="top"/>
          </w:tcPr>
          <w:p>
            <w:pPr>
              <w:spacing w:after="0" w:line="240" w:lineRule="auto"/>
            </w:pPr>
            <w:r>
              <w:rPr>
                <w:rFonts w:ascii="Liberation Serif" w:hAnsi="Liberation Serif"/>
                <w:color w:val="1F2937"/>
                <w:sz w:val="17"/>
              </w:rPr>
              <w:t>const, add, subtract, compare, boolean operations</w:t>
            </w:r>
          </w:p>
        </w:tc>
        <w:tc>
          <w:tcPr>
            <w:tcW w:type="dxa" w:w="4104"/>
            <w:tcMar>
              <w:top w:w="65" w:type="dxa"/>
              <w:start w:w="80" w:type="dxa"/>
              <w:bottom w:w="65" w:type="dxa"/>
              <w:end w:w="80" w:type="dxa"/>
            </w:tcMar>
            <w:vAlign w:val="top"/>
          </w:tcPr>
          <w:p>
            <w:pPr>
              <w:spacing w:after="0" w:line="240" w:lineRule="auto"/>
            </w:pPr>
            <w:r>
              <w:rPr>
                <w:rFonts w:ascii="Liberation Serif" w:hAnsi="Liberation Serif"/>
                <w:color w:val="1F2937"/>
                <w:sz w:val="17"/>
              </w:rPr>
              <w:t>Fixed width with defined overflow policy.</w:t>
            </w:r>
          </w:p>
        </w:tc>
      </w:tr>
      <w:tr>
        <w:trPr>
          <w:cantSplit/>
        </w:trPr>
        <w:tc>
          <w:tcPr>
            <w:tcW w:type="dxa" w:w="1944"/>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Control flow</w:t>
            </w:r>
          </w:p>
        </w:tc>
        <w:tc>
          <w:tcPr>
            <w:tcW w:type="dxa" w:w="4104"/>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conditional branch, bounded switch, return</w:t>
            </w:r>
          </w:p>
        </w:tc>
        <w:tc>
          <w:tcPr>
            <w:tcW w:type="dxa" w:w="4104"/>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Acyclic in version 1.</w:t>
            </w:r>
          </w:p>
        </w:tc>
      </w:tr>
      <w:tr>
        <w:trPr>
          <w:cantSplit/>
        </w:trPr>
        <w:tc>
          <w:tcPr>
            <w:tcW w:type="dxa" w:w="1944"/>
            <w:tcMar>
              <w:top w:w="65" w:type="dxa"/>
              <w:start w:w="80" w:type="dxa"/>
              <w:bottom w:w="65" w:type="dxa"/>
              <w:end w:w="80" w:type="dxa"/>
            </w:tcMar>
            <w:vAlign w:val="top"/>
          </w:tcPr>
          <w:p>
            <w:pPr>
              <w:spacing w:after="0" w:line="240" w:lineRule="auto"/>
            </w:pPr>
            <w:r>
              <w:rPr>
                <w:rFonts w:ascii="Liberation Serif" w:hAnsi="Liberation Serif"/>
                <w:color w:val="1F2937"/>
                <w:sz w:val="17"/>
              </w:rPr>
              <w:t>Context access</w:t>
            </w:r>
          </w:p>
        </w:tc>
        <w:tc>
          <w:tcPr>
            <w:tcW w:type="dxa" w:w="4104"/>
            <w:tcMar>
              <w:top w:w="65" w:type="dxa"/>
              <w:start w:w="80" w:type="dxa"/>
              <w:bottom w:w="65" w:type="dxa"/>
              <w:end w:w="80" w:type="dxa"/>
            </w:tcMar>
            <w:vAlign w:val="top"/>
          </w:tcPr>
          <w:p>
            <w:pPr>
              <w:spacing w:after="0" w:line="240" w:lineRule="auto"/>
            </w:pPr>
            <w:r>
              <w:rPr>
                <w:rFonts w:ascii="Liberation Serif" w:hAnsi="Liberation Serif"/>
                <w:color w:val="1F2937"/>
                <w:sz w:val="17"/>
              </w:rPr>
              <w:t>event_kind, site_id, arg_count, arg_handle, result_handle</w:t>
            </w:r>
          </w:p>
        </w:tc>
        <w:tc>
          <w:tcPr>
            <w:tcW w:type="dxa" w:w="4104"/>
            <w:tcMar>
              <w:top w:w="65" w:type="dxa"/>
              <w:start w:w="80" w:type="dxa"/>
              <w:bottom w:w="65" w:type="dxa"/>
              <w:end w:w="80" w:type="dxa"/>
            </w:tcMar>
            <w:vAlign w:val="top"/>
          </w:tcPr>
          <w:p>
            <w:pPr>
              <w:spacing w:after="0" w:line="240" w:lineRule="auto"/>
            </w:pPr>
            <w:r>
              <w:rPr>
                <w:rFonts w:ascii="Liberation Serif" w:hAnsi="Liberation Serif"/>
                <w:color w:val="1F2937"/>
                <w:sz w:val="17"/>
              </w:rPr>
              <w:t>Availability depends on event type and phase.</w:t>
            </w:r>
          </w:p>
        </w:tc>
      </w:tr>
      <w:tr>
        <w:trPr>
          <w:cantSplit/>
        </w:trPr>
        <w:tc>
          <w:tcPr>
            <w:tcW w:type="dxa" w:w="1944"/>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Value projection</w:t>
            </w:r>
          </w:p>
        </w:tc>
        <w:tc>
          <w:tcPr>
            <w:tcW w:type="dxa" w:w="4104"/>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typeof, as_i64, bool_copy, string_hash, object_id</w:t>
            </w:r>
          </w:p>
        </w:tc>
        <w:tc>
          <w:tcPr>
            <w:tcW w:type="dxa" w:w="4104"/>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No JavaScript coercion unless capability explicitly allows it.</w:t>
            </w:r>
          </w:p>
        </w:tc>
      </w:tr>
      <w:tr>
        <w:trPr>
          <w:cantSplit/>
        </w:trPr>
        <w:tc>
          <w:tcPr>
            <w:tcW w:type="dxa" w:w="1944"/>
            <w:tcMar>
              <w:top w:w="65" w:type="dxa"/>
              <w:start w:w="80" w:type="dxa"/>
              <w:bottom w:w="65" w:type="dxa"/>
              <w:end w:w="80" w:type="dxa"/>
            </w:tcMar>
            <w:vAlign w:val="top"/>
          </w:tcPr>
          <w:p>
            <w:pPr>
              <w:spacing w:after="0" w:line="240" w:lineRule="auto"/>
            </w:pPr>
            <w:r>
              <w:rPr>
                <w:rFonts w:ascii="Liberation Serif" w:hAnsi="Liberation Serif"/>
                <w:color w:val="1F2937"/>
                <w:sz w:val="17"/>
              </w:rPr>
              <w:t>Safe structure</w:t>
            </w:r>
          </w:p>
        </w:tc>
        <w:tc>
          <w:tcPr>
            <w:tcW w:type="dxa" w:w="4104"/>
            <w:tcMar>
              <w:top w:w="65" w:type="dxa"/>
              <w:start w:w="80" w:type="dxa"/>
              <w:bottom w:w="65" w:type="dxa"/>
              <w:end w:w="80" w:type="dxa"/>
            </w:tcMar>
            <w:vAlign w:val="top"/>
          </w:tcPr>
          <w:p>
            <w:pPr>
              <w:spacing w:after="0" w:line="240" w:lineRule="auto"/>
            </w:pPr>
            <w:r>
              <w:rPr>
                <w:rFonts w:ascii="Liberation Serif" w:hAnsi="Liberation Serif"/>
                <w:color w:val="1F2937"/>
                <w:sz w:val="17"/>
              </w:rPr>
              <w:t>own_data_property, descriptor_kind, shape_id</w:t>
            </w:r>
          </w:p>
        </w:tc>
        <w:tc>
          <w:tcPr>
            <w:tcW w:type="dxa" w:w="4104"/>
            <w:tcMar>
              <w:top w:w="65" w:type="dxa"/>
              <w:start w:w="80" w:type="dxa"/>
              <w:bottom w:w="65" w:type="dxa"/>
              <w:end w:w="80" w:type="dxa"/>
            </w:tcMar>
            <w:vAlign w:val="top"/>
          </w:tcPr>
          <w:p>
            <w:pPr>
              <w:spacing w:after="0" w:line="240" w:lineRule="auto"/>
            </w:pPr>
            <w:r>
              <w:rPr>
                <w:rFonts w:ascii="Liberation Serif" w:hAnsi="Liberation Serif"/>
                <w:color w:val="1F2937"/>
                <w:sz w:val="17"/>
              </w:rPr>
              <w:t>Returns Unknown for proxies/accessors/exotics.</w:t>
            </w:r>
          </w:p>
        </w:tc>
      </w:tr>
      <w:tr>
        <w:trPr>
          <w:cantSplit/>
        </w:trPr>
        <w:tc>
          <w:tcPr>
            <w:tcW w:type="dxa" w:w="1944"/>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Maps</w:t>
            </w:r>
          </w:p>
        </w:tc>
        <w:tc>
          <w:tcPr>
            <w:tcW w:type="dxa" w:w="4104"/>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lookup, insert, delete, counter_add, histogram_observe</w:t>
            </w:r>
          </w:p>
        </w:tc>
        <w:tc>
          <w:tcPr>
            <w:tcW w:type="dxa" w:w="4104"/>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Statically declared schema and capacity.</w:t>
            </w:r>
          </w:p>
        </w:tc>
      </w:tr>
      <w:tr>
        <w:trPr>
          <w:cantSplit/>
        </w:trPr>
        <w:tc>
          <w:tcPr>
            <w:tcW w:type="dxa" w:w="1944"/>
            <w:tcMar>
              <w:top w:w="65" w:type="dxa"/>
              <w:start w:w="80" w:type="dxa"/>
              <w:bottom w:w="65" w:type="dxa"/>
              <w:end w:w="80" w:type="dxa"/>
            </w:tcMar>
            <w:vAlign w:val="top"/>
          </w:tcPr>
          <w:p>
            <w:pPr>
              <w:spacing w:after="0" w:line="240" w:lineRule="auto"/>
            </w:pPr>
            <w:r>
              <w:rPr>
                <w:rFonts w:ascii="Liberation Serif" w:hAnsi="Liberation Serif"/>
                <w:color w:val="1F2937"/>
                <w:sz w:val="17"/>
              </w:rPr>
              <w:t>Frame state</w:t>
            </w:r>
          </w:p>
        </w:tc>
        <w:tc>
          <w:tcPr>
            <w:tcW w:type="dxa" w:w="4104"/>
            <w:tcMar>
              <w:top w:w="65" w:type="dxa"/>
              <w:start w:w="80" w:type="dxa"/>
              <w:bottom w:w="65" w:type="dxa"/>
              <w:end w:w="80" w:type="dxa"/>
            </w:tcMar>
            <w:vAlign w:val="top"/>
          </w:tcPr>
          <w:p>
            <w:pPr>
              <w:spacing w:after="0" w:line="240" w:lineRule="auto"/>
            </w:pPr>
            <w:r>
              <w:rPr>
                <w:rFonts w:ascii="Liberation Serif" w:hAnsi="Liberation Serif"/>
                <w:color w:val="1F2937"/>
                <w:sz w:val="17"/>
              </w:rPr>
              <w:t>frame_load, frame_store</w:t>
            </w:r>
          </w:p>
        </w:tc>
        <w:tc>
          <w:tcPr>
            <w:tcW w:type="dxa" w:w="4104"/>
            <w:tcMar>
              <w:top w:w="65" w:type="dxa"/>
              <w:start w:w="80" w:type="dxa"/>
              <w:bottom w:w="65" w:type="dxa"/>
              <w:end w:w="80" w:type="dxa"/>
            </w:tcMar>
            <w:vAlign w:val="top"/>
          </w:tcPr>
          <w:p>
            <w:pPr>
              <w:spacing w:after="0" w:line="240" w:lineRule="auto"/>
            </w:pPr>
            <w:r>
              <w:rPr>
                <w:rFonts w:ascii="Liberation Serif" w:hAnsi="Liberation Serif"/>
                <w:color w:val="1F2937"/>
                <w:sz w:val="17"/>
              </w:rPr>
              <w:t>Automatically scoped to semantic frame/continuation.</w:t>
            </w:r>
          </w:p>
        </w:tc>
      </w:tr>
      <w:tr>
        <w:trPr>
          <w:cantSplit/>
        </w:trPr>
        <w:tc>
          <w:tcPr>
            <w:tcW w:type="dxa" w:w="1944"/>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Output</w:t>
            </w:r>
          </w:p>
        </w:tc>
        <w:tc>
          <w:tcPr>
            <w:tcW w:type="dxa" w:w="4104"/>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emit fixed record, report, violation</w:t>
            </w:r>
          </w:p>
        </w:tc>
        <w:tc>
          <w:tcPr>
            <w:tcW w:type="dxa" w:w="4104"/>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7"/>
              </w:rPr>
              <w:t>Bounded record size; intervention excluded from observe mode.</w:t>
            </w:r>
          </w:p>
        </w:tc>
      </w:tr>
    </w:tbl>
    <w:p>
      <w:pPr>
        <w:spacing w:after="0"/>
      </w:pPr>
    </w:p>
    <w:p>
      <w:pPr>
        <w:pStyle w:val="Heading3"/>
      </w:pPr>
      <w:r>
        <w:rPr>
          <w:rFonts w:ascii="Liberation Sans" w:hAnsi="Liberation Sans"/>
          <w:b/>
          <w:color w:val="245C8A"/>
          <w:sz w:val="23"/>
        </w:rPr>
        <w:t>C.2 Abstract verifier state</w:t>
      </w:r>
    </w:p>
    <w:p>
      <w:pPr>
        <w:spacing w:after="40"/>
        <w:keepNext/>
      </w:pPr>
      <w:r>
        <w:rPr>
          <w:rFonts w:ascii="Liberation Sans" w:hAnsi="Liberation Sans"/>
          <w:b/>
          <w:color w:val="193E5D"/>
          <w:sz w:val="17"/>
        </w:rPr>
        <w:t>Schematic abstract state propagated by the verifier.</w:t>
      </w:r>
    </w:p>
    <w:tbl>
      <w:tblPr>
        <w:tblW w:type="auto" w:w="0"/>
        <w:jc w:val="center"/>
        <w:tblLook w:firstColumn="1" w:firstRow="1" w:lastColumn="0" w:lastRow="0" w:noHBand="0" w:noVBand="1" w:val="04A0"/>
      </w:tblPr>
      <w:tblGrid>
        <w:gridCol w:w="9994"/>
      </w:tblGrid>
      <w:tr>
        <w:tc>
          <w:tcPr>
            <w:tcW w:type="dxa" w:w="9994"/>
            <w:shd w:fill="F7F8FA" w:val="clear"/>
            <w:tcBorders>
              <w:top w:val="single" w:sz="5" w:color="CBD3DA"/>
              <w:left w:val="single" w:sz="5" w:color="CBD3DA"/>
              <w:bottom w:val="single" w:sz="5" w:color="CBD3DA"/>
              <w:right w:val="single" w:sz="5" w:color="CBD3DA"/>
            </w:tcBorders>
            <w:tcMar>
              <w:top w:w="110" w:type="dxa"/>
              <w:start w:w="130" w:type="dxa"/>
              <w:bottom w:w="110" w:type="dxa"/>
              <w:end w:w="130" w:type="dxa"/>
            </w:tcMar>
          </w:tcPr>
          <w:p>
            <w:pPr>
              <w:spacing w:after="0" w:line="240" w:lineRule="auto"/>
            </w:pPr>
            <w:r>
              <w:rPr>
                <w:rFonts w:ascii="DejaVu Sans Mono" w:hAnsi="DejaVu Sans Mono"/>
                <w:color w:val="263442"/>
                <w:sz w:val="16"/>
              </w:rPr>
              <w:t>VerifierState {</w:t>
              <w:br/>
              <w:t xml:space="preserve">  pc               : InstructionIndex</w:t>
              <w:br/>
              <w:t xml:space="preserve">  registers        : Vector&lt;RegAbstractType&gt;</w:t>
              <w:br/>
              <w:t xml:space="preserve">  stack_height     : Interval</w:t>
              <w:br/>
              <w:t xml:space="preserve">  handle_lifetimes : Map&lt;Register, Lifetime&gt;</w:t>
              <w:br/>
              <w:t xml:space="preserve">  budget           : CostInterval</w:t>
              <w:br/>
              <w:t xml:space="preserve">  emitted_bytes    : Interval</w:t>
              <w:br/>
              <w:t xml:space="preserve">  map_effects      : Set&lt;MapCapability&gt;</w:t>
              <w:br/>
              <w:t xml:space="preserve">  mode             : Observe | Enforce | Intervene</w:t>
              <w:br/>
              <w:t>}</w:t>
              <w:br/>
              <w:br/>
              <w:t>join(s1, s2) must preserve initialization and compatible types;</w:t>
              <w:br/>
              <w:t>otherwise the program is rejected.</w:t>
            </w:r>
          </w:p>
        </w:tc>
      </w:tr>
    </w:tbl>
    <w:p>
      <w:pPr>
        <w:spacing w:after="0"/>
      </w:pPr>
    </w:p>
    <w:p>
      <w:pPr>
        <w:pStyle w:val="Heading3"/>
      </w:pPr>
      <w:r>
        <w:rPr>
          <w:rFonts w:ascii="Liberation Sans" w:hAnsi="Liberation Sans"/>
          <w:b/>
          <w:color w:val="245C8A"/>
          <w:sz w:val="23"/>
        </w:rPr>
        <w:t>C.3 Helper contract example</w:t>
      </w:r>
    </w:p>
    <w:p>
      <w:pPr>
        <w:spacing w:after="40"/>
        <w:keepNext/>
      </w:pPr>
      <w:r>
        <w:rPr>
          <w:rFonts w:ascii="Liberation Sans" w:hAnsi="Liberation Sans"/>
          <w:b/>
          <w:color w:val="193E5D"/>
          <w:sz w:val="17"/>
        </w:rPr>
        <w:t>Example helper contract suitable for verifier and formal modeling.</w:t>
      </w:r>
    </w:p>
    <w:tbl>
      <w:tblPr>
        <w:tblW w:type="auto" w:w="0"/>
        <w:jc w:val="center"/>
        <w:tblLook w:firstColumn="1" w:firstRow="1" w:lastColumn="0" w:lastRow="0" w:noHBand="0" w:noVBand="1" w:val="04A0"/>
      </w:tblPr>
      <w:tblGrid>
        <w:gridCol w:w="9994"/>
      </w:tblGrid>
      <w:tr>
        <w:tc>
          <w:tcPr>
            <w:tcW w:type="dxa" w:w="9994"/>
            <w:shd w:fill="F7F8FA" w:val="clear"/>
            <w:tcBorders>
              <w:top w:val="single" w:sz="5" w:color="CBD3DA"/>
              <w:left w:val="single" w:sz="5" w:color="CBD3DA"/>
              <w:bottom w:val="single" w:sz="5" w:color="CBD3DA"/>
              <w:right w:val="single" w:sz="5" w:color="CBD3DA"/>
            </w:tcBorders>
            <w:tcMar>
              <w:top w:w="110" w:type="dxa"/>
              <w:start w:w="130" w:type="dxa"/>
              <w:bottom w:w="110" w:type="dxa"/>
              <w:end w:w="130" w:type="dxa"/>
            </w:tcMar>
          </w:tcPr>
          <w:p>
            <w:pPr>
              <w:spacing w:after="0" w:line="240" w:lineRule="auto"/>
            </w:pPr>
            <w:r>
              <w:rPr>
                <w:rFonts w:ascii="DejaVu Sans Mono" w:hAnsi="DejaVu Sans Mono"/>
                <w:color w:val="263442"/>
                <w:sz w:val="16"/>
              </w:rPr>
              <w:t>helper own_i64_property(</w:t>
              <w:br/>
              <w:t xml:space="preserve">    obj : ValueHandle&lt;EventLifetime&gt;,</w:t>
              <w:br/>
              <w:t xml:space="preserve">    property : PropertyID</w:t>
              <w:br/>
              <w:t>) -&gt; Result&lt;i64, ObservationError&gt;</w:t>
              <w:br/>
              <w:br/>
              <w:t>Preconditions:</w:t>
              <w:br/>
              <w:t xml:space="preserve">  - current event grants ObjectReadSafe</w:t>
              <w:br/>
              <w:t xml:space="preserve">  - obj belongs to current runtime and event lifetime</w:t>
              <w:br/>
              <w:t xml:space="preserve">  - property is pre-resolved or bounded</w:t>
              <w:br/>
              <w:br/>
              <w:t>Effects:</w:t>
              <w:br/>
              <w:t xml:space="preserve">  - no JavaScript calls, coercions, getters, proxies, or host calls</w:t>
              <w:br/>
              <w:t xml:space="preserve">  - no persistent references to obj</w:t>
              <w:br/>
              <w:t xml:space="preserve">  - bounded constant or declared shape-dependent cost</w:t>
              <w:br/>
              <w:br/>
              <w:t>Result:</w:t>
              <w:br/>
              <w:t xml:space="preserve">  - Ok(n) only for an own data property containing an exact supported integer</w:t>
              <w:br/>
              <w:t xml:space="preserve">  - Err(Absent | Accessor | Proxy | Exotic | TypeMismatch | Budget) otherwise</w:t>
            </w:r>
          </w:p>
        </w:tc>
      </w:tr>
    </w:tbl>
    <w:p>
      <w:pPr>
        <w:spacing w:after="0"/>
      </w:pPr>
    </w:p>
    <w:p>
      <w:pPr>
        <w:pStyle w:val="Heading2"/>
      </w:pPr>
      <w:r>
        <w:rPr>
          <w:rFonts w:ascii="Liberation Sans" w:hAnsi="Liberation Sans"/>
          <w:b/>
          <w:color w:val="193E5D"/>
          <w:sz w:val="30"/>
        </w:rPr>
        <w:t>Appendix D. go-go-goja integration and command sketches</w:t>
      </w:r>
    </w:p>
    <w:p>
      <w:pPr>
        <w:pStyle w:val="Heading3"/>
      </w:pPr>
      <w:r>
        <w:rPr>
          <w:rFonts w:ascii="Liberation Sans" w:hAnsi="Liberation Sans"/>
          <w:b/>
          <w:color w:val="245C8A"/>
          <w:sz w:val="23"/>
        </w:rPr>
        <w:t>D.1 Runtime initialization</w:t>
      </w:r>
    </w:p>
    <w:p>
      <w:pPr>
        <w:spacing w:after="40"/>
        <w:keepNext/>
      </w:pPr>
      <w:r>
        <w:rPr>
          <w:rFonts w:ascii="Liberation Sans" w:hAnsi="Liberation Sans"/>
          <w:b/>
          <w:color w:val="193E5D"/>
          <w:sz w:val="17"/>
        </w:rPr>
        <w:t>Illustrative integration through the existing runtime-initializer boundary.</w:t>
      </w:r>
    </w:p>
    <w:tbl>
      <w:tblPr>
        <w:tblW w:type="auto" w:w="0"/>
        <w:jc w:val="center"/>
        <w:tblLook w:firstColumn="1" w:firstRow="1" w:lastColumn="0" w:lastRow="0" w:noHBand="0" w:noVBand="1" w:val="04A0"/>
      </w:tblPr>
      <w:tblGrid>
        <w:gridCol w:w="9994"/>
      </w:tblGrid>
      <w:tr>
        <w:tc>
          <w:tcPr>
            <w:tcW w:type="dxa" w:w="9994"/>
            <w:shd w:fill="F7F8FA" w:val="clear"/>
            <w:tcBorders>
              <w:top w:val="single" w:sz="5" w:color="CBD3DA"/>
              <w:left w:val="single" w:sz="5" w:color="CBD3DA"/>
              <w:bottom w:val="single" w:sz="5" w:color="CBD3DA"/>
              <w:right w:val="single" w:sz="5" w:color="CBD3DA"/>
            </w:tcBorders>
            <w:tcMar>
              <w:top w:w="110" w:type="dxa"/>
              <w:start w:w="130" w:type="dxa"/>
              <w:bottom w:w="110" w:type="dxa"/>
              <w:end w:w="130" w:type="dxa"/>
            </w:tcMar>
          </w:tcPr>
          <w:p>
            <w:pPr>
              <w:spacing w:after="0" w:line="240" w:lineRule="auto"/>
            </w:pPr>
            <w:r>
              <w:rPr>
                <w:rFonts w:ascii="DejaVu Sans Mono" w:hAnsi="DejaVu Sans Mono"/>
                <w:color w:val="263442"/>
                <w:sz w:val="16"/>
              </w:rPr>
              <w:t>factory, err := engine.NewRuntimeFactoryBuilder().</w:t>
              <w:br/>
              <w:t xml:space="preserve">    WithRuntimeInitializers(</w:t>
              <w:br/>
              <w:t xml:space="preserve">        probe.Initializer(probe.Config{</w:t>
              <w:br/>
              <w:t xml:space="preserve">            MaxProbeSteps: 4096,</w:t>
              <w:br/>
              <w:t xml:space="preserve">            MaxMapBytes:   16 &lt;&lt; 20,</w:t>
              <w:br/>
              <w:t xml:space="preserve">            RingBytes:     4 &lt;&lt; 20,</w:t>
              <w:br/>
              <w:t xml:space="preserve">            AllowEnforce:  true,</w:t>
              <w:br/>
              <w:t xml:space="preserve">            AllowMutation: false,</w:t>
              <w:br/>
              <w:t xml:space="preserve">        }),</w:t>
              <w:br/>
              <w:t xml:space="preserve">    ).</w:t>
              <w:br/>
              <w:t xml:space="preserve">    Build()</w:t>
              <w:br/>
              <w:br/>
              <w:t>rt, err := factory.NewRuntime(</w:t>
              <w:br/>
              <w:t xml:space="preserve">    engine.WithStartupContext(ctx),</w:t>
              <w:br/>
              <w:t xml:space="preserve">    engine.WithLifetimeContext(ctx),</w:t>
              <w:br/>
              <w:t>)</w:t>
              <w:br/>
              <w:t>defer rt.Close(ctx)</w:t>
            </w:r>
          </w:p>
        </w:tc>
      </w:tr>
    </w:tbl>
    <w:p>
      <w:pPr>
        <w:spacing w:after="0"/>
      </w:pPr>
    </w:p>
    <w:p>
      <w:pPr>
        <w:spacing w:line="259" w:lineRule="auto" w:after="80"/>
        <w:ind w:firstLine="317"/>
      </w:pPr>
      <w:r>
        <w:rPr>
          <w:rFonts w:ascii="Liberation Serif" w:hAnsi="Liberation Serif"/>
          <w:color w:val="1F2937"/>
          <w:sz w:val="20"/>
        </w:rPr>
        <w:t>The initializer creates a per-runtime manager, attaches it to the underlying goja runtime, stores the manager in runtime-scoped values, registers shutdown behavior, and optionally installs a trusted host control module. Attach and detach operations execute through the runtime owner so that they respect goja's single-owner execution rule (Go-Go-Golems 2026; Dop251 2026).</w:t>
      </w:r>
    </w:p>
    <w:p>
      <w:pPr>
        <w:pStyle w:val="Heading3"/>
      </w:pPr>
      <w:r>
        <w:rPr>
          <w:rFonts w:ascii="Liberation Sans" w:hAnsi="Liberation Sans"/>
          <w:b/>
          <w:color w:val="245C8A"/>
          <w:sz w:val="23"/>
        </w:rPr>
        <w:t>D.2 Command-line workflow</w:t>
      </w:r>
    </w:p>
    <w:p>
      <w:pPr>
        <w:spacing w:after="40"/>
        <w:keepNext/>
      </w:pPr>
      <w:r>
        <w:rPr>
          <w:rFonts w:ascii="Liberation Sans" w:hAnsi="Liberation Sans"/>
          <w:b/>
          <w:color w:val="193E5D"/>
          <w:sz w:val="17"/>
        </w:rPr>
        <w:t>Illustrative academic workbench commands.</w:t>
      </w:r>
    </w:p>
    <w:tbl>
      <w:tblPr>
        <w:tblW w:type="auto" w:w="0"/>
        <w:jc w:val="center"/>
        <w:tblLook w:firstColumn="1" w:firstRow="1" w:lastColumn="0" w:lastRow="0" w:noHBand="0" w:noVBand="1" w:val="04A0"/>
      </w:tblPr>
      <w:tblGrid>
        <w:gridCol w:w="9994"/>
      </w:tblGrid>
      <w:tr>
        <w:tc>
          <w:tcPr>
            <w:tcW w:type="dxa" w:w="9994"/>
            <w:shd w:fill="F7F8FA" w:val="clear"/>
            <w:tcBorders>
              <w:top w:val="single" w:sz="5" w:color="CBD3DA"/>
              <w:left w:val="single" w:sz="5" w:color="CBD3DA"/>
              <w:bottom w:val="single" w:sz="5" w:color="CBD3DA"/>
              <w:right w:val="single" w:sz="5" w:color="CBD3DA"/>
            </w:tcBorders>
            <w:tcMar>
              <w:top w:w="110" w:type="dxa"/>
              <w:start w:w="130" w:type="dxa"/>
              <w:bottom w:w="110" w:type="dxa"/>
              <w:end w:w="130" w:type="dxa"/>
            </w:tcMar>
          </w:tcPr>
          <w:p>
            <w:pPr>
              <w:spacing w:after="0" w:line="240" w:lineRule="auto"/>
            </w:pPr>
            <w:r>
              <w:rPr>
                <w:rFonts w:ascii="DejaVu Sans Mono" w:hAnsi="DejaVu Sans Mono"/>
                <w:color w:val="263442"/>
                <w:sz w:val="16"/>
              </w:rPr>
              <w:t># Verify and inspect a probe</w:t>
              <w:br/>
              <w:t>xgoja-sem probe verify contracts.sprobe</w:t>
              <w:br/>
              <w:t>xgoja-sem probe disassemble contracts.sprobe</w:t>
              <w:br/>
              <w:br/>
              <w:t># Execute with exact proof-mode tracing</w:t>
              <w:br/>
              <w:t>xgoja-sem trace   --schema ecma-2026   --probe contracts.sprobe   --strict-evidence   --output run.semtrace   program.js</w:t>
              <w:br/>
              <w:br/>
              <w:t># Compare with a reference semantics</w:t>
              <w:br/>
              <w:t>xgoja-sem diff   --left goja:run.semtrace   --right k:model.semtrace   --profile language-semantic</w:t>
              <w:br/>
              <w:br/>
              <w:t># Explore and export</w:t>
              <w:br/>
              <w:t>xgoja-sem coverage --kind rule run.semtrace</w:t>
              <w:br/>
              <w:t>xgoja-sem monitor --property promise-lifecycle.rv run.semtrace</w:t>
              <w:br/>
              <w:t>xgoja-sem export --format rocq --slice violation:17 run.semtrace</w:t>
            </w:r>
          </w:p>
        </w:tc>
      </w:tr>
    </w:tbl>
    <w:p>
      <w:pPr>
        <w:spacing w:after="0"/>
      </w:pPr>
    </w:p>
    <w:p>
      <w:pPr>
        <w:pStyle w:val="Heading3"/>
      </w:pPr>
      <w:r>
        <w:rPr>
          <w:rFonts w:ascii="Liberation Sans" w:hAnsi="Liberation Sans"/>
          <w:b/>
          <w:color w:val="245C8A"/>
          <w:sz w:val="23"/>
        </w:rPr>
        <w:t>D.3 Repository layout</w:t>
      </w:r>
    </w:p>
    <w:p>
      <w:pPr>
        <w:spacing w:after="40"/>
        <w:keepNext/>
      </w:pPr>
      <w:r>
        <w:rPr>
          <w:rFonts w:ascii="Liberation Sans" w:hAnsi="Liberation Sans"/>
          <w:b/>
          <w:color w:val="193E5D"/>
          <w:sz w:val="17"/>
        </w:rPr>
        <w:t>One possible package layout.</w:t>
      </w:r>
    </w:p>
    <w:tbl>
      <w:tblPr>
        <w:tblW w:type="auto" w:w="0"/>
        <w:jc w:val="center"/>
        <w:tblLook w:firstColumn="1" w:firstRow="1" w:lastColumn="0" w:lastRow="0" w:noHBand="0" w:noVBand="1" w:val="04A0"/>
      </w:tblPr>
      <w:tblGrid>
        <w:gridCol w:w="9994"/>
      </w:tblGrid>
      <w:tr>
        <w:tc>
          <w:tcPr>
            <w:tcW w:type="dxa" w:w="9994"/>
            <w:shd w:fill="F7F8FA" w:val="clear"/>
            <w:tcBorders>
              <w:top w:val="single" w:sz="5" w:color="CBD3DA"/>
              <w:left w:val="single" w:sz="5" w:color="CBD3DA"/>
              <w:bottom w:val="single" w:sz="5" w:color="CBD3DA"/>
              <w:right w:val="single" w:sz="5" w:color="CBD3DA"/>
            </w:tcBorders>
            <w:tcMar>
              <w:top w:w="110" w:type="dxa"/>
              <w:start w:w="130" w:type="dxa"/>
              <w:bottom w:w="110" w:type="dxa"/>
              <w:end w:w="130" w:type="dxa"/>
            </w:tcMar>
          </w:tcPr>
          <w:p>
            <w:pPr>
              <w:spacing w:after="0" w:line="240" w:lineRule="auto"/>
            </w:pPr>
            <w:r>
              <w:rPr>
                <w:rFonts w:ascii="DejaVu Sans Mono" w:hAnsi="DejaVu Sans Mono"/>
                <w:color w:val="263442"/>
                <w:sz w:val="16"/>
              </w:rPr>
              <w:t>goja fork or instrumentation branch/</w:t>
              <w:br/>
              <w:t xml:space="preserve">  probe_api.go</w:t>
              <w:br/>
              <w:t xml:space="preserve">  probe_events.go</w:t>
              <w:br/>
              <w:t xml:space="preserve">  probe_context.go</w:t>
              <w:br/>
              <w:t xml:space="preserve">  probe_metadata.go</w:t>
              <w:br/>
              <w:t xml:space="preserve">  probe_maps.go</w:t>
              <w:br/>
              <w:t xml:space="preserve">  probe_verifier.go</w:t>
              <w:br/>
              <w:t xml:space="preserve">  probe_ir.go</w:t>
              <w:br/>
              <w:br/>
              <w:t xml:space="preserve"> go-go-goja/</w:t>
              <w:br/>
              <w:t xml:space="preserve">  pkg/semanticprobe/</w:t>
              <w:br/>
              <w:t xml:space="preserve">    initializer.go</w:t>
              <w:br/>
              <w:t xml:space="preserve">    manager.go</w:t>
              <w:br/>
              <w:t xml:space="preserve">    manifest.go</w:t>
              <w:br/>
              <w:t xml:space="preserve">    exporter.go</w:t>
              <w:br/>
              <w:t xml:space="preserve">    replay.go</w:t>
              <w:br/>
              <w:t xml:space="preserve">  cmd/xgoja-sem/</w:t>
              <w:br/>
              <w:t xml:space="preserve">    trace.go</w:t>
              <w:br/>
              <w:t xml:space="preserve">    diff.go</w:t>
              <w:br/>
              <w:t xml:space="preserve">    coverage.go</w:t>
              <w:br/>
              <w:t xml:space="preserve">    monitor.go</w:t>
              <w:br/>
              <w:t xml:space="preserve">    export.go</w:t>
            </w:r>
          </w:p>
        </w:tc>
      </w:tr>
    </w:tbl>
    <w:p>
      <w:pPr>
        <w:spacing w:after="0"/>
      </w:pPr>
    </w:p>
    <w:p>
      <w:pPr>
        <w:pStyle w:val="Heading2"/>
      </w:pPr>
      <w:r>
        <w:rPr>
          <w:rFonts w:ascii="Liberation Sans" w:hAnsi="Liberation Sans"/>
          <w:b/>
          <w:color w:val="193E5D"/>
          <w:sz w:val="30"/>
        </w:rPr>
        <w:t>Appendix E. Research-to-design crosswalk</w:t>
      </w:r>
    </w:p>
    <w:p>
      <w:pPr>
        <w:spacing w:after="60"/>
        <w:keepNext/>
      </w:pPr>
      <w:r>
        <w:rPr>
          <w:rFonts w:ascii="Liberation Sans" w:hAnsi="Liberation Sans"/>
          <w:b/>
          <w:color w:val="193E5D"/>
          <w:sz w:val="18"/>
        </w:rPr>
        <w:t>Table 17. Literature crosswalk from theory to implementation decision.</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2232"/>
            <w:shd w:fill="245C8A" w:val="clear"/>
            <w:tcMar>
              <w:top w:w="70" w:type="dxa"/>
              <w:start w:w="80" w:type="dxa"/>
              <w:bottom w:w="70" w:type="dxa"/>
              <w:end w:w="80" w:type="dxa"/>
            </w:tcMar>
            <w:vAlign w:val="center"/>
          </w:tcPr>
          <w:p>
            <w:pPr>
              <w:jc w:val="left"/>
            </w:pPr>
            <w:r>
              <w:rPr>
                <w:rFonts w:ascii="Liberation Sans" w:hAnsi="Liberation Sans"/>
                <w:b/>
                <w:color w:val="FFFFFF"/>
                <w:sz w:val="16"/>
              </w:rPr>
              <w:t>Research area</w:t>
            </w:r>
          </w:p>
        </w:tc>
        <w:tc>
          <w:tcPr>
            <w:tcW w:type="dxa" w:w="3672"/>
            <w:shd w:fill="245C8A" w:val="clear"/>
            <w:tcMar>
              <w:top w:w="70" w:type="dxa"/>
              <w:start w:w="80" w:type="dxa"/>
              <w:bottom w:w="70" w:type="dxa"/>
              <w:end w:w="80" w:type="dxa"/>
            </w:tcMar>
            <w:vAlign w:val="center"/>
          </w:tcPr>
          <w:p>
            <w:pPr>
              <w:jc w:val="left"/>
            </w:pPr>
            <w:r>
              <w:rPr>
                <w:rFonts w:ascii="Liberation Sans" w:hAnsi="Liberation Sans"/>
                <w:b/>
                <w:color w:val="FFFFFF"/>
                <w:sz w:val="16"/>
              </w:rPr>
              <w:t>Key references</w:t>
            </w:r>
          </w:p>
        </w:tc>
        <w:tc>
          <w:tcPr>
            <w:tcW w:type="dxa" w:w="4104"/>
            <w:shd w:fill="245C8A" w:val="clear"/>
            <w:tcMar>
              <w:top w:w="70" w:type="dxa"/>
              <w:start w:w="80" w:type="dxa"/>
              <w:bottom w:w="70" w:type="dxa"/>
              <w:end w:w="80" w:type="dxa"/>
            </w:tcMar>
            <w:vAlign w:val="center"/>
          </w:tcPr>
          <w:p>
            <w:pPr>
              <w:jc w:val="left"/>
            </w:pPr>
            <w:r>
              <w:rPr>
                <w:rFonts w:ascii="Liberation Sans" w:hAnsi="Liberation Sans"/>
                <w:b/>
                <w:color w:val="FFFFFF"/>
                <w:sz w:val="16"/>
              </w:rPr>
              <w:t>Direct design consequence</w:t>
            </w:r>
          </w:p>
        </w:tc>
      </w:tr>
      <w:tr>
        <w:trPr>
          <w:cantSplit/>
        </w:trPr>
        <w:tc>
          <w:tcPr>
            <w:tcW w:type="dxa" w:w="2232"/>
            <w:tcMar>
              <w:top w:w="65" w:type="dxa"/>
              <w:start w:w="80" w:type="dxa"/>
              <w:bottom w:w="65" w:type="dxa"/>
              <w:end w:w="80" w:type="dxa"/>
            </w:tcMar>
            <w:vAlign w:val="top"/>
          </w:tcPr>
          <w:p>
            <w:pPr>
              <w:spacing w:after="0" w:line="240" w:lineRule="auto"/>
            </w:pPr>
            <w:r>
              <w:rPr>
                <w:rFonts w:ascii="Liberation Serif" w:hAnsi="Liberation Serif"/>
                <w:color w:val="1F2937"/>
                <w:sz w:val="16"/>
              </w:rPr>
              <w:t>Structural operational semantics</w:t>
            </w:r>
          </w:p>
        </w:tc>
        <w:tc>
          <w:tcPr>
            <w:tcW w:type="dxa" w:w="3672"/>
            <w:tcMar>
              <w:top w:w="65" w:type="dxa"/>
              <w:start w:w="80" w:type="dxa"/>
              <w:bottom w:w="65" w:type="dxa"/>
              <w:end w:w="80" w:type="dxa"/>
            </w:tcMar>
            <w:vAlign w:val="top"/>
          </w:tcPr>
          <w:p>
            <w:pPr>
              <w:spacing w:after="0" w:line="240" w:lineRule="auto"/>
            </w:pPr>
            <w:r>
              <w:rPr>
                <w:rFonts w:ascii="Liberation Serif" w:hAnsi="Liberation Serif"/>
                <w:color w:val="1F2937"/>
                <w:sz w:val="16"/>
              </w:rPr>
              <w:t>Plotkin 2004; Winskel 1993</w:t>
            </w:r>
          </w:p>
        </w:tc>
        <w:tc>
          <w:tcPr>
            <w:tcW w:type="dxa" w:w="4104"/>
            <w:tcMar>
              <w:top w:w="65" w:type="dxa"/>
              <w:start w:w="80" w:type="dxa"/>
              <w:bottom w:w="65" w:type="dxa"/>
              <w:end w:w="80" w:type="dxa"/>
            </w:tcMar>
            <w:vAlign w:val="top"/>
          </w:tcPr>
          <w:p>
            <w:pPr>
              <w:spacing w:after="0" w:line="240" w:lineRule="auto"/>
            </w:pPr>
            <w:r>
              <w:rPr>
                <w:rFonts w:ascii="Liberation Serif" w:hAnsi="Liberation Serif"/>
                <w:color w:val="1F2937"/>
                <w:sz w:val="16"/>
              </w:rPr>
              <w:t>Define event-labelled configurations and macro-transition rules.</w:t>
            </w:r>
          </w:p>
        </w:tc>
      </w:tr>
      <w:tr>
        <w:trPr>
          <w:cantSplit/>
        </w:trPr>
        <w:tc>
          <w:tcPr>
            <w:tcW w:type="dxa" w:w="2232"/>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6"/>
              </w:rPr>
              <w:t>Bisimulation and equivalence</w:t>
            </w:r>
          </w:p>
        </w:tc>
        <w:tc>
          <w:tcPr>
            <w:tcW w:type="dxa" w:w="3672"/>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6"/>
              </w:rPr>
              <w:t>Hennessy and Milner 1985; Sangiorgi 2011; Pitts 1997</w:t>
            </w:r>
          </w:p>
        </w:tc>
        <w:tc>
          <w:tcPr>
            <w:tcW w:type="dxa" w:w="4104"/>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6"/>
              </w:rPr>
              <w:t>State transparency as a weak or contextual equivalence relative to event capabilities.</w:t>
            </w:r>
          </w:p>
        </w:tc>
      </w:tr>
      <w:tr>
        <w:trPr>
          <w:cantSplit/>
        </w:trPr>
        <w:tc>
          <w:tcPr>
            <w:tcW w:type="dxa" w:w="2232"/>
            <w:tcMar>
              <w:top w:w="65" w:type="dxa"/>
              <w:start w:w="80" w:type="dxa"/>
              <w:bottom w:w="65" w:type="dxa"/>
              <w:end w:w="80" w:type="dxa"/>
            </w:tcMar>
            <w:vAlign w:val="top"/>
          </w:tcPr>
          <w:p>
            <w:pPr>
              <w:spacing w:after="0" w:line="240" w:lineRule="auto"/>
            </w:pPr>
            <w:r>
              <w:rPr>
                <w:rFonts w:ascii="Liberation Serif" w:hAnsi="Liberation Serif"/>
                <w:color w:val="1F2937"/>
                <w:sz w:val="16"/>
              </w:rPr>
              <w:t>Denotational effects</w:t>
            </w:r>
          </w:p>
        </w:tc>
        <w:tc>
          <w:tcPr>
            <w:tcW w:type="dxa" w:w="3672"/>
            <w:tcMar>
              <w:top w:w="65" w:type="dxa"/>
              <w:start w:w="80" w:type="dxa"/>
              <w:bottom w:w="65" w:type="dxa"/>
              <w:end w:w="80" w:type="dxa"/>
            </w:tcMar>
            <w:vAlign w:val="top"/>
          </w:tcPr>
          <w:p>
            <w:pPr>
              <w:spacing w:after="0" w:line="240" w:lineRule="auto"/>
            </w:pPr>
            <w:r>
              <w:rPr>
                <w:rFonts w:ascii="Liberation Serif" w:hAnsi="Liberation Serif"/>
                <w:color w:val="1F2937"/>
                <w:sz w:val="16"/>
              </w:rPr>
              <w:t>Moggi 1991; Plotkin and Power 2003; Plotkin and Pretnar 2009</w:t>
            </w:r>
          </w:p>
        </w:tc>
        <w:tc>
          <w:tcPr>
            <w:tcW w:type="dxa" w:w="4104"/>
            <w:tcMar>
              <w:top w:w="65" w:type="dxa"/>
              <w:start w:w="80" w:type="dxa"/>
              <w:bottom w:w="65" w:type="dxa"/>
              <w:end w:w="80" w:type="dxa"/>
            </w:tcMar>
            <w:vAlign w:val="top"/>
          </w:tcPr>
          <w:p>
            <w:pPr>
              <w:spacing w:after="0" w:line="240" w:lineRule="auto"/>
            </w:pPr>
            <w:r>
              <w:rPr>
                <w:rFonts w:ascii="Liberation Serif" w:hAnsi="Liberation Serif"/>
                <w:color w:val="1F2937"/>
                <w:sz w:val="16"/>
              </w:rPr>
              <w:t>Treat events as an effect signature and analyses as handlers.</w:t>
            </w:r>
          </w:p>
        </w:tc>
      </w:tr>
      <w:tr>
        <w:trPr>
          <w:cantSplit/>
        </w:trPr>
        <w:tc>
          <w:tcPr>
            <w:tcW w:type="dxa" w:w="2232"/>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6"/>
              </w:rPr>
              <w:t>Interaction trees</w:t>
            </w:r>
          </w:p>
        </w:tc>
        <w:tc>
          <w:tcPr>
            <w:tcW w:type="dxa" w:w="3672"/>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6"/>
              </w:rPr>
              <w:t>Xia et al. 2020</w:t>
            </w:r>
          </w:p>
        </w:tc>
        <w:tc>
          <w:tcPr>
            <w:tcW w:type="dxa" w:w="4104"/>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6"/>
              </w:rPr>
              <w:t>Represent recursive interactive behavior with executable event trees and weak bisimulation.</w:t>
            </w:r>
          </w:p>
        </w:tc>
      </w:tr>
      <w:tr>
        <w:trPr>
          <w:cantSplit/>
        </w:trPr>
        <w:tc>
          <w:tcPr>
            <w:tcW w:type="dxa" w:w="2232"/>
            <w:tcMar>
              <w:top w:w="65" w:type="dxa"/>
              <w:start w:w="80" w:type="dxa"/>
              <w:bottom w:w="65" w:type="dxa"/>
              <w:end w:w="80" w:type="dxa"/>
            </w:tcMar>
            <w:vAlign w:val="top"/>
          </w:tcPr>
          <w:p>
            <w:pPr>
              <w:spacing w:after="0" w:line="240" w:lineRule="auto"/>
            </w:pPr>
            <w:r>
              <w:rPr>
                <w:rFonts w:ascii="Liberation Serif" w:hAnsi="Liberation Serif"/>
                <w:color w:val="1F2937"/>
                <w:sz w:val="16"/>
              </w:rPr>
              <w:t>Runtime verification</w:t>
            </w:r>
          </w:p>
        </w:tc>
        <w:tc>
          <w:tcPr>
            <w:tcW w:type="dxa" w:w="3672"/>
            <w:tcMar>
              <w:top w:w="65" w:type="dxa"/>
              <w:start w:w="80" w:type="dxa"/>
              <w:bottom w:w="65" w:type="dxa"/>
              <w:end w:w="80" w:type="dxa"/>
            </w:tcMar>
            <w:vAlign w:val="top"/>
          </w:tcPr>
          <w:p>
            <w:pPr>
              <w:spacing w:after="0" w:line="240" w:lineRule="auto"/>
            </w:pPr>
            <w:r>
              <w:rPr>
                <w:rFonts w:ascii="Liberation Serif" w:hAnsi="Liberation Serif"/>
                <w:color w:val="1F2937"/>
                <w:sz w:val="16"/>
              </w:rPr>
              <w:t>Leucker and Schallhart 2009; Bauer et al. 2010/2011</w:t>
            </w:r>
          </w:p>
        </w:tc>
        <w:tc>
          <w:tcPr>
            <w:tcW w:type="dxa" w:w="4104"/>
            <w:tcMar>
              <w:top w:w="65" w:type="dxa"/>
              <w:start w:w="80" w:type="dxa"/>
              <w:bottom w:w="65" w:type="dxa"/>
              <w:end w:w="80" w:type="dxa"/>
            </w:tcMar>
            <w:vAlign w:val="top"/>
          </w:tcPr>
          <w:p>
            <w:pPr>
              <w:spacing w:after="0" w:line="240" w:lineRule="auto"/>
            </w:pPr>
            <w:r>
              <w:rPr>
                <w:rFonts w:ascii="Liberation Serif" w:hAnsi="Liberation Serif"/>
                <w:color w:val="1F2937"/>
                <w:sz w:val="16"/>
              </w:rPr>
              <w:t>Use explicit finite-prefix verdicts and automata/temporal monitor semantics.</w:t>
            </w:r>
          </w:p>
        </w:tc>
      </w:tr>
      <w:tr>
        <w:trPr>
          <w:cantSplit/>
        </w:trPr>
        <w:tc>
          <w:tcPr>
            <w:tcW w:type="dxa" w:w="2232"/>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6"/>
              </w:rPr>
              <w:t>Parametric monitoring</w:t>
            </w:r>
          </w:p>
        </w:tc>
        <w:tc>
          <w:tcPr>
            <w:tcW w:type="dxa" w:w="3672"/>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6"/>
              </w:rPr>
              <w:t>Rosu and Chen 2012; Havelund et al. 2018</w:t>
            </w:r>
          </w:p>
        </w:tc>
        <w:tc>
          <w:tcPr>
            <w:tcW w:type="dxa" w:w="4104"/>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6"/>
              </w:rPr>
              <w:t>Typed identity maps and trace slicing for per-object or per-request properties.</w:t>
            </w:r>
          </w:p>
        </w:tc>
      </w:tr>
      <w:tr>
        <w:trPr>
          <w:cantSplit/>
        </w:trPr>
        <w:tc>
          <w:tcPr>
            <w:tcW w:type="dxa" w:w="2232"/>
            <w:tcMar>
              <w:top w:w="65" w:type="dxa"/>
              <w:start w:w="80" w:type="dxa"/>
              <w:bottom w:w="65" w:type="dxa"/>
              <w:end w:w="80" w:type="dxa"/>
            </w:tcMar>
            <w:vAlign w:val="top"/>
          </w:tcPr>
          <w:p>
            <w:pPr>
              <w:spacing w:after="0" w:line="240" w:lineRule="auto"/>
            </w:pPr>
            <w:r>
              <w:rPr>
                <w:rFonts w:ascii="Liberation Serif" w:hAnsi="Liberation Serif"/>
                <w:color w:val="1F2937"/>
                <w:sz w:val="16"/>
              </w:rPr>
              <w:t>Contracts and hybrid checking</w:t>
            </w:r>
          </w:p>
        </w:tc>
        <w:tc>
          <w:tcPr>
            <w:tcW w:type="dxa" w:w="3672"/>
            <w:tcMar>
              <w:top w:w="65" w:type="dxa"/>
              <w:start w:w="80" w:type="dxa"/>
              <w:bottom w:w="65" w:type="dxa"/>
              <w:end w:w="80" w:type="dxa"/>
            </w:tcMar>
            <w:vAlign w:val="top"/>
          </w:tcPr>
          <w:p>
            <w:pPr>
              <w:spacing w:after="0" w:line="240" w:lineRule="auto"/>
            </w:pPr>
            <w:r>
              <w:rPr>
                <w:rFonts w:ascii="Liberation Serif" w:hAnsi="Liberation Serif"/>
                <w:color w:val="1F2937"/>
                <w:sz w:val="16"/>
              </w:rPr>
              <w:t>Findler and Felleisen 2002; Flanagan 2006; Nguyen et al. 2014</w:t>
            </w:r>
          </w:p>
        </w:tc>
        <w:tc>
          <w:tcPr>
            <w:tcW w:type="dxa" w:w="4104"/>
            <w:tcMar>
              <w:top w:w="65" w:type="dxa"/>
              <w:start w:w="80" w:type="dxa"/>
              <w:bottom w:w="65" w:type="dxa"/>
              <w:end w:w="80" w:type="dxa"/>
            </w:tcMar>
            <w:vAlign w:val="top"/>
          </w:tcPr>
          <w:p>
            <w:pPr>
              <w:spacing w:after="0" w:line="240" w:lineRule="auto"/>
            </w:pPr>
            <w:r>
              <w:rPr>
                <w:rFonts w:ascii="Liberation Serif" w:hAnsi="Liberation Serif"/>
                <w:color w:val="1F2937"/>
                <w:sz w:val="16"/>
              </w:rPr>
              <w:t>Compile pre/postconditions; statically discharge obligations and retain residual probes.</w:t>
            </w:r>
          </w:p>
        </w:tc>
      </w:tr>
      <w:tr>
        <w:trPr>
          <w:cantSplit/>
        </w:trPr>
        <w:tc>
          <w:tcPr>
            <w:tcW w:type="dxa" w:w="2232"/>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6"/>
              </w:rPr>
              <w:t>Abstract interpretation</w:t>
            </w:r>
          </w:p>
        </w:tc>
        <w:tc>
          <w:tcPr>
            <w:tcW w:type="dxa" w:w="3672"/>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6"/>
              </w:rPr>
              <w:t>Cousot and Cousot 1977; Cousot 2021; Van Horn and Might 2010</w:t>
            </w:r>
          </w:p>
        </w:tc>
        <w:tc>
          <w:tcPr>
            <w:tcW w:type="dxa" w:w="4104"/>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6"/>
              </w:rPr>
              <w:t>Implement verifier and static interpretation as sound abstract semantics.</w:t>
            </w:r>
          </w:p>
        </w:tc>
      </w:tr>
      <w:tr>
        <w:trPr>
          <w:cantSplit/>
        </w:trPr>
        <w:tc>
          <w:tcPr>
            <w:tcW w:type="dxa" w:w="2232"/>
            <w:tcMar>
              <w:top w:w="65" w:type="dxa"/>
              <w:start w:w="80" w:type="dxa"/>
              <w:bottom w:w="65" w:type="dxa"/>
              <w:end w:w="80" w:type="dxa"/>
            </w:tcMar>
            <w:vAlign w:val="top"/>
          </w:tcPr>
          <w:p>
            <w:pPr>
              <w:spacing w:after="0" w:line="240" w:lineRule="auto"/>
            </w:pPr>
            <w:r>
              <w:rPr>
                <w:rFonts w:ascii="Liberation Serif" w:hAnsi="Liberation Serif"/>
                <w:color w:val="1F2937"/>
                <w:sz w:val="16"/>
              </w:rPr>
              <w:t>Symbolic execution and CEGAR</w:t>
            </w:r>
          </w:p>
        </w:tc>
        <w:tc>
          <w:tcPr>
            <w:tcW w:type="dxa" w:w="3672"/>
            <w:tcMar>
              <w:top w:w="65" w:type="dxa"/>
              <w:start w:w="80" w:type="dxa"/>
              <w:bottom w:w="65" w:type="dxa"/>
              <w:end w:w="80" w:type="dxa"/>
            </w:tcMar>
            <w:vAlign w:val="top"/>
          </w:tcPr>
          <w:p>
            <w:pPr>
              <w:spacing w:after="0" w:line="240" w:lineRule="auto"/>
            </w:pPr>
            <w:r>
              <w:rPr>
                <w:rFonts w:ascii="Liberation Serif" w:hAnsi="Liberation Serif"/>
                <w:color w:val="1F2937"/>
                <w:sz w:val="16"/>
              </w:rPr>
              <w:t>King 1976; Clarke et al. 2000</w:t>
            </w:r>
          </w:p>
        </w:tc>
        <w:tc>
          <w:tcPr>
            <w:tcW w:type="dxa" w:w="4104"/>
            <w:tcMar>
              <w:top w:w="65" w:type="dxa"/>
              <w:start w:w="80" w:type="dxa"/>
              <w:bottom w:w="65" w:type="dxa"/>
              <w:end w:w="80" w:type="dxa"/>
            </w:tcMar>
            <w:vAlign w:val="top"/>
          </w:tcPr>
          <w:p>
            <w:pPr>
              <w:spacing w:after="0" w:line="240" w:lineRule="auto"/>
            </w:pPr>
            <w:r>
              <w:rPr>
                <w:rFonts w:ascii="Liberation Serif" w:hAnsi="Liberation Serif"/>
                <w:color w:val="1F2937"/>
                <w:sz w:val="16"/>
              </w:rPr>
              <w:t>Generate counterexamples and refine abstractions at stable semantic sites.</w:t>
            </w:r>
          </w:p>
        </w:tc>
      </w:tr>
      <w:tr>
        <w:trPr>
          <w:cantSplit/>
        </w:trPr>
        <w:tc>
          <w:tcPr>
            <w:tcW w:type="dxa" w:w="2232"/>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6"/>
              </w:rPr>
              <w:t>Hyperproperties</w:t>
            </w:r>
          </w:p>
        </w:tc>
        <w:tc>
          <w:tcPr>
            <w:tcW w:type="dxa" w:w="3672"/>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6"/>
              </w:rPr>
              <w:t>Clarkson and Schneider 2010; Finkbeiner et al. 2017</w:t>
            </w:r>
          </w:p>
        </w:tc>
        <w:tc>
          <w:tcPr>
            <w:tcW w:type="dxa" w:w="4104"/>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6"/>
              </w:rPr>
              <w:t>Add multi-run trace alignment for relational security and equivalence.</w:t>
            </w:r>
          </w:p>
        </w:tc>
      </w:tr>
      <w:tr>
        <w:trPr>
          <w:cantSplit/>
        </w:trPr>
        <w:tc>
          <w:tcPr>
            <w:tcW w:type="dxa" w:w="2232"/>
            <w:tcMar>
              <w:top w:w="65" w:type="dxa"/>
              <w:start w:w="80" w:type="dxa"/>
              <w:bottom w:w="65" w:type="dxa"/>
              <w:end w:w="80" w:type="dxa"/>
            </w:tcMar>
            <w:vAlign w:val="top"/>
          </w:tcPr>
          <w:p>
            <w:pPr>
              <w:spacing w:after="0" w:line="240" w:lineRule="auto"/>
            </w:pPr>
            <w:r>
              <w:rPr>
                <w:rFonts w:ascii="Liberation Serif" w:hAnsi="Liberation Serif"/>
                <w:color w:val="1F2937"/>
                <w:sz w:val="16"/>
              </w:rPr>
              <w:t>Safe extensibility</w:t>
            </w:r>
          </w:p>
        </w:tc>
        <w:tc>
          <w:tcPr>
            <w:tcW w:type="dxa" w:w="3672"/>
            <w:tcMar>
              <w:top w:w="65" w:type="dxa"/>
              <w:start w:w="80" w:type="dxa"/>
              <w:bottom w:w="65" w:type="dxa"/>
              <w:end w:w="80" w:type="dxa"/>
            </w:tcMar>
            <w:vAlign w:val="top"/>
          </w:tcPr>
          <w:p>
            <w:pPr>
              <w:spacing w:after="0" w:line="240" w:lineRule="auto"/>
            </w:pPr>
            <w:r>
              <w:rPr>
                <w:rFonts w:ascii="Liberation Serif" w:hAnsi="Liberation Serif"/>
                <w:color w:val="1F2937"/>
                <w:sz w:val="16"/>
              </w:rPr>
              <w:t>Wahbe et al. 1993; Necula 1997; Morrisett et al. 1999</w:t>
            </w:r>
          </w:p>
        </w:tc>
        <w:tc>
          <w:tcPr>
            <w:tcW w:type="dxa" w:w="4104"/>
            <w:tcMar>
              <w:top w:w="65" w:type="dxa"/>
              <w:start w:w="80" w:type="dxa"/>
              <w:bottom w:w="65" w:type="dxa"/>
              <w:end w:w="80" w:type="dxa"/>
            </w:tcMar>
            <w:vAlign w:val="top"/>
          </w:tcPr>
          <w:p>
            <w:pPr>
              <w:spacing w:after="0" w:line="240" w:lineRule="auto"/>
            </w:pPr>
            <w:r>
              <w:rPr>
                <w:rFonts w:ascii="Liberation Serif" w:hAnsi="Liberation Serif"/>
                <w:color w:val="1F2937"/>
                <w:sz w:val="16"/>
              </w:rPr>
              <w:t>Restricted IR, capability helpers, proof/checker separation, and bounded authority.</w:t>
            </w:r>
          </w:p>
        </w:tc>
      </w:tr>
      <w:tr>
        <w:trPr>
          <w:cantSplit/>
        </w:trPr>
        <w:tc>
          <w:tcPr>
            <w:tcW w:type="dxa" w:w="2232"/>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6"/>
              </w:rPr>
              <w:t>BPF / DTrace</w:t>
            </w:r>
          </w:p>
        </w:tc>
        <w:tc>
          <w:tcPr>
            <w:tcW w:type="dxa" w:w="3672"/>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6"/>
              </w:rPr>
              <w:t>McCanne and Jacobson 1993; Cantrill et al. 2004; Linux docs 2026</w:t>
            </w:r>
          </w:p>
        </w:tc>
        <w:tc>
          <w:tcPr>
            <w:tcW w:type="dxa" w:w="4104"/>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6"/>
              </w:rPr>
              <w:t>Stable providers, verified programs, maps, aggregations, and fast disabled paths.</w:t>
            </w:r>
          </w:p>
        </w:tc>
      </w:tr>
      <w:tr>
        <w:trPr>
          <w:cantSplit/>
        </w:trPr>
        <w:tc>
          <w:tcPr>
            <w:tcW w:type="dxa" w:w="2232"/>
            <w:tcMar>
              <w:top w:w="65" w:type="dxa"/>
              <w:start w:w="80" w:type="dxa"/>
              <w:bottom w:w="65" w:type="dxa"/>
              <w:end w:w="80" w:type="dxa"/>
            </w:tcMar>
            <w:vAlign w:val="top"/>
          </w:tcPr>
          <w:p>
            <w:pPr>
              <w:spacing w:after="0" w:line="240" w:lineRule="auto"/>
            </w:pPr>
            <w:r>
              <w:rPr>
                <w:rFonts w:ascii="Liberation Serif" w:hAnsi="Liberation Serif"/>
                <w:color w:val="1F2937"/>
                <w:sz w:val="16"/>
              </w:rPr>
              <w:t>Executable semantics</w:t>
            </w:r>
          </w:p>
        </w:tc>
        <w:tc>
          <w:tcPr>
            <w:tcW w:type="dxa" w:w="3672"/>
            <w:tcMar>
              <w:top w:w="65" w:type="dxa"/>
              <w:start w:w="80" w:type="dxa"/>
              <w:bottom w:w="65" w:type="dxa"/>
              <w:end w:w="80" w:type="dxa"/>
            </w:tcMar>
            <w:vAlign w:val="top"/>
          </w:tcPr>
          <w:p>
            <w:pPr>
              <w:spacing w:after="0" w:line="240" w:lineRule="auto"/>
            </w:pPr>
            <w:r>
              <w:rPr>
                <w:rFonts w:ascii="Liberation Serif" w:hAnsi="Liberation Serif"/>
                <w:color w:val="1F2937"/>
                <w:sz w:val="16"/>
              </w:rPr>
              <w:t>Felleisen et al. 2009; Bodin et al. 2014; Park et al. 2015</w:t>
            </w:r>
          </w:p>
        </w:tc>
        <w:tc>
          <w:tcPr>
            <w:tcW w:type="dxa" w:w="4104"/>
            <w:tcMar>
              <w:top w:w="65" w:type="dxa"/>
              <w:start w:w="80" w:type="dxa"/>
              <w:bottom w:w="65" w:type="dxa"/>
              <w:end w:w="80" w:type="dxa"/>
            </w:tcMar>
            <w:vAlign w:val="top"/>
          </w:tcPr>
          <w:p>
            <w:pPr>
              <w:spacing w:after="0" w:line="240" w:lineRule="auto"/>
            </w:pPr>
            <w:r>
              <w:rPr>
                <w:rFonts w:ascii="Liberation Serif" w:hAnsi="Liberation Serif"/>
                <w:color w:val="1F2937"/>
                <w:sz w:val="16"/>
              </w:rPr>
              <w:t>Differential semantic traces, rule coverage, and model-driven testing.</w:t>
            </w:r>
          </w:p>
        </w:tc>
      </w:tr>
      <w:tr>
        <w:trPr>
          <w:cantSplit/>
        </w:trPr>
        <w:tc>
          <w:tcPr>
            <w:tcW w:type="dxa" w:w="2232"/>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6"/>
              </w:rPr>
              <w:t>Invariant mining</w:t>
            </w:r>
          </w:p>
        </w:tc>
        <w:tc>
          <w:tcPr>
            <w:tcW w:type="dxa" w:w="3672"/>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6"/>
              </w:rPr>
              <w:t>Ernst et al. 2001/2007; Nimmer and Ernst 2001</w:t>
            </w:r>
          </w:p>
        </w:tc>
        <w:tc>
          <w:tcPr>
            <w:tcW w:type="dxa" w:w="4104"/>
            <w:shd w:fill="F7F9FB" w:val="clear"/>
            <w:tcMar>
              <w:top w:w="65" w:type="dxa"/>
              <w:start w:w="80" w:type="dxa"/>
              <w:bottom w:w="65" w:type="dxa"/>
              <w:end w:w="80" w:type="dxa"/>
            </w:tcMar>
            <w:vAlign w:val="top"/>
          </w:tcPr>
          <w:p>
            <w:pPr>
              <w:spacing w:after="0" w:line="240" w:lineRule="auto"/>
            </w:pPr>
            <w:r>
              <w:rPr>
                <w:rFonts w:ascii="Liberation Serif" w:hAnsi="Liberation Serif"/>
                <w:color w:val="1F2937"/>
                <w:sz w:val="16"/>
              </w:rPr>
              <w:t>Generate candidate contracts with provenance, then statically verify or monitor them.</w:t>
            </w:r>
          </w:p>
        </w:tc>
      </w:tr>
      <w:tr>
        <w:trPr>
          <w:cantSplit/>
        </w:trPr>
        <w:tc>
          <w:tcPr>
            <w:tcW w:type="dxa" w:w="2232"/>
            <w:tcMar>
              <w:top w:w="65" w:type="dxa"/>
              <w:start w:w="80" w:type="dxa"/>
              <w:bottom w:w="65" w:type="dxa"/>
              <w:end w:w="80" w:type="dxa"/>
            </w:tcMar>
            <w:vAlign w:val="top"/>
          </w:tcPr>
          <w:p>
            <w:pPr>
              <w:spacing w:after="0" w:line="240" w:lineRule="auto"/>
            </w:pPr>
            <w:r>
              <w:rPr>
                <w:rFonts w:ascii="Liberation Serif" w:hAnsi="Liberation Serif"/>
                <w:color w:val="1F2937"/>
                <w:sz w:val="16"/>
              </w:rPr>
              <w:t>Verified compilation</w:t>
            </w:r>
          </w:p>
        </w:tc>
        <w:tc>
          <w:tcPr>
            <w:tcW w:type="dxa" w:w="3672"/>
            <w:tcMar>
              <w:top w:w="65" w:type="dxa"/>
              <w:start w:w="80" w:type="dxa"/>
              <w:bottom w:w="65" w:type="dxa"/>
              <w:end w:w="80" w:type="dxa"/>
            </w:tcMar>
            <w:vAlign w:val="top"/>
          </w:tcPr>
          <w:p>
            <w:pPr>
              <w:spacing w:after="0" w:line="240" w:lineRule="auto"/>
            </w:pPr>
            <w:r>
              <w:rPr>
                <w:rFonts w:ascii="Liberation Serif" w:hAnsi="Liberation Serif"/>
                <w:color w:val="1F2937"/>
                <w:sz w:val="16"/>
              </w:rPr>
              <w:t>Leroy 2009; Pnueli et al. 1998</w:t>
            </w:r>
          </w:p>
        </w:tc>
        <w:tc>
          <w:tcPr>
            <w:tcW w:type="dxa" w:w="4104"/>
            <w:tcMar>
              <w:top w:w="65" w:type="dxa"/>
              <w:start w:w="80" w:type="dxa"/>
              <w:bottom w:w="65" w:type="dxa"/>
              <w:end w:w="80" w:type="dxa"/>
            </w:tcMar>
            <w:vAlign w:val="top"/>
          </w:tcPr>
          <w:p>
            <w:pPr>
              <w:spacing w:after="0" w:line="240" w:lineRule="auto"/>
            </w:pPr>
            <w:r>
              <w:rPr>
                <w:rFonts w:ascii="Liberation Serif" w:hAnsi="Liberation Serif"/>
                <w:color w:val="1F2937"/>
                <w:sz w:val="16"/>
              </w:rPr>
              <w:t>Use refinement targets and per-program translation validation for semantic metadata.</w:t>
            </w:r>
          </w:p>
        </w:tc>
      </w:tr>
    </w:tbl>
    <w:p>
      <w:pPr>
        <w:spacing w:after="0"/>
      </w:pPr>
    </w:p>
    <w:p>
      <w:pPr>
        <w:pStyle w:val="Heading2"/>
      </w:pPr>
      <w:r>
        <w:rPr>
          <w:rFonts w:ascii="Liberation Sans" w:hAnsi="Liberation Sans"/>
          <w:b/>
          <w:color w:val="193E5D"/>
          <w:sz w:val="30"/>
        </w:rPr>
        <w:t>References</w:t>
      </w:r>
    </w:p>
    <w:p>
      <w:pPr>
        <w:spacing w:line="259" w:lineRule="auto" w:after="80"/>
      </w:pPr>
      <w:r>
        <w:rPr>
          <w:rFonts w:ascii="Liberation Serif" w:hAnsi="Liberation Serif"/>
          <w:color w:val="1F2937"/>
          <w:sz w:val="20"/>
        </w:rPr>
        <w:t>URLs and DOI links identify editions used for this synthesis. Repository references are pinned to inspected source snapshots. The bibliography emphasizes primary papers, monographs, official specifications, and official kernel documentation.</w:t>
      </w:r>
    </w:p>
    <w:p>
      <w:pPr>
        <w:spacing w:after="64" w:line="240" w:lineRule="auto"/>
        <w:ind w:left="346" w:hanging="346"/>
      </w:pPr>
      <w:r>
        <w:rPr>
          <w:rFonts w:ascii="Liberation Serif" w:hAnsi="Liberation Serif"/>
          <w:color w:val="1F2937"/>
          <w:sz w:val="17"/>
        </w:rPr>
        <w:t xml:space="preserve">Alpern, B., and Schneider, F. B. (1985). Defining liveness. Information Processing Letters, 21(4), 181-185. </w:t>
      </w:r>
      <w:hyperlink r:id="rId19">
        <w:r>
          <w:rPr>
            <w:color w:val="245C8A"/>
            <w:rFonts w:ascii="Liberation Serif" w:hAnsi="Liberation Serif"/>
          </w:rPr>
          <w:t>https://doi.org/10.1016/0020-0190(85)90056-0</w:t>
        </w:r>
      </w:hyperlink>
    </w:p>
    <w:p>
      <w:pPr>
        <w:spacing w:after="64" w:line="240" w:lineRule="auto"/>
        <w:ind w:left="346" w:hanging="346"/>
      </w:pPr>
      <w:r>
        <w:rPr>
          <w:rFonts w:ascii="Liberation Serif" w:hAnsi="Liberation Serif"/>
          <w:color w:val="1F2937"/>
          <w:sz w:val="17"/>
        </w:rPr>
        <w:t xml:space="preserve">Bartocci, E., and Falcone, Y. (Eds.). (2018). Lectures on Runtime Verification. Springer. </w:t>
      </w:r>
      <w:hyperlink r:id="rId20">
        <w:r>
          <w:rPr>
            <w:color w:val="245C8A"/>
            <w:rFonts w:ascii="Liberation Serif" w:hAnsi="Liberation Serif"/>
          </w:rPr>
          <w:t>https://doi.org/10.1007/978-3-319-75632-5</w:t>
        </w:r>
      </w:hyperlink>
    </w:p>
    <w:p>
      <w:pPr>
        <w:spacing w:after="64" w:line="240" w:lineRule="auto"/>
        <w:ind w:left="346" w:hanging="346"/>
      </w:pPr>
      <w:r>
        <w:rPr>
          <w:rFonts w:ascii="Liberation Serif" w:hAnsi="Liberation Serif"/>
          <w:color w:val="1F2937"/>
          <w:sz w:val="17"/>
        </w:rPr>
        <w:t xml:space="preserve">Bauer, A., Leucker, M., and Schallhart, C. (2010). Comparing LTL semantics for runtime verification. Journal of Logic and Computation, 20(3), 651-674. </w:t>
      </w:r>
      <w:hyperlink r:id="rId21">
        <w:r>
          <w:rPr>
            <w:color w:val="245C8A"/>
            <w:rFonts w:ascii="Liberation Serif" w:hAnsi="Liberation Serif"/>
          </w:rPr>
          <w:t>https://doi.org/10.1093/logcom/exn075</w:t>
        </w:r>
      </w:hyperlink>
    </w:p>
    <w:p>
      <w:pPr>
        <w:spacing w:after="64" w:line="240" w:lineRule="auto"/>
        <w:ind w:left="346" w:hanging="346"/>
      </w:pPr>
      <w:r>
        <w:rPr>
          <w:rFonts w:ascii="Liberation Serif" w:hAnsi="Liberation Serif"/>
          <w:color w:val="1F2937"/>
          <w:sz w:val="17"/>
        </w:rPr>
        <w:t xml:space="preserve">Bauer, A., Leucker, M., and Schallhart, C. (2011). Runtime verification for LTL and TLTL. ACM Transactions on Software Engineering and Methodology, 20(4), Article 14. </w:t>
      </w:r>
      <w:hyperlink r:id="rId22">
        <w:r>
          <w:rPr>
            <w:color w:val="245C8A"/>
            <w:rFonts w:ascii="Liberation Serif" w:hAnsi="Liberation Serif"/>
          </w:rPr>
          <w:t>https://doi.org/10.1145/2000799.2000800</w:t>
        </w:r>
      </w:hyperlink>
    </w:p>
    <w:p>
      <w:pPr>
        <w:spacing w:after="64" w:line="240" w:lineRule="auto"/>
        <w:ind w:left="346" w:hanging="346"/>
      </w:pPr>
      <w:r>
        <w:rPr>
          <w:rFonts w:ascii="Liberation Serif" w:hAnsi="Liberation Serif"/>
          <w:color w:val="1F2937"/>
          <w:sz w:val="17"/>
        </w:rPr>
        <w:t xml:space="preserve">Bodin, M., Chargueraud, A., Filaretti, D., Gardner, P., Maffeis, S., Naudziuniene, D., Schmitt, A., and Smith, G. (2014). A trusted mechanised JavaScript specification. Proceedings of POPL 2014. </w:t>
      </w:r>
      <w:hyperlink r:id="rId23">
        <w:r>
          <w:rPr>
            <w:color w:val="245C8A"/>
            <w:rFonts w:ascii="Liberation Serif" w:hAnsi="Liberation Serif"/>
          </w:rPr>
          <w:t>https://doi.org/10.1145/2535838.2535876</w:t>
        </w:r>
      </w:hyperlink>
    </w:p>
    <w:p>
      <w:pPr>
        <w:spacing w:after="64" w:line="240" w:lineRule="auto"/>
        <w:ind w:left="346" w:hanging="346"/>
      </w:pPr>
      <w:r>
        <w:rPr>
          <w:rFonts w:ascii="Liberation Serif" w:hAnsi="Liberation Serif"/>
          <w:color w:val="1F2937"/>
          <w:sz w:val="17"/>
        </w:rPr>
        <w:t>Cantrill, B. M., Shapiro, M. W., and Leventhal, A. H. (2004). Dynamic instrumentation of production systems. USENIX Annual Technical Conference.</w:t>
      </w:r>
      <w:r>
        <w:rPr>
          <w:rFonts w:ascii="Liberation Serif" w:hAnsi="Liberation Serif"/>
          <w:sz w:val="17"/>
        </w:rPr>
        <w:t xml:space="preserve"> </w:t>
      </w:r>
      <w:hyperlink r:id="rId24">
        <w:r>
          <w:rPr>
            <w:color w:val="245C8A"/>
            <w:rFonts w:ascii="Liberation Serif" w:hAnsi="Liberation Serif"/>
          </w:rPr>
          <w:t>https://www.usenix.org/legacy/publications/library/proceedings/usenix04/tech/general/cantrill.html</w:t>
        </w:r>
      </w:hyperlink>
    </w:p>
    <w:p>
      <w:pPr>
        <w:spacing w:after="64" w:line="240" w:lineRule="auto"/>
        <w:ind w:left="346" w:hanging="346"/>
      </w:pPr>
      <w:r>
        <w:rPr>
          <w:rFonts w:ascii="Liberation Serif" w:hAnsi="Liberation Serif"/>
          <w:color w:val="1F2937"/>
          <w:sz w:val="17"/>
        </w:rPr>
        <w:t xml:space="preserve">Chargueraud, A., Schmitt, A., and Wood, T. (2018). JSExplain: a double debugger for JavaScript. Companion Proceedings of The Web Conference 2018. </w:t>
      </w:r>
      <w:hyperlink r:id="rId25">
        <w:r>
          <w:rPr>
            <w:color w:val="245C8A"/>
            <w:rFonts w:ascii="Liberation Serif" w:hAnsi="Liberation Serif"/>
          </w:rPr>
          <w:t>https://doi.org/10.1145/3184558.3185969</w:t>
        </w:r>
      </w:hyperlink>
    </w:p>
    <w:p>
      <w:pPr>
        <w:spacing w:after="64" w:line="240" w:lineRule="auto"/>
        <w:ind w:left="346" w:hanging="346"/>
      </w:pPr>
      <w:r>
        <w:rPr>
          <w:rFonts w:ascii="Liberation Serif" w:hAnsi="Liberation Serif"/>
          <w:color w:val="1F2937"/>
          <w:sz w:val="17"/>
        </w:rPr>
        <w:t xml:space="preserve">Chen, F., and Rosu, G. (2003). Towards monitoring-oriented programming: a paradigm combining specification and implementation. Electronic Notes in Theoretical Computer Science, 89(2), 108-127. </w:t>
      </w:r>
      <w:hyperlink r:id="rId26">
        <w:r>
          <w:rPr>
            <w:color w:val="245C8A"/>
            <w:rFonts w:ascii="Liberation Serif" w:hAnsi="Liberation Serif"/>
          </w:rPr>
          <w:t>https://doi.org/10.1016/S1571-0661(04)81045-4</w:t>
        </w:r>
      </w:hyperlink>
    </w:p>
    <w:p>
      <w:pPr>
        <w:spacing w:after="64" w:line="240" w:lineRule="auto"/>
        <w:ind w:left="346" w:hanging="346"/>
      </w:pPr>
      <w:r>
        <w:rPr>
          <w:rFonts w:ascii="Liberation Serif" w:hAnsi="Liberation Serif"/>
          <w:color w:val="1F2937"/>
          <w:sz w:val="17"/>
        </w:rPr>
        <w:t xml:space="preserve">Chen, F., and Rosu, G. (2007). MOP: an efficient and generic runtime verification framework. Proceedings of OOPSLA 2007. </w:t>
      </w:r>
      <w:hyperlink r:id="rId27">
        <w:r>
          <w:rPr>
            <w:color w:val="245C8A"/>
            <w:rFonts w:ascii="Liberation Serif" w:hAnsi="Liberation Serif"/>
          </w:rPr>
          <w:t>https://doi.org/10.1145/1297027.1297069</w:t>
        </w:r>
      </w:hyperlink>
    </w:p>
    <w:p>
      <w:pPr>
        <w:spacing w:after="64" w:line="240" w:lineRule="auto"/>
        <w:ind w:left="346" w:hanging="346"/>
      </w:pPr>
      <w:r>
        <w:rPr>
          <w:rFonts w:ascii="Liberation Serif" w:hAnsi="Liberation Serif"/>
          <w:color w:val="1F2937"/>
          <w:sz w:val="17"/>
        </w:rPr>
        <w:t xml:space="preserve">Claessen, K., and Hughes, J. (2000). QuickCheck: a lightweight tool for random testing of Haskell programs. Proceedings of ICFP 2000. </w:t>
      </w:r>
      <w:hyperlink r:id="rId28">
        <w:r>
          <w:rPr>
            <w:color w:val="245C8A"/>
            <w:rFonts w:ascii="Liberation Serif" w:hAnsi="Liberation Serif"/>
          </w:rPr>
          <w:t>https://doi.org/10.1145/351240.351266</w:t>
        </w:r>
      </w:hyperlink>
    </w:p>
    <w:p>
      <w:pPr>
        <w:spacing w:after="64" w:line="240" w:lineRule="auto"/>
        <w:ind w:left="346" w:hanging="346"/>
      </w:pPr>
      <w:r>
        <w:rPr>
          <w:rFonts w:ascii="Liberation Serif" w:hAnsi="Liberation Serif"/>
          <w:color w:val="1F2937"/>
          <w:sz w:val="17"/>
        </w:rPr>
        <w:t xml:space="preserve">Clarke, E. M., Grumberg, O., Jha, S., Lu, Y., and Veith, H. (2000). Counterexample-guided abstraction refinement. Proceedings of CAV 2000. </w:t>
      </w:r>
      <w:hyperlink r:id="rId29">
        <w:r>
          <w:rPr>
            <w:color w:val="245C8A"/>
            <w:rFonts w:ascii="Liberation Serif" w:hAnsi="Liberation Serif"/>
          </w:rPr>
          <w:t>https://doi.org/10.1007/10722167_15</w:t>
        </w:r>
      </w:hyperlink>
    </w:p>
    <w:p>
      <w:pPr>
        <w:spacing w:after="64" w:line="240" w:lineRule="auto"/>
        <w:ind w:left="346" w:hanging="346"/>
      </w:pPr>
      <w:r>
        <w:rPr>
          <w:rFonts w:ascii="Liberation Serif" w:hAnsi="Liberation Serif"/>
          <w:color w:val="1F2937"/>
          <w:sz w:val="17"/>
        </w:rPr>
        <w:t xml:space="preserve">Clarkson, M. R., and Schneider, F. B. (2010). Hyperproperties. Journal of Computer Security, 18(6), 1157-1210. </w:t>
      </w:r>
      <w:hyperlink r:id="rId30">
        <w:r>
          <w:rPr>
            <w:color w:val="245C8A"/>
            <w:rFonts w:ascii="Liberation Serif" w:hAnsi="Liberation Serif"/>
          </w:rPr>
          <w:t>https://doi.org/10.3233/JCS-2009-0393</w:t>
        </w:r>
      </w:hyperlink>
    </w:p>
    <w:p>
      <w:pPr>
        <w:spacing w:after="64" w:line="240" w:lineRule="auto"/>
        <w:ind w:left="346" w:hanging="346"/>
      </w:pPr>
      <w:r>
        <w:rPr>
          <w:rFonts w:ascii="Liberation Serif" w:hAnsi="Liberation Serif"/>
          <w:color w:val="1F2937"/>
          <w:sz w:val="17"/>
        </w:rPr>
        <w:t xml:space="preserve">Clarkson, M. R., Finkbeiner, B., Koleini, M., Micinski, K. K., Rabe, M. N., and Sanchez, C. (2014). Temporal logics for hyperproperties. Proceedings of POST 2014. </w:t>
      </w:r>
      <w:hyperlink r:id="rId31">
        <w:r>
          <w:rPr>
            <w:color w:val="245C8A"/>
            <w:rFonts w:ascii="Liberation Serif" w:hAnsi="Liberation Serif"/>
          </w:rPr>
          <w:t>https://doi.org/10.1007/978-3-642-54792-8_15</w:t>
        </w:r>
      </w:hyperlink>
    </w:p>
    <w:p>
      <w:pPr>
        <w:spacing w:after="64" w:line="240" w:lineRule="auto"/>
        <w:ind w:left="346" w:hanging="346"/>
      </w:pPr>
      <w:r>
        <w:rPr>
          <w:rFonts w:ascii="Liberation Serif" w:hAnsi="Liberation Serif"/>
          <w:color w:val="1F2937"/>
          <w:sz w:val="17"/>
        </w:rPr>
        <w:t>Cousot, P. (2021). Principles of Abstract Interpretation. MIT Press.</w:t>
      </w:r>
      <w:r>
        <w:rPr>
          <w:rFonts w:ascii="Liberation Serif" w:hAnsi="Liberation Serif"/>
          <w:sz w:val="17"/>
        </w:rPr>
        <w:t xml:space="preserve"> </w:t>
      </w:r>
      <w:hyperlink r:id="rId32">
        <w:r>
          <w:rPr>
            <w:color w:val="245C8A"/>
            <w:rFonts w:ascii="Liberation Serif" w:hAnsi="Liberation Serif"/>
          </w:rPr>
          <w:t>https://mitpress.mit.edu/9780262044905/principles-of-abstract-interpretation/</w:t>
        </w:r>
      </w:hyperlink>
    </w:p>
    <w:p>
      <w:pPr>
        <w:spacing w:after="64" w:line="240" w:lineRule="auto"/>
        <w:ind w:left="346" w:hanging="346"/>
      </w:pPr>
      <w:r>
        <w:rPr>
          <w:rFonts w:ascii="Liberation Serif" w:hAnsi="Liberation Serif"/>
          <w:color w:val="1F2937"/>
          <w:sz w:val="17"/>
        </w:rPr>
        <w:t xml:space="preserve">Cousot, P., and Cousot, R. (1977). Abstract interpretation: a unified lattice model for static analysis of programs by construction or approximation of fixpoints. Proceedings of POPL 1977. </w:t>
      </w:r>
      <w:hyperlink r:id="rId33">
        <w:r>
          <w:rPr>
            <w:color w:val="245C8A"/>
            <w:rFonts w:ascii="Liberation Serif" w:hAnsi="Liberation Serif"/>
          </w:rPr>
          <w:t>https://doi.org/10.1145/512950.512973</w:t>
        </w:r>
      </w:hyperlink>
    </w:p>
    <w:p>
      <w:pPr>
        <w:spacing w:after="64" w:line="240" w:lineRule="auto"/>
        <w:ind w:left="346" w:hanging="346"/>
      </w:pPr>
      <w:r>
        <w:rPr>
          <w:rFonts w:ascii="Liberation Serif" w:hAnsi="Liberation Serif"/>
          <w:color w:val="1F2937"/>
          <w:sz w:val="17"/>
        </w:rPr>
        <w:t>De Giacomo, G., and Vardi, M. Y. (2013). Linear temporal logic and linear dynamic logic on finite traces. Proceedings of IJCAI 2013.</w:t>
      </w:r>
      <w:r>
        <w:rPr>
          <w:rFonts w:ascii="Liberation Serif" w:hAnsi="Liberation Serif"/>
          <w:sz w:val="17"/>
        </w:rPr>
        <w:t xml:space="preserve"> </w:t>
      </w:r>
      <w:hyperlink r:id="rId34">
        <w:r>
          <w:rPr>
            <w:color w:val="245C8A"/>
            <w:rFonts w:ascii="Liberation Serif" w:hAnsi="Liberation Serif"/>
          </w:rPr>
          <w:t>https://www.ijcai.org/Proceedings/13/Papers/099.pdf</w:t>
        </w:r>
      </w:hyperlink>
    </w:p>
    <w:p>
      <w:pPr>
        <w:spacing w:after="64" w:line="240" w:lineRule="auto"/>
        <w:ind w:left="346" w:hanging="346"/>
      </w:pPr>
      <w:r>
        <w:rPr>
          <w:rFonts w:ascii="Liberation Serif" w:hAnsi="Liberation Serif"/>
          <w:color w:val="1F2937"/>
          <w:sz w:val="17"/>
        </w:rPr>
        <w:t>Dop251. (2026). goja: ECMAScript implementation in pure Go. Source snapshot 0fc1d42c1dc933899bb84267b06e3f64b6c899ef.</w:t>
      </w:r>
      <w:r>
        <w:rPr>
          <w:rFonts w:ascii="Liberation Serif" w:hAnsi="Liberation Serif"/>
          <w:sz w:val="17"/>
        </w:rPr>
        <w:t xml:space="preserve"> </w:t>
      </w:r>
      <w:hyperlink r:id="rId35">
        <w:r>
          <w:rPr>
            <w:color w:val="245C8A"/>
            <w:rFonts w:ascii="Liberation Serif" w:hAnsi="Liberation Serif"/>
          </w:rPr>
          <w:t>https://github.com/dop251/goja/tree/0fc1d42c1dc933899bb84267b06e3f64b6c899ef</w:t>
        </w:r>
      </w:hyperlink>
    </w:p>
    <w:p>
      <w:pPr>
        <w:spacing w:after="64" w:line="240" w:lineRule="auto"/>
        <w:ind w:left="346" w:hanging="346"/>
      </w:pPr>
      <w:r>
        <w:rPr>
          <w:rFonts w:ascii="Liberation Serif" w:hAnsi="Liberation Serif"/>
          <w:color w:val="1F2937"/>
          <w:sz w:val="17"/>
        </w:rPr>
        <w:t>ECMA International. (2026). ECMAScript 2026 Language Specification, ECMA-262.</w:t>
      </w:r>
      <w:r>
        <w:rPr>
          <w:rFonts w:ascii="Liberation Serif" w:hAnsi="Liberation Serif"/>
          <w:sz w:val="17"/>
        </w:rPr>
        <w:t xml:space="preserve"> </w:t>
      </w:r>
      <w:hyperlink r:id="rId36">
        <w:r>
          <w:rPr>
            <w:color w:val="245C8A"/>
            <w:rFonts w:ascii="Liberation Serif" w:hAnsi="Liberation Serif"/>
          </w:rPr>
          <w:t>https://tc39.es/ecma262/2026/</w:t>
        </w:r>
      </w:hyperlink>
    </w:p>
    <w:p>
      <w:pPr>
        <w:spacing w:after="64" w:line="240" w:lineRule="auto"/>
        <w:ind w:left="346" w:hanging="346"/>
      </w:pPr>
      <w:r>
        <w:rPr>
          <w:rFonts w:ascii="Liberation Serif" w:hAnsi="Liberation Serif"/>
          <w:color w:val="1F2937"/>
          <w:sz w:val="17"/>
        </w:rPr>
        <w:t xml:space="preserve">Ernst, M. D., Cockrell, J., Griswold, W. G., and Notkin, D. (2001). Dynamically discovering likely program invariants to support program evolution. IEEE Transactions on Software Engineering, 27(2), 99-123. </w:t>
      </w:r>
      <w:hyperlink r:id="rId37">
        <w:r>
          <w:rPr>
            <w:color w:val="245C8A"/>
            <w:rFonts w:ascii="Liberation Serif" w:hAnsi="Liberation Serif"/>
          </w:rPr>
          <w:t>https://doi.org/10.1109/32.908957</w:t>
        </w:r>
      </w:hyperlink>
    </w:p>
    <w:p>
      <w:pPr>
        <w:spacing w:after="64" w:line="240" w:lineRule="auto"/>
        <w:ind w:left="346" w:hanging="346"/>
      </w:pPr>
      <w:r>
        <w:rPr>
          <w:rFonts w:ascii="Liberation Serif" w:hAnsi="Liberation Serif"/>
          <w:color w:val="1F2937"/>
          <w:sz w:val="17"/>
        </w:rPr>
        <w:t xml:space="preserve">Ernst, M. D., Perkins, J. H., Guo, P. J., McCamant, S., Pacheco, C., Tschantz, M. S., and Xiao, C. (2007). The Daikon system for dynamic detection of likely invariants. Science of Computer Programming, 69(1-3), 35-45. </w:t>
      </w:r>
      <w:hyperlink r:id="rId38">
        <w:r>
          <w:rPr>
            <w:color w:val="245C8A"/>
            <w:rFonts w:ascii="Liberation Serif" w:hAnsi="Liberation Serif"/>
          </w:rPr>
          <w:t>https://doi.org/10.1016/j.scico.2007.01.015</w:t>
        </w:r>
      </w:hyperlink>
    </w:p>
    <w:p>
      <w:pPr>
        <w:spacing w:after="64" w:line="240" w:lineRule="auto"/>
        <w:ind w:left="346" w:hanging="346"/>
      </w:pPr>
      <w:r>
        <w:rPr>
          <w:rFonts w:ascii="Liberation Serif" w:hAnsi="Liberation Serif"/>
          <w:color w:val="1F2937"/>
          <w:sz w:val="17"/>
        </w:rPr>
        <w:t>Felleisen, M., Findler, R. B., and Flatt, M. (2009). Semantics Engineering with PLT Redex. MIT Press.</w:t>
      </w:r>
      <w:r>
        <w:rPr>
          <w:rFonts w:ascii="Liberation Serif" w:hAnsi="Liberation Serif"/>
          <w:sz w:val="17"/>
        </w:rPr>
        <w:t xml:space="preserve"> </w:t>
      </w:r>
      <w:hyperlink r:id="rId39">
        <w:r>
          <w:rPr>
            <w:color w:val="245C8A"/>
            <w:rFonts w:ascii="Liberation Serif" w:hAnsi="Liberation Serif"/>
          </w:rPr>
          <w:t>https://mitpress.mit.edu/9780262062756/semantics-engineering-with-plt-redex/</w:t>
        </w:r>
      </w:hyperlink>
    </w:p>
    <w:p>
      <w:pPr>
        <w:spacing w:after="64" w:line="240" w:lineRule="auto"/>
        <w:ind w:left="346" w:hanging="346"/>
      </w:pPr>
      <w:r>
        <w:rPr>
          <w:rFonts w:ascii="Liberation Serif" w:hAnsi="Liberation Serif"/>
          <w:color w:val="1F2937"/>
          <w:sz w:val="17"/>
        </w:rPr>
        <w:t xml:space="preserve">Findler, R. B., and Felleisen, M. (2002). Contracts for higher-order functions. Proceedings of ICFP 2002. </w:t>
      </w:r>
      <w:hyperlink r:id="rId40">
        <w:r>
          <w:rPr>
            <w:color w:val="245C8A"/>
            <w:rFonts w:ascii="Liberation Serif" w:hAnsi="Liberation Serif"/>
          </w:rPr>
          <w:t>https://doi.org/10.1145/581478.581484</w:t>
        </w:r>
      </w:hyperlink>
    </w:p>
    <w:p>
      <w:pPr>
        <w:spacing w:after="64" w:line="240" w:lineRule="auto"/>
        <w:ind w:left="346" w:hanging="346"/>
      </w:pPr>
      <w:r>
        <w:rPr>
          <w:rFonts w:ascii="Liberation Serif" w:hAnsi="Liberation Serif"/>
          <w:color w:val="1F2937"/>
          <w:sz w:val="17"/>
        </w:rPr>
        <w:t xml:space="preserve">Finkbeiner, B., Hahn, C., Stenger, M., and Tentrup, L. (2017). Monitoring hyperproperties. Proceedings of Runtime Verification 2017. </w:t>
      </w:r>
      <w:hyperlink r:id="rId41">
        <w:r>
          <w:rPr>
            <w:color w:val="245C8A"/>
            <w:rFonts w:ascii="Liberation Serif" w:hAnsi="Liberation Serif"/>
          </w:rPr>
          <w:t>https://doi.org/10.1007/978-3-319-67531-2_12</w:t>
        </w:r>
      </w:hyperlink>
    </w:p>
    <w:p>
      <w:pPr>
        <w:spacing w:after="64" w:line="240" w:lineRule="auto"/>
        <w:ind w:left="346" w:hanging="346"/>
      </w:pPr>
      <w:r>
        <w:rPr>
          <w:rFonts w:ascii="Liberation Serif" w:hAnsi="Liberation Serif"/>
          <w:color w:val="1F2937"/>
          <w:sz w:val="17"/>
        </w:rPr>
        <w:t xml:space="preserve">Flanagan, C. (2006). Hybrid type checking. Proceedings of POPL 2006. </w:t>
      </w:r>
      <w:hyperlink r:id="rId42">
        <w:r>
          <w:rPr>
            <w:color w:val="245C8A"/>
            <w:rFonts w:ascii="Liberation Serif" w:hAnsi="Liberation Serif"/>
          </w:rPr>
          <w:t>https://doi.org/10.1145/1111037.1111059</w:t>
        </w:r>
      </w:hyperlink>
    </w:p>
    <w:p>
      <w:pPr>
        <w:spacing w:after="64" w:line="240" w:lineRule="auto"/>
        <w:ind w:left="346" w:hanging="346"/>
      </w:pPr>
      <w:r>
        <w:rPr>
          <w:rFonts w:ascii="Liberation Serif" w:hAnsi="Liberation Serif"/>
          <w:color w:val="1F2937"/>
          <w:sz w:val="17"/>
        </w:rPr>
        <w:t xml:space="preserve">Gardner, P., Maffeis, S., and Smith, G. D. (2012). Towards a program logic for JavaScript. Proceedings of POPL 2012. </w:t>
      </w:r>
      <w:hyperlink r:id="rId43">
        <w:r>
          <w:rPr>
            <w:color w:val="245C8A"/>
            <w:rFonts w:ascii="Liberation Serif" w:hAnsi="Liberation Serif"/>
          </w:rPr>
          <w:t>https://doi.org/10.1145/2103656.2103663</w:t>
        </w:r>
      </w:hyperlink>
    </w:p>
    <w:p>
      <w:pPr>
        <w:spacing w:after="64" w:line="240" w:lineRule="auto"/>
        <w:ind w:left="346" w:hanging="346"/>
      </w:pPr>
      <w:r>
        <w:rPr>
          <w:rFonts w:ascii="Liberation Serif" w:hAnsi="Liberation Serif"/>
          <w:color w:val="1F2937"/>
          <w:sz w:val="17"/>
        </w:rPr>
        <w:t>Go-Go-Golems. (2026). go-go-goja: native-module playground and runtime composition for goja. Source snapshot ae413f594d0ed4e36123ac925e195666e0f0e759.</w:t>
      </w:r>
      <w:r>
        <w:rPr>
          <w:rFonts w:ascii="Liberation Serif" w:hAnsi="Liberation Serif"/>
          <w:sz w:val="17"/>
        </w:rPr>
        <w:t xml:space="preserve"> </w:t>
      </w:r>
      <w:hyperlink r:id="rId44">
        <w:r>
          <w:rPr>
            <w:color w:val="245C8A"/>
            <w:rFonts w:ascii="Liberation Serif" w:hAnsi="Liberation Serif"/>
          </w:rPr>
          <w:t>https://github.com/go-go-golems/go-go-goja/tree/ae413f594d0ed4e36123ac925e195666e0f0e759</w:t>
        </w:r>
      </w:hyperlink>
    </w:p>
    <w:p>
      <w:pPr>
        <w:spacing w:after="64" w:line="240" w:lineRule="auto"/>
        <w:ind w:left="346" w:hanging="346"/>
      </w:pPr>
      <w:r>
        <w:rPr>
          <w:rFonts w:ascii="Liberation Serif" w:hAnsi="Liberation Serif"/>
          <w:color w:val="1F2937"/>
          <w:sz w:val="17"/>
        </w:rPr>
        <w:t xml:space="preserve">Greenberg, M., Pierce, B. C., and Weirich, S. (2010). Contracts made manifest. Proceedings of POPL 2010. </w:t>
      </w:r>
      <w:hyperlink r:id="rId45">
        <w:r>
          <w:rPr>
            <w:color w:val="245C8A"/>
            <w:rFonts w:ascii="Liberation Serif" w:hAnsi="Liberation Serif"/>
          </w:rPr>
          <w:t>https://doi.org/10.1145/1707801.1706341</w:t>
        </w:r>
      </w:hyperlink>
    </w:p>
    <w:p>
      <w:pPr>
        <w:spacing w:after="64" w:line="240" w:lineRule="auto"/>
        <w:ind w:left="346" w:hanging="346"/>
      </w:pPr>
      <w:r>
        <w:rPr>
          <w:rFonts w:ascii="Liberation Serif" w:hAnsi="Liberation Serif"/>
          <w:color w:val="1F2937"/>
          <w:sz w:val="17"/>
        </w:rPr>
        <w:t xml:space="preserve">Guha, A., Saftoiu, C., and Krishnamurthi, S. (2010). The essence of JavaScript. Proceedings of ECOOP 2010. </w:t>
      </w:r>
      <w:hyperlink r:id="rId46">
        <w:r>
          <w:rPr>
            <w:color w:val="245C8A"/>
            <w:rFonts w:ascii="Liberation Serif" w:hAnsi="Liberation Serif"/>
          </w:rPr>
          <w:t>https://doi.org/10.1007/978-3-642-14107-2_7</w:t>
        </w:r>
      </w:hyperlink>
    </w:p>
    <w:p>
      <w:pPr>
        <w:spacing w:after="64" w:line="240" w:lineRule="auto"/>
        <w:ind w:left="346" w:hanging="346"/>
      </w:pPr>
      <w:r>
        <w:rPr>
          <w:rFonts w:ascii="Liberation Serif" w:hAnsi="Liberation Serif"/>
          <w:color w:val="1F2937"/>
          <w:sz w:val="17"/>
        </w:rPr>
        <w:t>Gunter, C. A. (1992). Semantics of Programming Languages: Structures and Techniques. MIT Press.</w:t>
      </w:r>
      <w:r>
        <w:rPr>
          <w:rFonts w:ascii="Liberation Serif" w:hAnsi="Liberation Serif"/>
          <w:sz w:val="17"/>
        </w:rPr>
        <w:t xml:space="preserve"> </w:t>
      </w:r>
      <w:hyperlink r:id="rId47">
        <w:r>
          <w:rPr>
            <w:color w:val="245C8A"/>
            <w:rFonts w:ascii="Liberation Serif" w:hAnsi="Liberation Serif"/>
          </w:rPr>
          <w:t>https://mitpress.mit.edu/9780262570954/semantics-of-programming-languages/</w:t>
        </w:r>
      </w:hyperlink>
    </w:p>
    <w:p>
      <w:pPr>
        <w:spacing w:after="64" w:line="240" w:lineRule="auto"/>
        <w:ind w:left="346" w:hanging="346"/>
      </w:pPr>
      <w:r>
        <w:rPr>
          <w:rFonts w:ascii="Liberation Serif" w:hAnsi="Liberation Serif"/>
          <w:color w:val="1F2937"/>
          <w:sz w:val="17"/>
        </w:rPr>
        <w:t xml:space="preserve">Havelund, K., Reger, G., Thoma, D., and Zalinescu, E. (2018). Monitoring events that carry data. In Lectures on Runtime Verification. </w:t>
      </w:r>
      <w:hyperlink r:id="rId48">
        <w:r>
          <w:rPr>
            <w:color w:val="245C8A"/>
            <w:rFonts w:ascii="Liberation Serif" w:hAnsi="Liberation Serif"/>
          </w:rPr>
          <w:t>https://doi.org/10.1007/978-3-319-75632-5_3</w:t>
        </w:r>
      </w:hyperlink>
    </w:p>
    <w:p>
      <w:pPr>
        <w:spacing w:after="64" w:line="240" w:lineRule="auto"/>
        <w:ind w:left="346" w:hanging="346"/>
      </w:pPr>
      <w:r>
        <w:rPr>
          <w:rFonts w:ascii="Liberation Serif" w:hAnsi="Liberation Serif"/>
          <w:color w:val="1F2937"/>
          <w:sz w:val="17"/>
        </w:rPr>
        <w:t xml:space="preserve">Hennessy, M., and Milner, R. (1985). Algebraic laws for nondeterminism and concurrency. Journal of the ACM, 32(1), 137-161. </w:t>
      </w:r>
      <w:hyperlink r:id="rId49">
        <w:r>
          <w:rPr>
            <w:color w:val="245C8A"/>
            <w:rFonts w:ascii="Liberation Serif" w:hAnsi="Liberation Serif"/>
          </w:rPr>
          <w:t>https://doi.org/10.1145/2455.2460</w:t>
        </w:r>
      </w:hyperlink>
    </w:p>
    <w:p>
      <w:pPr>
        <w:spacing w:after="64" w:line="240" w:lineRule="auto"/>
        <w:ind w:left="346" w:hanging="346"/>
      </w:pPr>
      <w:r>
        <w:rPr>
          <w:rFonts w:ascii="Liberation Serif" w:hAnsi="Liberation Serif"/>
          <w:color w:val="1F2937"/>
          <w:sz w:val="17"/>
        </w:rPr>
        <w:t xml:space="preserve">Keil, M., and Thiemann, P. (2015). TreatJS: higher-order contracts for JavaScript. Proceedings of ECOOP 2015. </w:t>
      </w:r>
      <w:hyperlink r:id="rId50">
        <w:r>
          <w:rPr>
            <w:color w:val="245C8A"/>
            <w:rFonts w:ascii="Liberation Serif" w:hAnsi="Liberation Serif"/>
          </w:rPr>
          <w:t>https://doi.org/10.4230/LIPIcs.ECOOP.2015.28</w:t>
        </w:r>
      </w:hyperlink>
    </w:p>
    <w:p>
      <w:pPr>
        <w:spacing w:after="64" w:line="240" w:lineRule="auto"/>
        <w:ind w:left="346" w:hanging="346"/>
      </w:pPr>
      <w:r>
        <w:rPr>
          <w:rFonts w:ascii="Liberation Serif" w:hAnsi="Liberation Serif"/>
          <w:color w:val="1F2937"/>
          <w:sz w:val="17"/>
        </w:rPr>
        <w:t xml:space="preserve">Kiczales, G., Lamping, J., Mendhekar, A., Maeda, C., Lopes, C. V., Loingtier, J.-M., and Irwin, J. (1997). Aspect-oriented programming. Proceedings of ECOOP 1997. </w:t>
      </w:r>
      <w:hyperlink r:id="rId51">
        <w:r>
          <w:rPr>
            <w:color w:val="245C8A"/>
            <w:rFonts w:ascii="Liberation Serif" w:hAnsi="Liberation Serif"/>
          </w:rPr>
          <w:t>https://doi.org/10.1007/BFb0053381</w:t>
        </w:r>
      </w:hyperlink>
    </w:p>
    <w:p>
      <w:pPr>
        <w:spacing w:after="64" w:line="240" w:lineRule="auto"/>
        <w:ind w:left="346" w:hanging="346"/>
      </w:pPr>
      <w:r>
        <w:rPr>
          <w:rFonts w:ascii="Liberation Serif" w:hAnsi="Liberation Serif"/>
          <w:color w:val="1F2937"/>
          <w:sz w:val="17"/>
        </w:rPr>
        <w:t xml:space="preserve">King, J. C. (1976). Symbolic execution and program testing. Communications of the ACM, 19(7), 385-394. </w:t>
      </w:r>
      <w:hyperlink r:id="rId52">
        <w:r>
          <w:rPr>
            <w:color w:val="245C8A"/>
            <w:rFonts w:ascii="Liberation Serif" w:hAnsi="Liberation Serif"/>
          </w:rPr>
          <w:t>https://doi.org/10.1145/360248.360252</w:t>
        </w:r>
      </w:hyperlink>
    </w:p>
    <w:p>
      <w:pPr>
        <w:spacing w:after="64" w:line="240" w:lineRule="auto"/>
        <w:ind w:left="346" w:hanging="346"/>
      </w:pPr>
      <w:r>
        <w:rPr>
          <w:rFonts w:ascii="Liberation Serif" w:hAnsi="Liberation Serif"/>
          <w:color w:val="1F2937"/>
          <w:sz w:val="17"/>
        </w:rPr>
        <w:t xml:space="preserve">Klein, C., Clements, J., Dimoulas, C., Eastlund, C., Felleisen, M., Flatt, M., McCarthy, J. A., Rafkind, J., Tobin-Hochstadt, S., and Findler, R. B. (2012). Run your research: on the effectiveness of lightweight mechanization. Proceedings of POPL 2012. </w:t>
      </w:r>
      <w:hyperlink r:id="rId53">
        <w:r>
          <w:rPr>
            <w:color w:val="245C8A"/>
            <w:rFonts w:ascii="Liberation Serif" w:hAnsi="Liberation Serif"/>
          </w:rPr>
          <w:t>https://doi.org/10.1145/2103656.2103691</w:t>
        </w:r>
      </w:hyperlink>
    </w:p>
    <w:p>
      <w:pPr>
        <w:spacing w:after="64" w:line="240" w:lineRule="auto"/>
        <w:ind w:left="346" w:hanging="346"/>
      </w:pPr>
      <w:r>
        <w:rPr>
          <w:rFonts w:ascii="Liberation Serif" w:hAnsi="Liberation Serif"/>
          <w:color w:val="1F2937"/>
          <w:sz w:val="17"/>
        </w:rPr>
        <w:t xml:space="preserve">Lamport, L. (1978). Time, clocks, and the ordering of events in a distributed system. Communications of the ACM, 21(7), 558-565. </w:t>
      </w:r>
      <w:hyperlink r:id="rId54">
        <w:r>
          <w:rPr>
            <w:color w:val="245C8A"/>
            <w:rFonts w:ascii="Liberation Serif" w:hAnsi="Liberation Serif"/>
          </w:rPr>
          <w:t>https://doi.org/10.1145/359545.359563</w:t>
        </w:r>
      </w:hyperlink>
    </w:p>
    <w:p>
      <w:pPr>
        <w:spacing w:after="64" w:line="240" w:lineRule="auto"/>
        <w:ind w:left="346" w:hanging="346"/>
      </w:pPr>
      <w:r>
        <w:rPr>
          <w:rFonts w:ascii="Liberation Serif" w:hAnsi="Liberation Serif"/>
          <w:color w:val="1F2937"/>
          <w:sz w:val="17"/>
        </w:rPr>
        <w:t xml:space="preserve">Leroy, X. (2009). Formal verification of a realistic compiler. Communications of the ACM, 52(7), 107-115. </w:t>
      </w:r>
      <w:hyperlink r:id="rId55">
        <w:r>
          <w:rPr>
            <w:color w:val="245C8A"/>
            <w:rFonts w:ascii="Liberation Serif" w:hAnsi="Liberation Serif"/>
          </w:rPr>
          <w:t>https://doi.org/10.1145/1538788.1538814</w:t>
        </w:r>
      </w:hyperlink>
    </w:p>
    <w:p>
      <w:pPr>
        <w:spacing w:after="64" w:line="240" w:lineRule="auto"/>
        <w:ind w:left="346" w:hanging="346"/>
      </w:pPr>
      <w:r>
        <w:rPr>
          <w:rFonts w:ascii="Liberation Serif" w:hAnsi="Liberation Serif"/>
          <w:color w:val="1F2937"/>
          <w:sz w:val="17"/>
        </w:rPr>
        <w:t xml:space="preserve">Leucker, M., and Schallhart, C. (2009). A brief account of runtime verification. Journal of Logic and Algebraic Programming, 78(5), 293-303. </w:t>
      </w:r>
      <w:hyperlink r:id="rId56">
        <w:r>
          <w:rPr>
            <w:color w:val="245C8A"/>
            <w:rFonts w:ascii="Liberation Serif" w:hAnsi="Liberation Serif"/>
          </w:rPr>
          <w:t>https://doi.org/10.1016/j.jlap.2008.08.004</w:t>
        </w:r>
      </w:hyperlink>
    </w:p>
    <w:p>
      <w:pPr>
        <w:spacing w:after="64" w:line="240" w:lineRule="auto"/>
        <w:ind w:left="346" w:hanging="346"/>
      </w:pPr>
      <w:r>
        <w:rPr>
          <w:rFonts w:ascii="Liberation Serif" w:hAnsi="Liberation Serif"/>
          <w:color w:val="1F2937"/>
          <w:sz w:val="17"/>
        </w:rPr>
        <w:t xml:space="preserve">Ligatti, J., Bauer, L., and Walker, D. (2005). Edit automata: enforcement mechanisms for run-time security policies. International Journal of Information Security, 4(1-2), 2-16. </w:t>
      </w:r>
      <w:hyperlink r:id="rId57">
        <w:r>
          <w:rPr>
            <w:color w:val="245C8A"/>
            <w:rFonts w:ascii="Liberation Serif" w:hAnsi="Liberation Serif"/>
          </w:rPr>
          <w:t>https://doi.org/10.1007/s10207-004-0046-8</w:t>
        </w:r>
      </w:hyperlink>
    </w:p>
    <w:p>
      <w:pPr>
        <w:spacing w:after="64" w:line="240" w:lineRule="auto"/>
        <w:ind w:left="346" w:hanging="346"/>
      </w:pPr>
      <w:r>
        <w:rPr>
          <w:rFonts w:ascii="Liberation Serif" w:hAnsi="Liberation Serif"/>
          <w:color w:val="1F2937"/>
          <w:sz w:val="17"/>
        </w:rPr>
        <w:t>Linux Kernel Documentation. (2026). eBPF verifier, maps, and program safety documentation.</w:t>
      </w:r>
      <w:r>
        <w:rPr>
          <w:rFonts w:ascii="Liberation Serif" w:hAnsi="Liberation Serif"/>
          <w:sz w:val="17"/>
        </w:rPr>
        <w:t xml:space="preserve"> </w:t>
      </w:r>
      <w:hyperlink r:id="rId58">
        <w:r>
          <w:rPr>
            <w:color w:val="245C8A"/>
            <w:rFonts w:ascii="Liberation Serif" w:hAnsi="Liberation Serif"/>
          </w:rPr>
          <w:t>https://docs.kernel.org/bpf/</w:t>
        </w:r>
      </w:hyperlink>
    </w:p>
    <w:p>
      <w:pPr>
        <w:spacing w:after="64" w:line="240" w:lineRule="auto"/>
        <w:ind w:left="346" w:hanging="346"/>
      </w:pPr>
      <w:r>
        <w:rPr>
          <w:rFonts w:ascii="Liberation Serif" w:hAnsi="Liberation Serif"/>
          <w:color w:val="1F2937"/>
          <w:sz w:val="17"/>
        </w:rPr>
        <w:t xml:space="preserve">Maffeis, S., Mitchell, J. C., and Taly, A. (2008). An operational semantics for JavaScript. Proceedings of APLAS 2008. </w:t>
      </w:r>
      <w:hyperlink r:id="rId59">
        <w:r>
          <w:rPr>
            <w:color w:val="245C8A"/>
            <w:rFonts w:ascii="Liberation Serif" w:hAnsi="Liberation Serif"/>
          </w:rPr>
          <w:t>https://doi.org/10.1007/978-3-540-89330-1_22</w:t>
        </w:r>
      </w:hyperlink>
    </w:p>
    <w:p>
      <w:pPr>
        <w:spacing w:after="64" w:line="240" w:lineRule="auto"/>
        <w:ind w:left="346" w:hanging="346"/>
      </w:pPr>
      <w:r>
        <w:rPr>
          <w:rFonts w:ascii="Liberation Serif" w:hAnsi="Liberation Serif"/>
          <w:color w:val="1F2937"/>
          <w:sz w:val="17"/>
        </w:rPr>
        <w:t>McCanne, S., and Jacobson, V. (1993). The BSD packet filter: a new architecture for user-level packet capture. USENIX Winter Conference.</w:t>
      </w:r>
      <w:r>
        <w:rPr>
          <w:rFonts w:ascii="Liberation Serif" w:hAnsi="Liberation Serif"/>
          <w:sz w:val="17"/>
        </w:rPr>
        <w:t xml:space="preserve"> </w:t>
      </w:r>
      <w:hyperlink r:id="rId60">
        <w:r>
          <w:rPr>
            <w:color w:val="245C8A"/>
            <w:rFonts w:ascii="Liberation Serif" w:hAnsi="Liberation Serif"/>
          </w:rPr>
          <w:t>https://www.tcpdump.org/papers/bpf-usenix93.pdf</w:t>
        </w:r>
      </w:hyperlink>
    </w:p>
    <w:p>
      <w:pPr>
        <w:spacing w:after="64" w:line="240" w:lineRule="auto"/>
        <w:ind w:left="346" w:hanging="346"/>
      </w:pPr>
      <w:r>
        <w:rPr>
          <w:rFonts w:ascii="Liberation Serif" w:hAnsi="Liberation Serif"/>
          <w:color w:val="1F2937"/>
          <w:sz w:val="17"/>
        </w:rPr>
        <w:t xml:space="preserve">Milner, R. (1977). Fully abstract models of typed lambda-calculi. Theoretical Computer Science, 4(1), 1-22. </w:t>
      </w:r>
      <w:hyperlink r:id="rId61">
        <w:r>
          <w:rPr>
            <w:color w:val="245C8A"/>
            <w:rFonts w:ascii="Liberation Serif" w:hAnsi="Liberation Serif"/>
          </w:rPr>
          <w:t>https://doi.org/10.1016/0304-3975(77)90053-6</w:t>
        </w:r>
      </w:hyperlink>
    </w:p>
    <w:p>
      <w:pPr>
        <w:spacing w:after="64" w:line="240" w:lineRule="auto"/>
        <w:ind w:left="346" w:hanging="346"/>
      </w:pPr>
      <w:r>
        <w:rPr>
          <w:rFonts w:ascii="Liberation Serif" w:hAnsi="Liberation Serif"/>
          <w:color w:val="1F2937"/>
          <w:sz w:val="17"/>
        </w:rPr>
        <w:t xml:space="preserve">Moggi, E. (1991). Notions of computation and monads. Information and Computation, 93(1), 55-92. </w:t>
      </w:r>
      <w:hyperlink r:id="rId62">
        <w:r>
          <w:rPr>
            <w:color w:val="245C8A"/>
            <w:rFonts w:ascii="Liberation Serif" w:hAnsi="Liberation Serif"/>
          </w:rPr>
          <w:t>https://doi.org/10.1016/0890-5401(91)90052-4</w:t>
        </w:r>
      </w:hyperlink>
    </w:p>
    <w:p>
      <w:pPr>
        <w:spacing w:after="64" w:line="240" w:lineRule="auto"/>
        <w:ind w:left="346" w:hanging="346"/>
      </w:pPr>
      <w:r>
        <w:rPr>
          <w:rFonts w:ascii="Liberation Serif" w:hAnsi="Liberation Serif"/>
          <w:color w:val="1F2937"/>
          <w:sz w:val="17"/>
        </w:rPr>
        <w:t xml:space="preserve">Morrisett, G., Walker, D., Crary, K., and Glew, N. (1999). From System F to typed assembly language. ACM Transactions on Programming Languages and Systems, 21(3), 527-568. </w:t>
      </w:r>
      <w:hyperlink r:id="rId63">
        <w:r>
          <w:rPr>
            <w:color w:val="245C8A"/>
            <w:rFonts w:ascii="Liberation Serif" w:hAnsi="Liberation Serif"/>
          </w:rPr>
          <w:t>https://doi.org/10.1145/319301.319345</w:t>
        </w:r>
      </w:hyperlink>
    </w:p>
    <w:p>
      <w:pPr>
        <w:spacing w:after="64" w:line="240" w:lineRule="auto"/>
        <w:ind w:left="346" w:hanging="346"/>
      </w:pPr>
      <w:r>
        <w:rPr>
          <w:rFonts w:ascii="Liberation Serif" w:hAnsi="Liberation Serif"/>
          <w:color w:val="1F2937"/>
          <w:sz w:val="17"/>
        </w:rPr>
        <w:t xml:space="preserve">Mousavi, M. R., Reniers, M. A., and Groote, J. F. (2007). SOS formats and meta-theory: 20 years after. Theoretical Computer Science, 373(3), 238-272. </w:t>
      </w:r>
      <w:hyperlink r:id="rId64">
        <w:r>
          <w:rPr>
            <w:color w:val="245C8A"/>
            <w:rFonts w:ascii="Liberation Serif" w:hAnsi="Liberation Serif"/>
          </w:rPr>
          <w:t>https://doi.org/10.1016/j.tcs.2006.12.019</w:t>
        </w:r>
      </w:hyperlink>
    </w:p>
    <w:p>
      <w:pPr>
        <w:spacing w:after="64" w:line="240" w:lineRule="auto"/>
        <w:ind w:left="346" w:hanging="346"/>
      </w:pPr>
      <w:r>
        <w:rPr>
          <w:rFonts w:ascii="Liberation Serif" w:hAnsi="Liberation Serif"/>
          <w:color w:val="1F2937"/>
          <w:sz w:val="17"/>
        </w:rPr>
        <w:t xml:space="preserve">Necula, G. C. (1997). Proof-carrying code. Proceedings of POPL 1997. </w:t>
      </w:r>
      <w:hyperlink r:id="rId65">
        <w:r>
          <w:rPr>
            <w:color w:val="245C8A"/>
            <w:rFonts w:ascii="Liberation Serif" w:hAnsi="Liberation Serif"/>
          </w:rPr>
          <w:t>https://doi.org/10.1145/263699.263712</w:t>
        </w:r>
      </w:hyperlink>
    </w:p>
    <w:p>
      <w:pPr>
        <w:spacing w:after="64" w:line="240" w:lineRule="auto"/>
        <w:ind w:left="346" w:hanging="346"/>
      </w:pPr>
      <w:r>
        <w:rPr>
          <w:rFonts w:ascii="Liberation Serif" w:hAnsi="Liberation Serif"/>
          <w:color w:val="1F2937"/>
          <w:sz w:val="17"/>
        </w:rPr>
        <w:t xml:space="preserve">Nguyen, P. C., Tobin-Hochstadt, S., and Van Horn, D. (2014). Soft contract verification. Proceedings of ICFP 2014. </w:t>
      </w:r>
      <w:hyperlink r:id="rId66">
        <w:r>
          <w:rPr>
            <w:color w:val="245C8A"/>
            <w:rFonts w:ascii="Liberation Serif" w:hAnsi="Liberation Serif"/>
          </w:rPr>
          <w:t>https://doi.org/10.1145/2628136.2628156</w:t>
        </w:r>
      </w:hyperlink>
    </w:p>
    <w:p>
      <w:pPr>
        <w:spacing w:after="64" w:line="240" w:lineRule="auto"/>
        <w:ind w:left="346" w:hanging="346"/>
      </w:pPr>
      <w:r>
        <w:rPr>
          <w:rFonts w:ascii="Liberation Serif" w:hAnsi="Liberation Serif"/>
          <w:color w:val="1F2937"/>
          <w:sz w:val="17"/>
        </w:rPr>
        <w:t xml:space="preserve">Nielson, F., Nielson, H. R., and Hankin, C. (1999). Principles of Program Analysis. Springer. </w:t>
      </w:r>
      <w:hyperlink r:id="rId67">
        <w:r>
          <w:rPr>
            <w:color w:val="245C8A"/>
            <w:rFonts w:ascii="Liberation Serif" w:hAnsi="Liberation Serif"/>
          </w:rPr>
          <w:t>https://doi.org/10.1007/978-3-662-03811-6</w:t>
        </w:r>
      </w:hyperlink>
    </w:p>
    <w:p>
      <w:pPr>
        <w:spacing w:after="64" w:line="240" w:lineRule="auto"/>
        <w:ind w:left="346" w:hanging="346"/>
      </w:pPr>
      <w:r>
        <w:rPr>
          <w:rFonts w:ascii="Liberation Serif" w:hAnsi="Liberation Serif"/>
          <w:color w:val="1F2937"/>
          <w:sz w:val="17"/>
        </w:rPr>
        <w:t xml:space="preserve">Nielson, H. R., and Nielson, F. (2007). Semantics with Applications: An Appetizer. Springer. </w:t>
      </w:r>
      <w:hyperlink r:id="rId68">
        <w:r>
          <w:rPr>
            <w:color w:val="245C8A"/>
            <w:rFonts w:ascii="Liberation Serif" w:hAnsi="Liberation Serif"/>
          </w:rPr>
          <w:t>https://doi.org/10.1007/978-1-84628-692-6</w:t>
        </w:r>
      </w:hyperlink>
    </w:p>
    <w:p>
      <w:pPr>
        <w:spacing w:after="64" w:line="240" w:lineRule="auto"/>
        <w:ind w:left="346" w:hanging="346"/>
      </w:pPr>
      <w:r>
        <w:rPr>
          <w:rFonts w:ascii="Liberation Serif" w:hAnsi="Liberation Serif"/>
          <w:color w:val="1F2937"/>
          <w:sz w:val="17"/>
        </w:rPr>
        <w:t xml:space="preserve">Nimmer, J. W., and Ernst, M. D. (2001). Static verification of dynamically detected program invariants. Electronic Notes in Theoretical Computer Science, 55(2), 255-276. </w:t>
      </w:r>
      <w:hyperlink r:id="rId69">
        <w:r>
          <w:rPr>
            <w:color w:val="245C8A"/>
            <w:rFonts w:ascii="Liberation Serif" w:hAnsi="Liberation Serif"/>
          </w:rPr>
          <w:t>https://doi.org/10.1016/S1571-0661(04)00256-7</w:t>
        </w:r>
      </w:hyperlink>
    </w:p>
    <w:p>
      <w:pPr>
        <w:spacing w:after="64" w:line="240" w:lineRule="auto"/>
        <w:ind w:left="346" w:hanging="346"/>
      </w:pPr>
      <w:r>
        <w:rPr>
          <w:rFonts w:ascii="Liberation Serif" w:hAnsi="Liberation Serif"/>
          <w:color w:val="1F2937"/>
          <w:sz w:val="17"/>
        </w:rPr>
        <w:t xml:space="preserve">Park, D., Stefanescu, A., and Rosu, G. (2015). KJS: a complete formal semantics of JavaScript. Proceedings of PLDI 2015. </w:t>
      </w:r>
      <w:hyperlink r:id="rId70">
        <w:r>
          <w:rPr>
            <w:color w:val="245C8A"/>
            <w:rFonts w:ascii="Liberation Serif" w:hAnsi="Liberation Serif"/>
          </w:rPr>
          <w:t>https://doi.org/10.1145/2737924.2737991</w:t>
        </w:r>
      </w:hyperlink>
    </w:p>
    <w:p>
      <w:pPr>
        <w:spacing w:after="64" w:line="240" w:lineRule="auto"/>
        <w:ind w:left="346" w:hanging="346"/>
      </w:pPr>
      <w:r>
        <w:rPr>
          <w:rFonts w:ascii="Liberation Serif" w:hAnsi="Liberation Serif"/>
          <w:color w:val="1F2937"/>
          <w:sz w:val="17"/>
        </w:rPr>
        <w:t>Pierce, B. C. (2002). Types and Programming Languages. MIT Press.</w:t>
      </w:r>
      <w:r>
        <w:rPr>
          <w:rFonts w:ascii="Liberation Serif" w:hAnsi="Liberation Serif"/>
          <w:sz w:val="17"/>
        </w:rPr>
        <w:t xml:space="preserve"> </w:t>
      </w:r>
      <w:hyperlink r:id="rId71">
        <w:r>
          <w:rPr>
            <w:color w:val="245C8A"/>
            <w:rFonts w:ascii="Liberation Serif" w:hAnsi="Liberation Serif"/>
          </w:rPr>
          <w:t>https://mitpress.mit.edu/9780262162098/types-and-programming-languages/</w:t>
        </w:r>
      </w:hyperlink>
    </w:p>
    <w:p>
      <w:pPr>
        <w:spacing w:after="64" w:line="240" w:lineRule="auto"/>
        <w:ind w:left="346" w:hanging="346"/>
      </w:pPr>
      <w:r>
        <w:rPr>
          <w:rFonts w:ascii="Liberation Serif" w:hAnsi="Liberation Serif"/>
          <w:color w:val="1F2937"/>
          <w:sz w:val="17"/>
        </w:rPr>
        <w:t xml:space="preserve">Pitts, A. M. (1997). Operationally-based theories of program equivalence. In Semantics and Logics of Computation. </w:t>
      </w:r>
      <w:hyperlink r:id="rId72">
        <w:r>
          <w:rPr>
            <w:color w:val="245C8A"/>
            <w:rFonts w:ascii="Liberation Serif" w:hAnsi="Liberation Serif"/>
          </w:rPr>
          <w:t>https://doi.org/10.1017/CBO9780511526619.007</w:t>
        </w:r>
      </w:hyperlink>
    </w:p>
    <w:p>
      <w:pPr>
        <w:spacing w:after="64" w:line="240" w:lineRule="auto"/>
        <w:ind w:left="346" w:hanging="346"/>
      </w:pPr>
      <w:r>
        <w:rPr>
          <w:rFonts w:ascii="Liberation Serif" w:hAnsi="Liberation Serif"/>
          <w:color w:val="1F2937"/>
          <w:sz w:val="17"/>
        </w:rPr>
        <w:t xml:space="preserve">Plotkin, G. D. (1977). LCF considered as a programming language. Theoretical Computer Science, 5(3), 223-255. </w:t>
      </w:r>
      <w:hyperlink r:id="rId73">
        <w:r>
          <w:rPr>
            <w:color w:val="245C8A"/>
            <w:rFonts w:ascii="Liberation Serif" w:hAnsi="Liberation Serif"/>
          </w:rPr>
          <w:t>https://doi.org/10.1016/0304-3975(77)90044-5</w:t>
        </w:r>
      </w:hyperlink>
    </w:p>
    <w:p>
      <w:pPr>
        <w:spacing w:after="64" w:line="240" w:lineRule="auto"/>
        <w:ind w:left="346" w:hanging="346"/>
      </w:pPr>
      <w:r>
        <w:rPr>
          <w:rFonts w:ascii="Liberation Serif" w:hAnsi="Liberation Serif"/>
          <w:color w:val="1F2937"/>
          <w:sz w:val="17"/>
        </w:rPr>
        <w:t xml:space="preserve">Plotkin, G. D. (2004). A structural approach to operational semantics. Journal of Logic and Algebraic Programming, 60-61, 17-139. </w:t>
      </w:r>
      <w:hyperlink r:id="rId74">
        <w:r>
          <w:rPr>
            <w:color w:val="245C8A"/>
            <w:rFonts w:ascii="Liberation Serif" w:hAnsi="Liberation Serif"/>
          </w:rPr>
          <w:t>https://doi.org/10.1016/j.jlap.2004.03.009</w:t>
        </w:r>
      </w:hyperlink>
    </w:p>
    <w:p>
      <w:pPr>
        <w:spacing w:after="64" w:line="240" w:lineRule="auto"/>
        <w:ind w:left="346" w:hanging="346"/>
      </w:pPr>
      <w:r>
        <w:rPr>
          <w:rFonts w:ascii="Liberation Serif" w:hAnsi="Liberation Serif"/>
          <w:color w:val="1F2937"/>
          <w:sz w:val="17"/>
        </w:rPr>
        <w:t xml:space="preserve">Plotkin, G. D., and Power, J. (2003). Algebraic operations and generic effects. Applied Categorical Structures, 11(1), 69-94. </w:t>
      </w:r>
      <w:hyperlink r:id="rId75">
        <w:r>
          <w:rPr>
            <w:color w:val="245C8A"/>
            <w:rFonts w:ascii="Liberation Serif" w:hAnsi="Liberation Serif"/>
          </w:rPr>
          <w:t>https://doi.org/10.1023/A:1023064908962</w:t>
        </w:r>
      </w:hyperlink>
    </w:p>
    <w:p>
      <w:pPr>
        <w:spacing w:after="64" w:line="240" w:lineRule="auto"/>
        <w:ind w:left="346" w:hanging="346"/>
      </w:pPr>
      <w:r>
        <w:rPr>
          <w:rFonts w:ascii="Liberation Serif" w:hAnsi="Liberation Serif"/>
          <w:color w:val="1F2937"/>
          <w:sz w:val="17"/>
        </w:rPr>
        <w:t xml:space="preserve">Plotkin, G. D., and Pretnar, M. (2009). Handlers of algebraic effects. Proceedings of ESOP 2009. </w:t>
      </w:r>
      <w:hyperlink r:id="rId76">
        <w:r>
          <w:rPr>
            <w:color w:val="245C8A"/>
            <w:rFonts w:ascii="Liberation Serif" w:hAnsi="Liberation Serif"/>
          </w:rPr>
          <w:t>https://doi.org/10.1007/978-3-642-00590-9_7</w:t>
        </w:r>
      </w:hyperlink>
    </w:p>
    <w:p>
      <w:pPr>
        <w:spacing w:after="64" w:line="240" w:lineRule="auto"/>
        <w:ind w:left="346" w:hanging="346"/>
      </w:pPr>
      <w:r>
        <w:rPr>
          <w:rFonts w:ascii="Liberation Serif" w:hAnsi="Liberation Serif"/>
          <w:color w:val="1F2937"/>
          <w:sz w:val="17"/>
        </w:rPr>
        <w:t xml:space="preserve">Pnueli, A. (1977). The temporal logic of programs. Proceedings of FOCS 1977. </w:t>
      </w:r>
      <w:hyperlink r:id="rId77">
        <w:r>
          <w:rPr>
            <w:color w:val="245C8A"/>
            <w:rFonts w:ascii="Liberation Serif" w:hAnsi="Liberation Serif"/>
          </w:rPr>
          <w:t>https://doi.org/10.1109/SFCS.1977.32</w:t>
        </w:r>
      </w:hyperlink>
    </w:p>
    <w:p>
      <w:pPr>
        <w:spacing w:after="64" w:line="240" w:lineRule="auto"/>
        <w:ind w:left="346" w:hanging="346"/>
      </w:pPr>
      <w:r>
        <w:rPr>
          <w:rFonts w:ascii="Liberation Serif" w:hAnsi="Liberation Serif"/>
          <w:color w:val="1F2937"/>
          <w:sz w:val="17"/>
        </w:rPr>
        <w:t>Pnueli, A., Siegel, M., and Singerman, E. (1998). Translation validation. Proceedings of TACAS 1998.</w:t>
      </w:r>
      <w:r>
        <w:rPr>
          <w:rFonts w:ascii="Liberation Serif" w:hAnsi="Liberation Serif"/>
          <w:sz w:val="17"/>
        </w:rPr>
        <w:t xml:space="preserve"> </w:t>
      </w:r>
      <w:hyperlink r:id="rId78">
        <w:r>
          <w:rPr>
            <w:color w:val="245C8A"/>
            <w:rFonts w:ascii="Liberation Serif" w:hAnsi="Liberation Serif"/>
          </w:rPr>
          <w:t>https://doi.org/10.1007/BFb0054170</w:t>
        </w:r>
      </w:hyperlink>
    </w:p>
    <w:p>
      <w:pPr>
        <w:spacing w:after="64" w:line="240" w:lineRule="auto"/>
        <w:ind w:left="346" w:hanging="346"/>
      </w:pPr>
      <w:r>
        <w:rPr>
          <w:rFonts w:ascii="Liberation Serif" w:hAnsi="Liberation Serif"/>
          <w:color w:val="1F2937"/>
          <w:sz w:val="17"/>
        </w:rPr>
        <w:t xml:space="preserve">Rosu, G., and Chen, F. (2012). Semantics and algorithms for parametric monitoring. Logical Methods in Computer Science, 8(1:9). </w:t>
      </w:r>
      <w:hyperlink r:id="rId79">
        <w:r>
          <w:rPr>
            <w:color w:val="245C8A"/>
            <w:rFonts w:ascii="Liberation Serif" w:hAnsi="Liberation Serif"/>
          </w:rPr>
          <w:t>https://doi.org/10.2168/LMCS-8(1:9)2012</w:t>
        </w:r>
      </w:hyperlink>
    </w:p>
    <w:p>
      <w:pPr>
        <w:spacing w:after="64" w:line="240" w:lineRule="auto"/>
        <w:ind w:left="346" w:hanging="346"/>
      </w:pPr>
      <w:r>
        <w:rPr>
          <w:rFonts w:ascii="Liberation Serif" w:hAnsi="Liberation Serif"/>
          <w:color w:val="1F2937"/>
          <w:sz w:val="17"/>
        </w:rPr>
        <w:t xml:space="preserve">Rosu, G., and Serbanuta, T. F. (2010). An overview of the K semantic framework. Journal of Logic and Algebraic Programming, 79(6), 397-434. </w:t>
      </w:r>
      <w:hyperlink r:id="rId80">
        <w:r>
          <w:rPr>
            <w:color w:val="245C8A"/>
            <w:rFonts w:ascii="Liberation Serif" w:hAnsi="Liberation Serif"/>
          </w:rPr>
          <w:t>https://doi.org/10.1016/j.jlap.2010.03.012</w:t>
        </w:r>
      </w:hyperlink>
    </w:p>
    <w:p>
      <w:pPr>
        <w:spacing w:after="64" w:line="240" w:lineRule="auto"/>
        <w:ind w:left="346" w:hanging="346"/>
      </w:pPr>
      <w:r>
        <w:rPr>
          <w:rFonts w:ascii="Liberation Serif" w:hAnsi="Liberation Serif"/>
          <w:color w:val="1F2937"/>
          <w:sz w:val="17"/>
        </w:rPr>
        <w:t xml:space="preserve">Sangiorgi, D. (2011). Introduction to Bisimulation and Coinduction. Cambridge University Press. </w:t>
      </w:r>
      <w:hyperlink r:id="rId81">
        <w:r>
          <w:rPr>
            <w:color w:val="245C8A"/>
            <w:rFonts w:ascii="Liberation Serif" w:hAnsi="Liberation Serif"/>
          </w:rPr>
          <w:t>https://doi.org/10.1017/CBO9780511777110</w:t>
        </w:r>
      </w:hyperlink>
    </w:p>
    <w:p>
      <w:pPr>
        <w:spacing w:after="64" w:line="240" w:lineRule="auto"/>
        <w:ind w:left="346" w:hanging="346"/>
      </w:pPr>
      <w:r>
        <w:rPr>
          <w:rFonts w:ascii="Liberation Serif" w:hAnsi="Liberation Serif"/>
          <w:color w:val="1F2937"/>
          <w:sz w:val="17"/>
        </w:rPr>
        <w:t xml:space="preserve">Schneider, F. B. (2000). Enforceable security policies. ACM Transactions on Information and System Security, 3(1), 30-50. </w:t>
      </w:r>
      <w:hyperlink r:id="rId82">
        <w:r>
          <w:rPr>
            <w:color w:val="245C8A"/>
            <w:rFonts w:ascii="Liberation Serif" w:hAnsi="Liberation Serif"/>
          </w:rPr>
          <w:t>https://doi.org/10.1145/353323.353382</w:t>
        </w:r>
      </w:hyperlink>
    </w:p>
    <w:p>
      <w:pPr>
        <w:spacing w:after="64" w:line="240" w:lineRule="auto"/>
        <w:ind w:left="346" w:hanging="346"/>
      </w:pPr>
      <w:r>
        <w:rPr>
          <w:rFonts w:ascii="Liberation Serif" w:hAnsi="Liberation Serif"/>
          <w:color w:val="1F2937"/>
          <w:sz w:val="17"/>
        </w:rPr>
        <w:t xml:space="preserve">Strom, R. E., and Yemini, S. (1986). Typestate: a programming language concept for enhancing software reliability. IEEE Transactions on Software Engineering, 12(1), 157-171. </w:t>
      </w:r>
      <w:hyperlink r:id="rId83">
        <w:r>
          <w:rPr>
            <w:color w:val="245C8A"/>
            <w:rFonts w:ascii="Liberation Serif" w:hAnsi="Liberation Serif"/>
          </w:rPr>
          <w:t>https://doi.org/10.1109/TSE.1986.6312929</w:t>
        </w:r>
      </w:hyperlink>
    </w:p>
    <w:p>
      <w:pPr>
        <w:spacing w:after="64" w:line="240" w:lineRule="auto"/>
        <w:ind w:left="346" w:hanging="346"/>
      </w:pPr>
      <w:r>
        <w:rPr>
          <w:rFonts w:ascii="Liberation Serif" w:hAnsi="Liberation Serif"/>
          <w:color w:val="1F2937"/>
          <w:sz w:val="17"/>
        </w:rPr>
        <w:t xml:space="preserve">Van Horn, D., and Might, M. (2010). Abstracting abstract machines. Proceedings of ICFP 2010. </w:t>
      </w:r>
      <w:hyperlink r:id="rId84">
        <w:r>
          <w:rPr>
            <w:color w:val="245C8A"/>
            <w:rFonts w:ascii="Liberation Serif" w:hAnsi="Liberation Serif"/>
          </w:rPr>
          <w:t>https://doi.org/10.1145/1863543.1863553</w:t>
        </w:r>
      </w:hyperlink>
    </w:p>
    <w:p>
      <w:pPr>
        <w:spacing w:after="64" w:line="240" w:lineRule="auto"/>
        <w:ind w:left="346" w:hanging="346"/>
      </w:pPr>
      <w:r>
        <w:rPr>
          <w:rFonts w:ascii="Liberation Serif" w:hAnsi="Liberation Serif"/>
          <w:color w:val="1F2937"/>
          <w:sz w:val="17"/>
        </w:rPr>
        <w:t>Vardi, M. Y., and Wolper, P. (1986). An automata-theoretic approach to automatic program verification. Proceedings of LICS 1986.</w:t>
      </w:r>
      <w:r>
        <w:rPr>
          <w:rFonts w:ascii="Liberation Serif" w:hAnsi="Liberation Serif"/>
          <w:sz w:val="17"/>
        </w:rPr>
        <w:t xml:space="preserve"> </w:t>
      </w:r>
      <w:hyperlink r:id="rId85">
        <w:r>
          <w:rPr>
            <w:color w:val="245C8A"/>
            <w:rFonts w:ascii="Liberation Serif" w:hAnsi="Liberation Serif"/>
          </w:rPr>
          <w:t>https://www.cs.rice.edu/~vardi/papers/lics86rj.pdf</w:t>
        </w:r>
      </w:hyperlink>
    </w:p>
    <w:p>
      <w:pPr>
        <w:spacing w:after="64" w:line="240" w:lineRule="auto"/>
        <w:ind w:left="346" w:hanging="346"/>
      </w:pPr>
      <w:r>
        <w:rPr>
          <w:rFonts w:ascii="Liberation Serif" w:hAnsi="Liberation Serif"/>
          <w:color w:val="1F2937"/>
          <w:sz w:val="17"/>
        </w:rPr>
        <w:t xml:space="preserve">Wahbe, R., Lucco, S., Anderson, T. E., and Graham, S. L. (1993). Efficient software-based fault isolation. Proceedings of SOSP 1993. </w:t>
      </w:r>
      <w:hyperlink r:id="rId86">
        <w:r>
          <w:rPr>
            <w:color w:val="245C8A"/>
            <w:rFonts w:ascii="Liberation Serif" w:hAnsi="Liberation Serif"/>
          </w:rPr>
          <w:t>https://doi.org/10.1145/168619.168635</w:t>
        </w:r>
      </w:hyperlink>
    </w:p>
    <w:p>
      <w:pPr>
        <w:spacing w:after="64" w:line="240" w:lineRule="auto"/>
        <w:ind w:left="346" w:hanging="346"/>
      </w:pPr>
      <w:r>
        <w:rPr>
          <w:rFonts w:ascii="Liberation Serif" w:hAnsi="Liberation Serif"/>
          <w:color w:val="1F2937"/>
          <w:sz w:val="17"/>
        </w:rPr>
        <w:t xml:space="preserve">Winskel, G. (1986). Event structures. University of Cambridge Computer Laboratory Technical Report UCAM-CL-TR-95. </w:t>
      </w:r>
      <w:hyperlink r:id="rId87">
        <w:r>
          <w:rPr>
            <w:color w:val="245C8A"/>
            <w:rFonts w:ascii="Liberation Serif" w:hAnsi="Liberation Serif"/>
          </w:rPr>
          <w:t>https://doi.org/10.48456/tr-95</w:t>
        </w:r>
      </w:hyperlink>
    </w:p>
    <w:p>
      <w:pPr>
        <w:spacing w:after="64" w:line="240" w:lineRule="auto"/>
        <w:ind w:left="346" w:hanging="346"/>
      </w:pPr>
      <w:r>
        <w:rPr>
          <w:rFonts w:ascii="Liberation Serif" w:hAnsi="Liberation Serif"/>
          <w:color w:val="1F2937"/>
          <w:sz w:val="17"/>
        </w:rPr>
        <w:t>Winskel, G. (1993). The Formal Semantics of Programming Languages: An Introduction. MIT Press.</w:t>
      </w:r>
      <w:r>
        <w:rPr>
          <w:rFonts w:ascii="Liberation Serif" w:hAnsi="Liberation Serif"/>
          <w:sz w:val="17"/>
        </w:rPr>
        <w:t xml:space="preserve"> </w:t>
      </w:r>
      <w:hyperlink r:id="rId88">
        <w:r>
          <w:rPr>
            <w:color w:val="245C8A"/>
            <w:rFonts w:ascii="Liberation Serif" w:hAnsi="Liberation Serif"/>
          </w:rPr>
          <w:t>https://mitpress.mit.edu/9780262731034/the-formal-semantics-of-programming-languages/</w:t>
        </w:r>
      </w:hyperlink>
    </w:p>
    <w:p>
      <w:pPr>
        <w:spacing w:after="64" w:line="240" w:lineRule="auto"/>
        <w:ind w:left="346" w:hanging="346"/>
      </w:pPr>
      <w:r>
        <w:rPr>
          <w:rFonts w:ascii="Liberation Serif" w:hAnsi="Liberation Serif"/>
          <w:color w:val="1F2937"/>
          <w:sz w:val="17"/>
        </w:rPr>
        <w:t xml:space="preserve">Xia, L.-Y., Zakowski, Y., He, P., Hur, C.-K., Malecha, G., Pierce, B. C., and Zdancewic, S. (2020). Interaction trees: representing recursive and impure programs in Coq. Proceedings of the ACM on Programming Languages, 4(POPL), Article 51. </w:t>
      </w:r>
      <w:hyperlink r:id="rId89">
        <w:r>
          <w:rPr>
            <w:color w:val="245C8A"/>
            <w:rFonts w:ascii="Liberation Serif" w:hAnsi="Liberation Serif"/>
          </w:rPr>
          <w:t>https://doi.org/10.1145/3371119</w:t>
        </w:r>
      </w:hyperlink>
    </w:p>
    <w:sectPr>
      <w:headerReference w:type="default" r:id="rId9"/>
      <w:footerReference w:type="default" r:id="rId10"/>
      <w:pgSz w:w="12240" w:h="15840"/>
      <w:pgMar w:top="1037" w:right="1123" w:bottom="979" w:left="1123" w:header="403"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586474"/>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b/>
        <w:color w:val="586474"/>
        <w:sz w:val="15"/>
      </w:rPr>
      <w:t>VERIFIED SEMANTIC PROBES FOR JAVASCRIPT INTERPRETERS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Liberation Serif" w:hAnsi="Liberation Serif"/>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Liberation Sans" w:hAnsi="Liberation Sans"/>
      <w:b/>
      <w:bCs/>
      <w:color w:val="193E5D"/>
      <w:sz w:val="40"/>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Liberation Sans" w:hAnsi="Liberation Sans"/>
      <w:b/>
      <w:bCs/>
      <w:color w:val="193E5D"/>
      <w:sz w:val="30"/>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Liberation Sans" w:hAnsi="Liberation Sans"/>
      <w:b/>
      <w:bCs/>
      <w:color w:val="245C8A"/>
      <w:sz w:val="23"/>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Theme="majorHAnsi" w:eastAsiaTheme="majorEastAsia" w:hAnsiTheme="majorHAnsi" w:cstheme="majorBidi" w:ascii="Liberation Sans" w:hAnsi="Liberation Sans"/>
      <w:b/>
      <w:bCs/>
      <w:i/>
      <w:iCs/>
      <w:color w:val="193E5D"/>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Liberation Sans" w:hAnsi="Liberation Sans"/>
      <w:b/>
      <w:color w:val="193E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Liberation Sans" w:hAnsi="Liberation Sans"/>
      <w:b/>
      <w:i/>
      <w:iCs/>
      <w:color w:val="586474"/>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CapsLabel">
    <w:name w:val="Small Caps Label"/>
    <w:pPr>
      <w:spacing w:after="80"/>
    </w:pPr>
    <w:rPr>
      <w:rFonts w:ascii="Liberation Sans" w:hAnsi="Liberation Sans"/>
      <w:b/>
      <w:color w:val="245C8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hyperlink" Target="https://doi.org/10.1016/0020-0190(85)90056-0" TargetMode="External"/><Relationship Id="rId20" Type="http://schemas.openxmlformats.org/officeDocument/2006/relationships/hyperlink" Target="https://doi.org/10.1007/978-3-319-75632-5" TargetMode="External"/><Relationship Id="rId21" Type="http://schemas.openxmlformats.org/officeDocument/2006/relationships/hyperlink" Target="https://doi.org/10.1093/logcom/exn075" TargetMode="External"/><Relationship Id="rId22" Type="http://schemas.openxmlformats.org/officeDocument/2006/relationships/hyperlink" Target="https://doi.org/10.1145/2000799.2000800" TargetMode="External"/><Relationship Id="rId23" Type="http://schemas.openxmlformats.org/officeDocument/2006/relationships/hyperlink" Target="https://doi.org/10.1145/2535838.2535876" TargetMode="External"/><Relationship Id="rId24" Type="http://schemas.openxmlformats.org/officeDocument/2006/relationships/hyperlink" Target="https://www.usenix.org/legacy/publications/library/proceedings/usenix04/tech/general/cantrill.html" TargetMode="External"/><Relationship Id="rId25" Type="http://schemas.openxmlformats.org/officeDocument/2006/relationships/hyperlink" Target="https://doi.org/10.1145/3184558.3185969" TargetMode="External"/><Relationship Id="rId26" Type="http://schemas.openxmlformats.org/officeDocument/2006/relationships/hyperlink" Target="https://doi.org/10.1016/S1571-0661(04)81045-4" TargetMode="External"/><Relationship Id="rId27" Type="http://schemas.openxmlformats.org/officeDocument/2006/relationships/hyperlink" Target="https://doi.org/10.1145/1297027.1297069" TargetMode="External"/><Relationship Id="rId28" Type="http://schemas.openxmlformats.org/officeDocument/2006/relationships/hyperlink" Target="https://doi.org/10.1145/351240.351266" TargetMode="External"/><Relationship Id="rId29" Type="http://schemas.openxmlformats.org/officeDocument/2006/relationships/hyperlink" Target="https://doi.org/10.1007/10722167_15" TargetMode="External"/><Relationship Id="rId30" Type="http://schemas.openxmlformats.org/officeDocument/2006/relationships/hyperlink" Target="https://doi.org/10.3233/JCS-2009-0393" TargetMode="External"/><Relationship Id="rId31" Type="http://schemas.openxmlformats.org/officeDocument/2006/relationships/hyperlink" Target="https://doi.org/10.1007/978-3-642-54792-8_15" TargetMode="External"/><Relationship Id="rId32" Type="http://schemas.openxmlformats.org/officeDocument/2006/relationships/hyperlink" Target="https://mitpress.mit.edu/9780262044905/principles-of-abstract-interpretation/" TargetMode="External"/><Relationship Id="rId33" Type="http://schemas.openxmlformats.org/officeDocument/2006/relationships/hyperlink" Target="https://doi.org/10.1145/512950.512973" TargetMode="External"/><Relationship Id="rId34" Type="http://schemas.openxmlformats.org/officeDocument/2006/relationships/hyperlink" Target="https://www.ijcai.org/Proceedings/13/Papers/099.pdf" TargetMode="External"/><Relationship Id="rId35" Type="http://schemas.openxmlformats.org/officeDocument/2006/relationships/hyperlink" Target="https://github.com/dop251/goja/tree/0fc1d42c1dc933899bb84267b06e3f64b6c899ef" TargetMode="External"/><Relationship Id="rId36" Type="http://schemas.openxmlformats.org/officeDocument/2006/relationships/hyperlink" Target="https://tc39.es/ecma262/2026/" TargetMode="External"/><Relationship Id="rId37" Type="http://schemas.openxmlformats.org/officeDocument/2006/relationships/hyperlink" Target="https://doi.org/10.1109/32.908957" TargetMode="External"/><Relationship Id="rId38" Type="http://schemas.openxmlformats.org/officeDocument/2006/relationships/hyperlink" Target="https://doi.org/10.1016/j.scico.2007.01.015" TargetMode="External"/><Relationship Id="rId39" Type="http://schemas.openxmlformats.org/officeDocument/2006/relationships/hyperlink" Target="https://mitpress.mit.edu/9780262062756/semantics-engineering-with-plt-redex/" TargetMode="External"/><Relationship Id="rId40" Type="http://schemas.openxmlformats.org/officeDocument/2006/relationships/hyperlink" Target="https://doi.org/10.1145/581478.581484" TargetMode="External"/><Relationship Id="rId41" Type="http://schemas.openxmlformats.org/officeDocument/2006/relationships/hyperlink" Target="https://doi.org/10.1007/978-3-319-67531-2_12" TargetMode="External"/><Relationship Id="rId42" Type="http://schemas.openxmlformats.org/officeDocument/2006/relationships/hyperlink" Target="https://doi.org/10.1145/1111037.1111059" TargetMode="External"/><Relationship Id="rId43" Type="http://schemas.openxmlformats.org/officeDocument/2006/relationships/hyperlink" Target="https://doi.org/10.1145/2103656.2103663" TargetMode="External"/><Relationship Id="rId44" Type="http://schemas.openxmlformats.org/officeDocument/2006/relationships/hyperlink" Target="https://github.com/go-go-golems/go-go-goja/tree/ae413f594d0ed4e36123ac925e195666e0f0e759" TargetMode="External"/><Relationship Id="rId45" Type="http://schemas.openxmlformats.org/officeDocument/2006/relationships/hyperlink" Target="https://doi.org/10.1145/1707801.1706341" TargetMode="External"/><Relationship Id="rId46" Type="http://schemas.openxmlformats.org/officeDocument/2006/relationships/hyperlink" Target="https://doi.org/10.1007/978-3-642-14107-2_7" TargetMode="External"/><Relationship Id="rId47" Type="http://schemas.openxmlformats.org/officeDocument/2006/relationships/hyperlink" Target="https://mitpress.mit.edu/9780262570954/semantics-of-programming-languages/" TargetMode="External"/><Relationship Id="rId48" Type="http://schemas.openxmlformats.org/officeDocument/2006/relationships/hyperlink" Target="https://doi.org/10.1007/978-3-319-75632-5_3" TargetMode="External"/><Relationship Id="rId49" Type="http://schemas.openxmlformats.org/officeDocument/2006/relationships/hyperlink" Target="https://doi.org/10.1145/2455.2460" TargetMode="External"/><Relationship Id="rId50" Type="http://schemas.openxmlformats.org/officeDocument/2006/relationships/hyperlink" Target="https://doi.org/10.4230/LIPIcs.ECOOP.2015.28" TargetMode="External"/><Relationship Id="rId51" Type="http://schemas.openxmlformats.org/officeDocument/2006/relationships/hyperlink" Target="https://doi.org/10.1007/BFb0053381" TargetMode="External"/><Relationship Id="rId52" Type="http://schemas.openxmlformats.org/officeDocument/2006/relationships/hyperlink" Target="https://doi.org/10.1145/360248.360252" TargetMode="External"/><Relationship Id="rId53" Type="http://schemas.openxmlformats.org/officeDocument/2006/relationships/hyperlink" Target="https://doi.org/10.1145/2103656.2103691" TargetMode="External"/><Relationship Id="rId54" Type="http://schemas.openxmlformats.org/officeDocument/2006/relationships/hyperlink" Target="https://doi.org/10.1145/359545.359563" TargetMode="External"/><Relationship Id="rId55" Type="http://schemas.openxmlformats.org/officeDocument/2006/relationships/hyperlink" Target="https://doi.org/10.1145/1538788.1538814" TargetMode="External"/><Relationship Id="rId56" Type="http://schemas.openxmlformats.org/officeDocument/2006/relationships/hyperlink" Target="https://doi.org/10.1016/j.jlap.2008.08.004" TargetMode="External"/><Relationship Id="rId57" Type="http://schemas.openxmlformats.org/officeDocument/2006/relationships/hyperlink" Target="https://doi.org/10.1007/s10207-004-0046-8" TargetMode="External"/><Relationship Id="rId58" Type="http://schemas.openxmlformats.org/officeDocument/2006/relationships/hyperlink" Target="https://docs.kernel.org/bpf/" TargetMode="External"/><Relationship Id="rId59" Type="http://schemas.openxmlformats.org/officeDocument/2006/relationships/hyperlink" Target="https://doi.org/10.1007/978-3-540-89330-1_22" TargetMode="External"/><Relationship Id="rId60" Type="http://schemas.openxmlformats.org/officeDocument/2006/relationships/hyperlink" Target="https://www.tcpdump.org/papers/bpf-usenix93.pdf" TargetMode="External"/><Relationship Id="rId61" Type="http://schemas.openxmlformats.org/officeDocument/2006/relationships/hyperlink" Target="https://doi.org/10.1016/0304-3975(77)90053-6" TargetMode="External"/><Relationship Id="rId62" Type="http://schemas.openxmlformats.org/officeDocument/2006/relationships/hyperlink" Target="https://doi.org/10.1016/0890-5401(91)90052-4" TargetMode="External"/><Relationship Id="rId63" Type="http://schemas.openxmlformats.org/officeDocument/2006/relationships/hyperlink" Target="https://doi.org/10.1145/319301.319345" TargetMode="External"/><Relationship Id="rId64" Type="http://schemas.openxmlformats.org/officeDocument/2006/relationships/hyperlink" Target="https://doi.org/10.1016/j.tcs.2006.12.019" TargetMode="External"/><Relationship Id="rId65" Type="http://schemas.openxmlformats.org/officeDocument/2006/relationships/hyperlink" Target="https://doi.org/10.1145/263699.263712" TargetMode="External"/><Relationship Id="rId66" Type="http://schemas.openxmlformats.org/officeDocument/2006/relationships/hyperlink" Target="https://doi.org/10.1145/2628136.2628156" TargetMode="External"/><Relationship Id="rId67" Type="http://schemas.openxmlformats.org/officeDocument/2006/relationships/hyperlink" Target="https://doi.org/10.1007/978-3-662-03811-6" TargetMode="External"/><Relationship Id="rId68" Type="http://schemas.openxmlformats.org/officeDocument/2006/relationships/hyperlink" Target="https://doi.org/10.1007/978-1-84628-692-6" TargetMode="External"/><Relationship Id="rId69" Type="http://schemas.openxmlformats.org/officeDocument/2006/relationships/hyperlink" Target="https://doi.org/10.1016/S1571-0661(04)00256-7" TargetMode="External"/><Relationship Id="rId70" Type="http://schemas.openxmlformats.org/officeDocument/2006/relationships/hyperlink" Target="https://doi.org/10.1145/2737924.2737991" TargetMode="External"/><Relationship Id="rId71" Type="http://schemas.openxmlformats.org/officeDocument/2006/relationships/hyperlink" Target="https://mitpress.mit.edu/9780262162098/types-and-programming-languages/" TargetMode="External"/><Relationship Id="rId72" Type="http://schemas.openxmlformats.org/officeDocument/2006/relationships/hyperlink" Target="https://doi.org/10.1017/CBO9780511526619.007" TargetMode="External"/><Relationship Id="rId73" Type="http://schemas.openxmlformats.org/officeDocument/2006/relationships/hyperlink" Target="https://doi.org/10.1016/0304-3975(77)90044-5" TargetMode="External"/><Relationship Id="rId74" Type="http://schemas.openxmlformats.org/officeDocument/2006/relationships/hyperlink" Target="https://doi.org/10.1016/j.jlap.2004.03.009" TargetMode="External"/><Relationship Id="rId75" Type="http://schemas.openxmlformats.org/officeDocument/2006/relationships/hyperlink" Target="https://doi.org/10.1023/A:1023064908962" TargetMode="External"/><Relationship Id="rId76" Type="http://schemas.openxmlformats.org/officeDocument/2006/relationships/hyperlink" Target="https://doi.org/10.1007/978-3-642-00590-9_7" TargetMode="External"/><Relationship Id="rId77" Type="http://schemas.openxmlformats.org/officeDocument/2006/relationships/hyperlink" Target="https://doi.org/10.1109/SFCS.1977.32" TargetMode="External"/><Relationship Id="rId78" Type="http://schemas.openxmlformats.org/officeDocument/2006/relationships/hyperlink" Target="https://doi.org/10.1007/BFb0054170" TargetMode="External"/><Relationship Id="rId79" Type="http://schemas.openxmlformats.org/officeDocument/2006/relationships/hyperlink" Target="https://doi.org/10.2168/LMCS-8(1:9)2012" TargetMode="External"/><Relationship Id="rId80" Type="http://schemas.openxmlformats.org/officeDocument/2006/relationships/hyperlink" Target="https://doi.org/10.1016/j.jlap.2010.03.012" TargetMode="External"/><Relationship Id="rId81" Type="http://schemas.openxmlformats.org/officeDocument/2006/relationships/hyperlink" Target="https://doi.org/10.1017/CBO9780511777110" TargetMode="External"/><Relationship Id="rId82" Type="http://schemas.openxmlformats.org/officeDocument/2006/relationships/hyperlink" Target="https://doi.org/10.1145/353323.353382" TargetMode="External"/><Relationship Id="rId83" Type="http://schemas.openxmlformats.org/officeDocument/2006/relationships/hyperlink" Target="https://doi.org/10.1109/TSE.1986.6312929" TargetMode="External"/><Relationship Id="rId84" Type="http://schemas.openxmlformats.org/officeDocument/2006/relationships/hyperlink" Target="https://doi.org/10.1145/1863543.1863553" TargetMode="External"/><Relationship Id="rId85" Type="http://schemas.openxmlformats.org/officeDocument/2006/relationships/hyperlink" Target="https://www.cs.rice.edu/~vardi/papers/lics86rj.pdf" TargetMode="External"/><Relationship Id="rId86" Type="http://schemas.openxmlformats.org/officeDocument/2006/relationships/hyperlink" Target="https://doi.org/10.1145/168619.168635" TargetMode="External"/><Relationship Id="rId87" Type="http://schemas.openxmlformats.org/officeDocument/2006/relationships/hyperlink" Target="https://doi.org/10.48456/tr-95" TargetMode="External"/><Relationship Id="rId88" Type="http://schemas.openxmlformats.org/officeDocument/2006/relationships/hyperlink" Target="https://mitpress.mit.edu/9780262731034/the-formal-semantics-of-programming-languages/" TargetMode="External"/><Relationship Id="rId89" Type="http://schemas.openxmlformats.org/officeDocument/2006/relationships/hyperlink" Target="https://doi.org/10.1145/33711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Verified Semantic Probes for JavaScript Interpreters</dc:title>
  <dc:subject>Operational and denotational semantics, runtime verification, static analysis, and goja instrumentation</dc:subject>
  <dc:creator/>
  <cp:keywords>goja, JavaScript, operational semantics, denotational semantics, runtime verification, eBPF, probes, abstract interpretation</cp:keywords>
  <dc:description>Research synthesis and technical design document, July 2026.</dc:description>
  <cp:lastModifiedBy/>
  <cp:revision>1</cp:revision>
  <dcterms:created xsi:type="dcterms:W3CDTF">2013-12-23T23:15:00Z</dcterms:created>
  <dcterms:modified xsi:type="dcterms:W3CDTF">2013-12-23T23:15:00Z</dcterms:modified>
  <cp:category/>
</cp:coreProperties>
</file>