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Lato" w:hAnsi="Lato" w:eastAsia="Lato" w:cs="Lato"/>
          <w:b/>
          <w:color w:val="1F6D6B"/>
          <w:sz w:val="19"/>
        </w:rPr>
        <w:t>INTERPRETER / COMPILER DESIGN STUDY</w:t>
      </w:r>
    </w:p>
    <w:p>
      <w:pPr>
        <w:spacing w:before="80" w:after="560"/>
        <w:pBdr>
          <w:bottom w:val="single" w:sz="18" w:space="0" w:color="1F6D6B"/>
        </w:pBdr>
      </w:pPr>
    </w:p>
    <w:p>
      <w:pPr>
        <w:pStyle w:val="Title"/>
        <w:keepNext/>
      </w:pPr>
      <w:r>
        <w:t>Malleable JavaScript</w:t>
        <w:br/>
        <w:t>for Assurance-Oriented Systems</w:t>
      </w:r>
    </w:p>
    <w:p>
      <w:pPr>
        <w:pStyle w:val="Subtitle"/>
      </w:pPr>
      <w:r>
        <w:t>How Interpreter and Compiler Control Could Evolve Tiny-IDP</w:t>
        <w:br/>
        <w:t>into a Reusable, Verifiable Plugin Platform</w:t>
      </w:r>
    </w:p>
    <w:p>
      <w:pPr>
        <w:spacing w:before="280"/>
      </w:pPr>
      <w:r>
        <w:rPr>
          <w:rFonts w:ascii="Noto Serif" w:hAnsi="Noto Serif" w:eastAsia="Noto Serif" w:cs="Noto Serif"/>
          <w:i/>
          <w:color w:val="52606D"/>
          <w:sz w:val="22"/>
        </w:rPr>
        <w:t>A source-grounded architecture report and research roadmap</w:t>
      </w:r>
    </w:p>
    <w:tbl>
      <w:tblPr>
        <w:tblW w:type="auto" w:w="0"/>
        <w:jc w:val="left"/>
        <w:tblLayout w:type="fixed"/>
        <w:tblLook w:firstColumn="1" w:firstRow="1" w:lastColumn="0" w:lastRow="0" w:noHBand="0" w:noVBand="1" w:val="04A0"/>
        <w:tblBorders>
          <w:top w:val="single" w:sz="6" w:space="0" w:color="9FB5C5"/>
          <w:left w:val="single" w:sz="6" w:space="0" w:color="9FB5C5"/>
          <w:bottom w:val="single" w:sz="6" w:space="0" w:color="9FB5C5"/>
          <w:right w:val="single" w:sz="6" w:space="0" w:color="9FB5C5"/>
          <w:insideH w:val="single" w:sz="6" w:space="0" w:color="9FB5C5"/>
          <w:insideV w:val="single" w:sz="6" w:space="0" w:color="9FB5C5"/>
        </w:tblBorders>
      </w:tblPr>
      <w:tblGrid>
        <w:gridCol w:w="9936"/>
      </w:tblGrid>
      <w:tr>
        <w:tc>
          <w:tcPr>
            <w:tcW w:type="dxa" w:w="9720"/>
            <w:shd w:fill="EAF0F5" w:val="clear"/>
            <w:tcMar>
              <w:top w:w="170" w:type="dxa"/>
              <w:start w:w="180" w:type="dxa"/>
              <w:bottom w:w="170" w:type="dxa"/>
              <w:end w:w="180" w:type="dxa"/>
            </w:tcMar>
          </w:tcPr>
          <w:p>
            <w:pPr>
              <w:spacing w:after="80"/>
            </w:pPr>
            <w:r>
              <w:rPr>
                <w:rFonts w:ascii="Lato" w:hAnsi="Lato" w:eastAsia="Lato" w:cs="Lato"/>
                <w:b/>
                <w:color w:val="1F6D6B"/>
                <w:sz w:val="17"/>
              </w:rPr>
              <w:t>CORE RECOMMENDATION</w:t>
            </w:r>
          </w:p>
          <w:p>
            <w:pPr>
              <w:spacing w:after="0"/>
            </w:pPr>
            <w:r>
              <w:rPr>
                <w:rFonts w:ascii="Noto Serif" w:hAnsi="Noto Serif" w:eastAsia="Noto Serif" w:cs="Noto Serif"/>
                <w:color w:val="202733"/>
                <w:sz w:val="20"/>
              </w:rPr>
              <w:t>Build a JavaScript-compatible effect-aware front end and a small, canonical semantic IR; add narrow Goja VM instrumentation only for guarantees unavailable above the VM; do not persist VM frames and do not begin with a new full JavaScript engine.</w:t>
            </w:r>
          </w:p>
        </w:tc>
      </w:tr>
    </w:tbl>
    <w:p>
      <w:pPr>
        <w:spacing w:before="600"/>
      </w:pPr>
      <w:r>
        <w:rPr>
          <w:rFonts w:ascii="Lato" w:hAnsi="Lato" w:eastAsia="Lato" w:cs="Lato"/>
          <w:b/>
          <w:color w:val="52606D"/>
          <w:sz w:val="16"/>
        </w:rPr>
        <w:t>SOURCE SNAPSHOT</w:t>
      </w:r>
    </w:p>
    <w:p>
      <w:pPr>
        <w:spacing w:after="40"/>
      </w:pPr>
      <w:r>
        <w:rPr>
          <w:rFonts w:ascii="DejaVu Sans Mono" w:hAnsi="DejaVu Sans Mono" w:eastAsia="DejaVu Sans Mono" w:cs="DejaVu Sans Mono"/>
          <w:color w:val="202733"/>
          <w:sz w:val="16"/>
        </w:rPr>
        <w:t>Tiny-IDP branch task/prod-tiny-idp at d164ae59408bdd8bc21516274b446339b1761b1e</w:t>
      </w:r>
    </w:p>
    <w:p>
      <w:pPr>
        <w:spacing w:after="40"/>
      </w:pPr>
      <w:r>
        <w:rPr>
          <w:rFonts w:ascii="DejaVu Sans Mono" w:hAnsi="DejaVu Sans Mono" w:eastAsia="DejaVu Sans Mono" w:cs="DejaVu Sans Mono"/>
          <w:color w:val="202733"/>
          <w:sz w:val="16"/>
        </w:rPr>
        <w:t>Goja at af2ceb9156d7feaff65273b8bfde778077fb4b7e</w:t>
      </w:r>
    </w:p>
    <w:p>
      <w:r>
        <w:rPr>
          <w:rFonts w:ascii="Lato" w:hAnsi="Lato" w:eastAsia="Lato" w:cs="Lato"/>
          <w:color w:val="52606D"/>
          <w:sz w:val="16"/>
        </w:rPr>
        <w:t>Research current through 2026-07-20</w:t>
      </w:r>
    </w:p>
    <w:p>
      <w:pPr>
        <w:sectPr>
          <w:pgSz w:w="12240" w:h="15840"/>
          <w:pgMar w:top="1080" w:right="1152" w:bottom="936" w:left="1152" w:header="360" w:footer="432" w:gutter="0"/>
          <w:cols w:space="720"/>
          <w:titlePg/>
          <w:docGrid w:linePitch="360"/>
        </w:sectPr>
      </w:pPr>
    </w:p>
    <w:p>
      <w:bookmarkStart w:id="1" w:name="contents"/>
      <w:pPr>
        <w:pStyle w:val="Heading1"/>
        <w:pageBreakBefore w:val="0"/>
      </w:pPr>
      <w:r>
        <w:t>Contents</w:t>
      </w:r>
      <w:bookmarkEnd w:id="1"/>
    </w:p>
    <w:p>
      <w:pPr>
        <w:spacing w:after="160"/>
      </w:pPr>
      <w:r>
        <w:t>The entries below link to the principal sections. The report uses stable source and semantic terminology throughout; the glossary is in Appendix E.</w:t>
      </w:r>
    </w:p>
    <w:p>
      <w:pPr>
        <w:spacing w:after="22" w:line="240" w:lineRule="auto" w:before="90"/>
        <w:ind w:left="0"/>
      </w:pPr>
      <w:hyperlink w:anchor="sec_001">
        <w:r>
          <w:rPr>
            <w:rFonts w:ascii="Lato" w:hAnsi="Lato" w:eastAsia="Lato" w:cs="Lato"/>
            <w:color w:val="17365D"/>
            <w:b/>
            <w:sz w:val="18"/>
            <w:szCs w:val="18"/>
          </w:rPr>
          <w:t>Scope, terminology, and source snapshot</w:t>
        </w:r>
      </w:hyperlink>
    </w:p>
    <w:p>
      <w:pPr>
        <w:spacing w:after="22" w:line="240" w:lineRule="auto" w:before="90"/>
        <w:ind w:left="0"/>
      </w:pPr>
      <w:hyperlink w:anchor="sec_002">
        <w:r>
          <w:rPr>
            <w:rFonts w:ascii="Lato" w:hAnsi="Lato" w:eastAsia="Lato" w:cs="Lato"/>
            <w:color w:val="17365D"/>
            <w:b/>
            <w:sz w:val="18"/>
            <w:szCs w:val="18"/>
          </w:rPr>
          <w:t>Abstract</w:t>
        </w:r>
      </w:hyperlink>
    </w:p>
    <w:p>
      <w:pPr>
        <w:spacing w:after="22" w:line="240" w:lineRule="auto" w:before="90"/>
        <w:ind w:left="0"/>
      </w:pPr>
      <w:hyperlink w:anchor="sec_003">
        <w:r>
          <w:rPr>
            <w:rFonts w:ascii="Lato" w:hAnsi="Lato" w:eastAsia="Lato" w:cs="Lato"/>
            <w:color w:val="17365D"/>
            <w:b/>
            <w:sz w:val="18"/>
            <w:szCs w:val="18"/>
          </w:rPr>
          <w:t>Executive synthesis</w:t>
        </w:r>
      </w:hyperlink>
    </w:p>
    <w:p>
      <w:pPr>
        <w:spacing w:after="22" w:line="240" w:lineRule="auto"/>
        <w:ind w:left="346"/>
      </w:pPr>
      <w:hyperlink w:anchor="sec_004">
        <w:r>
          <w:rPr>
            <w:rFonts w:ascii="Lato" w:hAnsi="Lato" w:eastAsia="Lato" w:cs="Lato"/>
            <w:color w:val="1B5E8C"/>
            <w:sz w:val="17"/>
            <w:szCs w:val="17"/>
          </w:rPr>
          <w:t>The architecture to build</w:t>
        </w:r>
      </w:hyperlink>
    </w:p>
    <w:p>
      <w:pPr>
        <w:spacing w:after="22" w:line="240" w:lineRule="auto"/>
        <w:ind w:left="346"/>
      </w:pPr>
      <w:hyperlink w:anchor="sec_005">
        <w:r>
          <w:rPr>
            <w:rFonts w:ascii="Lato" w:hAnsi="Lato" w:eastAsia="Lato" w:cs="Lato"/>
            <w:color w:val="1B5E8C"/>
            <w:sz w:val="17"/>
            <w:szCs w:val="17"/>
          </w:rPr>
          <w:t>What changes for Tiny-IDP</w:t>
        </w:r>
      </w:hyperlink>
    </w:p>
    <w:p>
      <w:pPr>
        <w:spacing w:after="22" w:line="240" w:lineRule="auto"/>
        <w:ind w:left="346"/>
      </w:pPr>
      <w:hyperlink w:anchor="sec_006">
        <w:r>
          <w:rPr>
            <w:rFonts w:ascii="Lato" w:hAnsi="Lato" w:eastAsia="Lato" w:cs="Lato"/>
            <w:color w:val="1B5E8C"/>
            <w:sz w:val="17"/>
            <w:szCs w:val="17"/>
          </w:rPr>
          <w:t>What changes for script authors</w:t>
        </w:r>
      </w:hyperlink>
    </w:p>
    <w:p>
      <w:pPr>
        <w:spacing w:after="22" w:line="240" w:lineRule="auto"/>
        <w:ind w:left="346"/>
      </w:pPr>
      <w:hyperlink w:anchor="sec_007">
        <w:r>
          <w:rPr>
            <w:rFonts w:ascii="Lato" w:hAnsi="Lato" w:eastAsia="Lato" w:cs="Lato"/>
            <w:color w:val="1B5E8C"/>
            <w:sz w:val="17"/>
            <w:szCs w:val="17"/>
          </w:rPr>
          <w:t>What requires VM modification</w:t>
        </w:r>
      </w:hyperlink>
    </w:p>
    <w:p>
      <w:pPr>
        <w:spacing w:after="22" w:line="240" w:lineRule="auto"/>
        <w:ind w:left="346"/>
      </w:pPr>
      <w:hyperlink w:anchor="sec_008">
        <w:r>
          <w:rPr>
            <w:rFonts w:ascii="Lato" w:hAnsi="Lato" w:eastAsia="Lato" w:cs="Lato"/>
            <w:color w:val="1B5E8C"/>
            <w:sz w:val="17"/>
            <w:szCs w:val="17"/>
          </w:rPr>
          <w:t>What should be verified</w:t>
        </w:r>
      </w:hyperlink>
    </w:p>
    <w:p>
      <w:pPr>
        <w:spacing w:after="22" w:line="240" w:lineRule="auto"/>
        <w:ind w:left="346"/>
      </w:pPr>
      <w:hyperlink w:anchor="sec_009">
        <w:r>
          <w:rPr>
            <w:rFonts w:ascii="Lato" w:hAnsi="Lato" w:eastAsia="Lato" w:cs="Lato"/>
            <w:color w:val="1B5E8C"/>
            <w:sz w:val="17"/>
            <w:szCs w:val="17"/>
          </w:rPr>
          <w:t>Recommendation in one sentence</w:t>
        </w:r>
      </w:hyperlink>
    </w:p>
    <w:p>
      <w:pPr>
        <w:spacing w:after="22" w:line="240" w:lineRule="auto" w:before="90"/>
        <w:ind w:left="0"/>
      </w:pPr>
      <w:hyperlink w:anchor="sec_010">
        <w:r>
          <w:rPr>
            <w:rFonts w:ascii="Lato" w:hAnsi="Lato" w:eastAsia="Lato" w:cs="Lato"/>
            <w:color w:val="17365D"/>
            <w:b/>
            <w:sz w:val="18"/>
            <w:szCs w:val="18"/>
          </w:rPr>
          <w:t>Part I - The baseline and the design question</w:t>
        </w:r>
      </w:hyperlink>
    </w:p>
    <w:p>
      <w:pPr>
        <w:spacing w:after="22" w:line="240" w:lineRule="auto"/>
        <w:ind w:left="346"/>
      </w:pPr>
      <w:hyperlink w:anchor="sec_011">
        <w:r>
          <w:rPr>
            <w:rFonts w:ascii="Lato" w:hAnsi="Lato" w:eastAsia="Lato" w:cs="Lato"/>
            <w:color w:val="1B5E8C"/>
            <w:sz w:val="17"/>
            <w:szCs w:val="17"/>
          </w:rPr>
          <w:t>1. Tiny-IDP already implements a language runtime, not merely an embedding</w:t>
        </w:r>
      </w:hyperlink>
    </w:p>
    <w:p>
      <w:pPr>
        <w:spacing w:after="22" w:line="240" w:lineRule="auto"/>
        <w:ind w:left="346"/>
      </w:pPr>
      <w:hyperlink w:anchor="sec_016">
        <w:r>
          <w:rPr>
            <w:rFonts w:ascii="Lato" w:hAnsi="Lato" w:eastAsia="Lato" w:cs="Lato"/>
            <w:color w:val="1B5E8C"/>
            <w:sz w:val="17"/>
            <w:szCs w:val="17"/>
          </w:rPr>
          <w:t>2. What owning more of the interpreter changes</w:t>
        </w:r>
      </w:hyperlink>
    </w:p>
    <w:p>
      <w:pPr>
        <w:spacing w:after="22" w:line="240" w:lineRule="auto"/>
        <w:ind w:left="346"/>
      </w:pPr>
      <w:hyperlink w:anchor="sec_022">
        <w:r>
          <w:rPr>
            <w:rFonts w:ascii="Lato" w:hAnsi="Lato" w:eastAsia="Lato" w:cs="Lato"/>
            <w:color w:val="1B5E8C"/>
            <w:sz w:val="17"/>
            <w:szCs w:val="17"/>
          </w:rPr>
          <w:t>3. Five levels of control</w:t>
        </w:r>
      </w:hyperlink>
    </w:p>
    <w:p>
      <w:pPr>
        <w:spacing w:after="22" w:line="240" w:lineRule="auto" w:before="90"/>
        <w:ind w:left="0"/>
      </w:pPr>
      <w:hyperlink w:anchor="sec_023">
        <w:r>
          <w:rPr>
            <w:rFonts w:ascii="Lato" w:hAnsi="Lato" w:eastAsia="Lato" w:cs="Lato"/>
            <w:color w:val="17365D"/>
            <w:b/>
            <w:sz w:val="18"/>
            <w:szCs w:val="18"/>
          </w:rPr>
          <w:t>Part II - Improvements available above the VM</w:t>
        </w:r>
      </w:hyperlink>
    </w:p>
    <w:p>
      <w:pPr>
        <w:spacing w:after="22" w:line="240" w:lineRule="auto"/>
        <w:ind w:left="346"/>
      </w:pPr>
      <w:hyperlink w:anchor="sec_024">
        <w:r>
          <w:rPr>
            <w:rFonts w:ascii="Lato" w:hAnsi="Lato" w:eastAsia="Lato" w:cs="Lato"/>
            <w:color w:val="1B5E8C"/>
            <w:sz w:val="17"/>
            <w:szCs w:val="17"/>
          </w:rPr>
          <w:t>4. Define an assurance-oriented JavaScript profile</w:t>
        </w:r>
      </w:hyperlink>
    </w:p>
    <w:p>
      <w:pPr>
        <w:spacing w:after="22" w:line="240" w:lineRule="auto"/>
        <w:ind w:left="346"/>
      </w:pPr>
      <w:hyperlink w:anchor="sec_027">
        <w:r>
          <w:rPr>
            <w:rFonts w:ascii="Lato" w:hAnsi="Lato" w:eastAsia="Lato" w:cs="Lato"/>
            <w:color w:val="1B5E8C"/>
            <w:sz w:val="17"/>
            <w:szCs w:val="17"/>
          </w:rPr>
          <w:t>5. Infer capabilities and effects</w:t>
        </w:r>
      </w:hyperlink>
    </w:p>
    <w:p>
      <w:pPr>
        <w:spacing w:after="22" w:line="240" w:lineRule="auto"/>
        <w:ind w:left="346"/>
      </w:pPr>
      <w:hyperlink w:anchor="sec_031">
        <w:r>
          <w:rPr>
            <w:rFonts w:ascii="Lato" w:hAnsi="Lato" w:eastAsia="Lato" w:cs="Lato"/>
            <w:color w:val="1B5E8C"/>
            <w:sz w:val="17"/>
            <w:szCs w:val="17"/>
          </w:rPr>
          <w:t>6. Generate deterministic callback identities</w:t>
        </w:r>
      </w:hyperlink>
    </w:p>
    <w:p>
      <w:pPr>
        <w:spacing w:after="22" w:line="240" w:lineRule="auto"/>
        <w:ind w:left="346"/>
      </w:pPr>
      <w:hyperlink w:anchor="sec_034">
        <w:r>
          <w:rPr>
            <w:rFonts w:ascii="Lato" w:hAnsi="Lato" w:eastAsia="Lato" w:cs="Lato"/>
            <w:color w:val="1B5E8C"/>
            <w:sz w:val="17"/>
            <w:szCs w:val="17"/>
          </w:rPr>
          <w:t>7. Harden the JavaScript world</w:t>
        </w:r>
      </w:hyperlink>
    </w:p>
    <w:p>
      <w:pPr>
        <w:spacing w:after="22" w:line="240" w:lineRule="auto" w:before="90"/>
        <w:ind w:left="0"/>
      </w:pPr>
      <w:hyperlink w:anchor="sec_039">
        <w:r>
          <w:rPr>
            <w:rFonts w:ascii="Lato" w:hAnsi="Lato" w:eastAsia="Lato" w:cs="Lato"/>
            <w:color w:val="17365D"/>
            <w:b/>
            <w:sz w:val="18"/>
            <w:szCs w:val="18"/>
          </w:rPr>
          <w:t>Part III - Compiler transformations and new programming models</w:t>
        </w:r>
      </w:hyperlink>
    </w:p>
    <w:p>
      <w:pPr>
        <w:spacing w:after="22" w:line="240" w:lineRule="auto"/>
        <w:ind w:left="346"/>
      </w:pPr>
      <w:hyperlink w:anchor="sec_040">
        <w:r>
          <w:rPr>
            <w:rFonts w:ascii="Lato" w:hAnsi="Lato" w:eastAsia="Lato" w:cs="Lato"/>
            <w:color w:val="1B5E8C"/>
            <w:sz w:val="17"/>
            <w:szCs w:val="17"/>
          </w:rPr>
          <w:t>8. Durable await as compiled syntax sugar</w:t>
        </w:r>
      </w:hyperlink>
    </w:p>
    <w:p>
      <w:pPr>
        <w:spacing w:after="22" w:line="240" w:lineRule="auto"/>
        <w:ind w:left="346"/>
      </w:pPr>
      <w:hyperlink w:anchor="sec_044">
        <w:r>
          <w:rPr>
            <w:rFonts w:ascii="Lato" w:hAnsi="Lato" w:eastAsia="Lato" w:cs="Lato"/>
            <w:color w:val="1B5E8C"/>
            <w:sz w:val="17"/>
            <w:szCs w:val="17"/>
          </w:rPr>
          <w:t>9. Live-variable analysis defines continuation carry</w:t>
        </w:r>
      </w:hyperlink>
    </w:p>
    <w:p>
      <w:pPr>
        <w:spacing w:after="22" w:line="240" w:lineRule="auto"/>
        <w:ind w:left="346"/>
      </w:pPr>
      <w:hyperlink w:anchor="sec_048">
        <w:r>
          <w:rPr>
            <w:rFonts w:ascii="Lato" w:hAnsi="Lato" w:eastAsia="Lato" w:cs="Lato"/>
            <w:color w:val="1B5E8C"/>
            <w:sz w:val="17"/>
            <w:szCs w:val="17"/>
          </w:rPr>
          <w:t>10. Structured concurrency for capabilities and Promises</w:t>
        </w:r>
      </w:hyperlink>
    </w:p>
    <w:p>
      <w:pPr>
        <w:spacing w:after="22" w:line="240" w:lineRule="auto"/>
        <w:ind w:left="346"/>
      </w:pPr>
      <w:hyperlink w:anchor="sec_053">
        <w:r>
          <w:rPr>
            <w:rFonts w:ascii="Lato" w:hAnsi="Lato" w:eastAsia="Lato" w:cs="Lato"/>
            <w:color w:val="1B5E8C"/>
            <w:sz w:val="17"/>
            <w:szCs w:val="17"/>
          </w:rPr>
          <w:t>11. Secret, evidence, and provenance analysis</w:t>
        </w:r>
      </w:hyperlink>
    </w:p>
    <w:p>
      <w:pPr>
        <w:spacing w:after="22" w:line="240" w:lineRule="auto"/>
        <w:ind w:left="346"/>
      </w:pPr>
      <w:hyperlink w:anchor="sec_058">
        <w:r>
          <w:rPr>
            <w:rFonts w:ascii="Lato" w:hAnsi="Lato" w:eastAsia="Lato" w:cs="Lato"/>
            <w:color w:val="1B5E8C"/>
            <w:sz w:val="17"/>
            <w:szCs w:val="17"/>
          </w:rPr>
          <w:t>12. Compile effects instead of interpreting arbitrary result objects</w:t>
        </w:r>
      </w:hyperlink>
    </w:p>
    <w:p>
      <w:pPr>
        <w:spacing w:after="22" w:line="240" w:lineRule="auto"/>
        <w:ind w:left="346"/>
      </w:pPr>
      <w:hyperlink w:anchor="sec_062">
        <w:r>
          <w:rPr>
            <w:rFonts w:ascii="Lato" w:hAnsi="Lato" w:eastAsia="Lato" w:cs="Lato"/>
            <w:color w:val="1B5E8C"/>
            <w:sz w:val="17"/>
            <w:szCs w:val="17"/>
          </w:rPr>
          <w:t>13. Extract state machines and properties automatically</w:t>
        </w:r>
      </w:hyperlink>
    </w:p>
    <w:p>
      <w:pPr>
        <w:spacing w:after="22" w:line="240" w:lineRule="auto" w:before="90"/>
        <w:ind w:left="0"/>
      </w:pPr>
      <w:hyperlink w:anchor="sec_066">
        <w:r>
          <w:rPr>
            <w:rFonts w:ascii="Lato" w:hAnsi="Lato" w:eastAsia="Lato" w:cs="Lato"/>
            <w:color w:val="17365D"/>
            <w:b/>
            <w:sz w:val="18"/>
            <w:szCs w:val="18"/>
          </w:rPr>
          <w:t>Part IV - What direct VM access would enable</w:t>
        </w:r>
      </w:hyperlink>
    </w:p>
    <w:p>
      <w:pPr>
        <w:spacing w:after="22" w:line="240" w:lineRule="auto"/>
        <w:ind w:left="346"/>
      </w:pPr>
      <w:hyperlink w:anchor="sec_067">
        <w:r>
          <w:rPr>
            <w:rFonts w:ascii="Lato" w:hAnsi="Lato" w:eastAsia="Lato" w:cs="Lato"/>
            <w:color w:val="1B5E8C"/>
            <w:sz w:val="17"/>
            <w:szCs w:val="17"/>
          </w:rPr>
          <w:t>14. Deterministic instruction fuel</w:t>
        </w:r>
      </w:hyperlink>
    </w:p>
    <w:p>
      <w:pPr>
        <w:spacing w:after="22" w:line="240" w:lineRule="auto"/>
        <w:ind w:left="346"/>
      </w:pPr>
      <w:hyperlink w:anchor="sec_071">
        <w:r>
          <w:rPr>
            <w:rFonts w:ascii="Lato" w:hAnsi="Lato" w:eastAsia="Lato" w:cs="Lato"/>
            <w:color w:val="1B5E8C"/>
            <w:sz w:val="17"/>
            <w:szCs w:val="17"/>
          </w:rPr>
          <w:t>15. Allocation and retained-heap accounting</w:t>
        </w:r>
      </w:hyperlink>
    </w:p>
    <w:p>
      <w:pPr>
        <w:spacing w:after="22" w:line="240" w:lineRule="auto"/>
        <w:ind w:left="346"/>
      </w:pPr>
      <w:hyperlink w:anchor="sec_074">
        <w:r>
          <w:rPr>
            <w:rFonts w:ascii="Lato" w:hAnsi="Lato" w:eastAsia="Lato" w:cs="Lato"/>
            <w:color w:val="1B5E8C"/>
            <w:sz w:val="17"/>
            <w:szCs w:val="17"/>
          </w:rPr>
          <w:t>16. Job-queue control and deterministic Promise semantics</w:t>
        </w:r>
      </w:hyperlink>
    </w:p>
    <w:p>
      <w:pPr>
        <w:spacing w:after="22" w:line="240" w:lineRule="auto"/>
        <w:ind w:left="346"/>
      </w:pPr>
      <w:hyperlink w:anchor="sec_077">
        <w:r>
          <w:rPr>
            <w:rFonts w:ascii="Lato" w:hAnsi="Lato" w:eastAsia="Lato" w:cs="Lato"/>
            <w:color w:val="1B5E8C"/>
            <w:sz w:val="17"/>
            <w:szCs w:val="17"/>
          </w:rPr>
          <w:t>17. Internal provenance and unforgeable value classes</w:t>
        </w:r>
      </w:hyperlink>
    </w:p>
    <w:p>
      <w:pPr>
        <w:spacing w:after="22" w:line="240" w:lineRule="auto"/>
        <w:ind w:left="346"/>
      </w:pPr>
      <w:hyperlink w:anchor="sec_080">
        <w:r>
          <w:rPr>
            <w:rFonts w:ascii="Lato" w:hAnsi="Lato" w:eastAsia="Lato" w:cs="Lato"/>
            <w:color w:val="1B5E8C"/>
            <w:sz w:val="17"/>
            <w:szCs w:val="17"/>
          </w:rPr>
          <w:t>18. Semantic tracing, debugging, and explainability</w:t>
        </w:r>
      </w:hyperlink>
    </w:p>
    <w:p>
      <w:pPr>
        <w:spacing w:after="22" w:line="240" w:lineRule="auto"/>
        <w:ind w:left="346"/>
      </w:pPr>
      <w:hyperlink w:anchor="sec_084">
        <w:r>
          <w:rPr>
            <w:rFonts w:ascii="Lato" w:hAnsi="Lato" w:eastAsia="Lato" w:cs="Lato"/>
            <w:color w:val="1B5E8C"/>
            <w:sz w:val="17"/>
            <w:szCs w:val="17"/>
          </w:rPr>
          <w:t>19. Runtime snapshots and reset: useful, but not durable control flow</w:t>
        </w:r>
      </w:hyperlink>
    </w:p>
    <w:p>
      <w:pPr>
        <w:spacing w:after="22" w:line="240" w:lineRule="auto"/>
        <w:ind w:left="346"/>
      </w:pPr>
      <w:hyperlink w:anchor="sec_088">
        <w:r>
          <w:rPr>
            <w:rFonts w:ascii="Lato" w:hAnsi="Lato" w:eastAsia="Lato" w:cs="Lato"/>
            <w:color w:val="1B5E8C"/>
            <w:sz w:val="17"/>
            <w:szCs w:val="17"/>
          </w:rPr>
          <w:t>20. Why VM-frame persistence is the wrong continuation model</w:t>
        </w:r>
      </w:hyperlink>
    </w:p>
    <w:p>
      <w:pPr>
        <w:spacing w:after="22" w:line="240" w:lineRule="auto" w:before="90"/>
        <w:ind w:left="0"/>
      </w:pPr>
      <w:hyperlink w:anchor="sec_091">
        <w:r>
          <w:rPr>
            <w:rFonts w:ascii="Lato" w:hAnsi="Lato" w:eastAsia="Lato" w:cs="Lato"/>
            <w:color w:val="17365D"/>
            <w:b/>
            <w:sz w:val="18"/>
            <w:szCs w:val="18"/>
          </w:rPr>
          <w:t>Part V - A project-independent semantic intermediate representation</w:t>
        </w:r>
      </w:hyperlink>
    </w:p>
    <w:p>
      <w:pPr>
        <w:spacing w:after="22" w:line="240" w:lineRule="auto"/>
        <w:ind w:left="346"/>
      </w:pPr>
      <w:hyperlink w:anchor="sec_092">
        <w:r>
          <w:rPr>
            <w:rFonts w:ascii="Lato" w:hAnsi="Lato" w:eastAsia="Lato" w:cs="Lato"/>
            <w:color w:val="1B5E8C"/>
            <w:sz w:val="17"/>
            <w:szCs w:val="17"/>
          </w:rPr>
          <w:t>21. Why an MIR is the strategic center</w:t>
        </w:r>
      </w:hyperlink>
    </w:p>
    <w:p>
      <w:pPr>
        <w:spacing w:after="22" w:line="240" w:lineRule="auto"/>
        <w:ind w:left="346"/>
      </w:pPr>
      <w:hyperlink w:anchor="sec_093">
        <w:r>
          <w:rPr>
            <w:rFonts w:ascii="Lato" w:hAnsi="Lato" w:eastAsia="Lato" w:cs="Lato"/>
            <w:color w:val="1B5E8C"/>
            <w:sz w:val="17"/>
            <w:szCs w:val="17"/>
          </w:rPr>
          <w:t>22. Core MIR concepts</w:t>
        </w:r>
      </w:hyperlink>
    </w:p>
    <w:p>
      <w:pPr>
        <w:spacing w:after="22" w:line="240" w:lineRule="auto"/>
        <w:ind w:left="346"/>
      </w:pPr>
      <w:hyperlink w:anchor="sec_099">
        <w:r>
          <w:rPr>
            <w:rFonts w:ascii="Lato" w:hAnsi="Lato" w:eastAsia="Lato" w:cs="Lato"/>
            <w:color w:val="1B5E8C"/>
            <w:sz w:val="17"/>
            <w:szCs w:val="17"/>
          </w:rPr>
          <w:t>23. An illustrative MIR</w:t>
        </w:r>
      </w:hyperlink>
    </w:p>
    <w:p>
      <w:pPr>
        <w:spacing w:after="22" w:line="240" w:lineRule="auto"/>
        <w:ind w:left="346"/>
      </w:pPr>
      <w:hyperlink w:anchor="sec_100">
        <w:r>
          <w:rPr>
            <w:rFonts w:ascii="Lato" w:hAnsi="Lato" w:eastAsia="Lato" w:cs="Lato"/>
            <w:color w:val="1B5E8C"/>
            <w:sz w:val="17"/>
            <w:szCs w:val="17"/>
          </w:rPr>
          <w:t>24. Reference interpreter and optimized backends</w:t>
        </w:r>
      </w:hyperlink>
    </w:p>
    <w:p>
      <w:pPr>
        <w:spacing w:after="22" w:line="240" w:lineRule="auto"/>
        <w:ind w:left="346"/>
      </w:pPr>
      <w:hyperlink w:anchor="sec_105">
        <w:r>
          <w:rPr>
            <w:rFonts w:ascii="Lato" w:hAnsi="Lato" w:eastAsia="Lato" w:cs="Lato"/>
            <w:color w:val="1B5E8C"/>
            <w:sz w:val="17"/>
            <w:szCs w:val="17"/>
          </w:rPr>
          <w:t>25. Proof-carrying activation artifacts</w:t>
        </w:r>
      </w:hyperlink>
    </w:p>
    <w:p>
      <w:pPr>
        <w:spacing w:after="22" w:line="240" w:lineRule="auto"/>
        <w:ind w:left="346"/>
      </w:pPr>
      <w:hyperlink w:anchor="sec_108">
        <w:r>
          <w:rPr>
            <w:rFonts w:ascii="Lato" w:hAnsi="Lato" w:eastAsia="Lato" w:cs="Lato"/>
            <w:color w:val="1B5E8C"/>
            <w:sz w:val="17"/>
            <w:szCs w:val="17"/>
          </w:rPr>
          <w:t>26. Formal verification strategy</w:t>
        </w:r>
      </w:hyperlink>
    </w:p>
    <w:p>
      <w:pPr>
        <w:spacing w:after="22" w:line="240" w:lineRule="auto" w:before="90"/>
        <w:ind w:left="0"/>
      </w:pPr>
      <w:hyperlink w:anchor="sec_113">
        <w:r>
          <w:rPr>
            <w:rFonts w:ascii="Lato" w:hAnsi="Lato" w:eastAsia="Lato" w:cs="Lato"/>
            <w:color w:val="17365D"/>
            <w:b/>
            <w:sz w:val="18"/>
            <w:szCs w:val="18"/>
          </w:rPr>
          <w:t>Part VI - Making the compiler malleable across projects</w:t>
        </w:r>
      </w:hyperlink>
    </w:p>
    <w:p>
      <w:pPr>
        <w:spacing w:after="22" w:line="240" w:lineRule="auto"/>
        <w:ind w:left="346"/>
      </w:pPr>
      <w:hyperlink w:anchor="sec_114">
        <w:r>
          <w:rPr>
            <w:rFonts w:ascii="Lato" w:hAnsi="Lato" w:eastAsia="Lato" w:cs="Lato"/>
            <w:color w:val="1B5E8C"/>
            <w:sz w:val="17"/>
            <w:szCs w:val="17"/>
          </w:rPr>
          <w:t>27. Dialects, worlds, passes, and backends</w:t>
        </w:r>
      </w:hyperlink>
    </w:p>
    <w:p>
      <w:pPr>
        <w:spacing w:after="22" w:line="240" w:lineRule="auto"/>
        <w:ind w:left="346"/>
      </w:pPr>
      <w:hyperlink w:anchor="sec_119">
        <w:r>
          <w:rPr>
            <w:rFonts w:ascii="Lato" w:hAnsi="Lato" w:eastAsia="Lato" w:cs="Lato"/>
            <w:color w:val="1B5E8C"/>
            <w:sz w:val="17"/>
            <w:szCs w:val="17"/>
          </w:rPr>
          <w:t>28. Declarative dialect definitions</w:t>
        </w:r>
      </w:hyperlink>
    </w:p>
    <w:p>
      <w:pPr>
        <w:spacing w:after="22" w:line="240" w:lineRule="auto"/>
        <w:ind w:left="346"/>
      </w:pPr>
      <w:hyperlink w:anchor="sec_121">
        <w:r>
          <w:rPr>
            <w:rFonts w:ascii="Lato" w:hAnsi="Lato" w:eastAsia="Lato" w:cs="Lato"/>
            <w:color w:val="1B5E8C"/>
            <w:sz w:val="17"/>
            <w:szCs w:val="17"/>
          </w:rPr>
          <w:t>29. Extension trust tiers</w:t>
        </w:r>
      </w:hyperlink>
    </w:p>
    <w:p>
      <w:pPr>
        <w:spacing w:after="22" w:line="240" w:lineRule="auto"/>
        <w:ind w:left="346"/>
      </w:pPr>
      <w:hyperlink w:anchor="sec_128">
        <w:r>
          <w:rPr>
            <w:rFonts w:ascii="Lato" w:hAnsi="Lato" w:eastAsia="Lato" w:cs="Lato"/>
            <w:color w:val="1B5E8C"/>
            <w:sz w:val="17"/>
            <w:szCs w:val="17"/>
          </w:rPr>
          <w:t>30. Tiny-IDP as a dialect and world pack</w:t>
        </w:r>
      </w:hyperlink>
    </w:p>
    <w:p>
      <w:pPr>
        <w:spacing w:after="22" w:line="240" w:lineRule="auto"/>
        <w:ind w:left="346"/>
      </w:pPr>
      <w:hyperlink w:anchor="sec_129">
        <w:r>
          <w:rPr>
            <w:rFonts w:ascii="Lato" w:hAnsi="Lato" w:eastAsia="Lato" w:cs="Lato"/>
            <w:color w:val="1B5E8C"/>
            <w:sz w:val="17"/>
            <w:szCs w:val="17"/>
          </w:rPr>
          <w:t>31. Other project families</w:t>
        </w:r>
      </w:hyperlink>
    </w:p>
    <w:p>
      <w:pPr>
        <w:spacing w:after="22" w:line="240" w:lineRule="auto"/>
        <w:ind w:left="346"/>
      </w:pPr>
      <w:hyperlink w:anchor="sec_136">
        <w:r>
          <w:rPr>
            <w:rFonts w:ascii="Lato" w:hAnsi="Lato" w:eastAsia="Lato" w:cs="Lato"/>
            <w:color w:val="1B5E8C"/>
            <w:sz w:val="17"/>
            <w:szCs w:val="17"/>
          </w:rPr>
          <w:t>32. Multi-frontend architecture</w:t>
        </w:r>
      </w:hyperlink>
    </w:p>
    <w:p>
      <w:pPr>
        <w:spacing w:after="22" w:line="240" w:lineRule="auto" w:before="90"/>
        <w:ind w:left="0"/>
      </w:pPr>
      <w:hyperlink w:anchor="sec_137">
        <w:r>
          <w:rPr>
            <w:rFonts w:ascii="Lato" w:hAnsi="Lato" w:eastAsia="Lato" w:cs="Lato"/>
            <w:color w:val="17365D"/>
            <w:b/>
            <w:sz w:val="18"/>
            <w:szCs w:val="18"/>
          </w:rPr>
          <w:t>Part VII - The plugin-writer experience</w:t>
        </w:r>
      </w:hyperlink>
    </w:p>
    <w:p>
      <w:pPr>
        <w:spacing w:after="22" w:line="240" w:lineRule="auto"/>
        <w:ind w:left="346"/>
      </w:pPr>
      <w:hyperlink w:anchor="sec_138">
        <w:r>
          <w:rPr>
            <w:rFonts w:ascii="Lato" w:hAnsi="Lato" w:eastAsia="Lato" w:cs="Lato"/>
            <w:color w:val="1B5E8C"/>
            <w:sz w:val="17"/>
            <w:szCs w:val="17"/>
          </w:rPr>
          <w:t>33. From manual contracts to inferred contracts</w:t>
        </w:r>
      </w:hyperlink>
    </w:p>
    <w:p>
      <w:pPr>
        <w:spacing w:after="22" w:line="240" w:lineRule="auto"/>
        <w:ind w:left="346"/>
      </w:pPr>
      <w:hyperlink w:anchor="sec_141">
        <w:r>
          <w:rPr>
            <w:rFonts w:ascii="Lato" w:hAnsi="Lato" w:eastAsia="Lato" w:cs="Lato"/>
            <w:color w:val="1B5E8C"/>
            <w:sz w:val="17"/>
            <w:szCs w:val="17"/>
          </w:rPr>
          <w:t>34. Diagnostics as the primary usability feature</w:t>
        </w:r>
      </w:hyperlink>
    </w:p>
    <w:p>
      <w:pPr>
        <w:spacing w:after="22" w:line="240" w:lineRule="auto"/>
        <w:ind w:left="346"/>
      </w:pPr>
      <w:hyperlink w:anchor="sec_147">
        <w:r>
          <w:rPr>
            <w:rFonts w:ascii="Lato" w:hAnsi="Lato" w:eastAsia="Lato" w:cs="Lato"/>
            <w:color w:val="1B5E8C"/>
            <w:sz w:val="17"/>
            <w:szCs w:val="17"/>
          </w:rPr>
          <w:t>35. IDE and review tooling</w:t>
        </w:r>
      </w:hyperlink>
    </w:p>
    <w:p>
      <w:pPr>
        <w:spacing w:after="22" w:line="240" w:lineRule="auto"/>
        <w:ind w:left="346"/>
      </w:pPr>
      <w:hyperlink w:anchor="sec_150">
        <w:r>
          <w:rPr>
            <w:rFonts w:ascii="Lato" w:hAnsi="Lato" w:eastAsia="Lato" w:cs="Lato"/>
            <w:color w:val="1B5E8C"/>
            <w:sz w:val="17"/>
            <w:szCs w:val="17"/>
          </w:rPr>
          <w:t>36. Testing and simulation</w:t>
        </w:r>
      </w:hyperlink>
    </w:p>
    <w:p>
      <w:pPr>
        <w:spacing w:after="22" w:line="240" w:lineRule="auto"/>
        <w:ind w:left="346"/>
      </w:pPr>
      <w:hyperlink w:anchor="sec_154">
        <w:r>
          <w:rPr>
            <w:rFonts w:ascii="Lato" w:hAnsi="Lato" w:eastAsia="Lato" w:cs="Lato"/>
            <w:color w:val="1B5E8C"/>
            <w:sz w:val="17"/>
            <w:szCs w:val="17"/>
          </w:rPr>
          <w:t>37. Packaging, linking, and reusable libraries</w:t>
        </w:r>
      </w:hyperlink>
    </w:p>
    <w:p>
      <w:pPr>
        <w:spacing w:after="22" w:line="240" w:lineRule="auto"/>
        <w:ind w:left="346"/>
      </w:pPr>
      <w:hyperlink w:anchor="sec_157">
        <w:r>
          <w:rPr>
            <w:rFonts w:ascii="Lato" w:hAnsi="Lato" w:eastAsia="Lato" w:cs="Lato"/>
            <w:color w:val="1B5E8C"/>
            <w:sz w:val="17"/>
            <w:szCs w:val="17"/>
          </w:rPr>
          <w:t>38. Semantic hot reload and migration</w:t>
        </w:r>
      </w:hyperlink>
    </w:p>
    <w:p>
      <w:pPr>
        <w:spacing w:after="22" w:line="240" w:lineRule="auto" w:before="90"/>
        <w:ind w:left="0"/>
      </w:pPr>
      <w:hyperlink w:anchor="sec_160">
        <w:r>
          <w:rPr>
            <w:rFonts w:ascii="Lato" w:hAnsi="Lato" w:eastAsia="Lato" w:cs="Lato"/>
            <w:color w:val="17365D"/>
            <w:b/>
            <w:sz w:val="18"/>
            <w:szCs w:val="18"/>
          </w:rPr>
          <w:t>Part VIII - Evaluation, risks, and roadmap</w:t>
        </w:r>
      </w:hyperlink>
    </w:p>
    <w:p>
      <w:pPr>
        <w:spacing w:after="22" w:line="240" w:lineRule="auto"/>
        <w:ind w:left="346"/>
      </w:pPr>
      <w:hyperlink w:anchor="sec_161">
        <w:r>
          <w:rPr>
            <w:rFonts w:ascii="Lato" w:hAnsi="Lato" w:eastAsia="Lato" w:cs="Lato"/>
            <w:color w:val="1B5E8C"/>
            <w:sz w:val="17"/>
            <w:szCs w:val="17"/>
          </w:rPr>
          <w:t>39. Option matrix</w:t>
        </w:r>
      </w:hyperlink>
    </w:p>
    <w:p>
      <w:pPr>
        <w:spacing w:after="22" w:line="240" w:lineRule="auto"/>
        <w:ind w:left="346"/>
      </w:pPr>
      <w:hyperlink w:anchor="sec_162">
        <w:r>
          <w:rPr>
            <w:rFonts w:ascii="Lato" w:hAnsi="Lato" w:eastAsia="Lato" w:cs="Lato"/>
            <w:color w:val="1B5E8C"/>
            <w:sz w:val="17"/>
            <w:szCs w:val="17"/>
          </w:rPr>
          <w:t>40. Principal risks and mitigations</w:t>
        </w:r>
      </w:hyperlink>
    </w:p>
    <w:p>
      <w:pPr>
        <w:spacing w:after="22" w:line="240" w:lineRule="auto"/>
        <w:ind w:left="346"/>
      </w:pPr>
      <w:hyperlink w:anchor="sec_171">
        <w:r>
          <w:rPr>
            <w:rFonts w:ascii="Lato" w:hAnsi="Lato" w:eastAsia="Lato" w:cs="Lato"/>
            <w:color w:val="1B5E8C"/>
            <w:sz w:val="17"/>
            <w:szCs w:val="17"/>
          </w:rPr>
          <w:t>41. Staged implementation roadmap</w:t>
        </w:r>
      </w:hyperlink>
    </w:p>
    <w:p>
      <w:pPr>
        <w:spacing w:after="22" w:line="240" w:lineRule="auto"/>
        <w:ind w:left="346"/>
      </w:pPr>
      <w:hyperlink w:anchor="sec_182">
        <w:r>
          <w:rPr>
            <w:rFonts w:ascii="Lato" w:hAnsi="Lato" w:eastAsia="Lato" w:cs="Lato"/>
            <w:color w:val="1B5E8C"/>
            <w:sz w:val="17"/>
            <w:szCs w:val="17"/>
          </w:rPr>
          <w:t>42. Concrete first experiments</w:t>
        </w:r>
      </w:hyperlink>
    </w:p>
    <w:p>
      <w:pPr>
        <w:spacing w:after="22" w:line="240" w:lineRule="auto"/>
        <w:ind w:left="346"/>
      </w:pPr>
      <w:hyperlink w:anchor="sec_189">
        <w:r>
          <w:rPr>
            <w:rFonts w:ascii="Lato" w:hAnsi="Lato" w:eastAsia="Lato" w:cs="Lato"/>
            <w:color w:val="1B5E8C"/>
            <w:sz w:val="17"/>
            <w:szCs w:val="17"/>
          </w:rPr>
          <w:t>43. Final recommendations</w:t>
        </w:r>
      </w:hyperlink>
    </w:p>
    <w:p>
      <w:pPr>
        <w:spacing w:after="22" w:line="240" w:lineRule="auto" w:before="90"/>
        <w:ind w:left="0"/>
      </w:pPr>
      <w:hyperlink w:anchor="sec_197">
        <w:r>
          <w:rPr>
            <w:rFonts w:ascii="Lato" w:hAnsi="Lato" w:eastAsia="Lato" w:cs="Lato"/>
            <w:color w:val="17365D"/>
            <w:b/>
            <w:sz w:val="18"/>
            <w:szCs w:val="18"/>
          </w:rPr>
          <w:t>Appendix A - Proposed core interfaces</w:t>
        </w:r>
      </w:hyperlink>
    </w:p>
    <w:p>
      <w:pPr>
        <w:spacing w:after="22" w:line="240" w:lineRule="auto"/>
        <w:ind w:left="346"/>
      </w:pPr>
      <w:hyperlink w:anchor="sec_198">
        <w:r>
          <w:rPr>
            <w:rFonts w:ascii="Lato" w:hAnsi="Lato" w:eastAsia="Lato" w:cs="Lato"/>
            <w:color w:val="1B5E8C"/>
            <w:sz w:val="17"/>
            <w:szCs w:val="17"/>
          </w:rPr>
          <w:t>A.1 World manifest</w:t>
        </w:r>
      </w:hyperlink>
    </w:p>
    <w:p>
      <w:pPr>
        <w:spacing w:after="22" w:line="240" w:lineRule="auto"/>
        <w:ind w:left="346"/>
      </w:pPr>
      <w:hyperlink w:anchor="sec_199">
        <w:r>
          <w:rPr>
            <w:rFonts w:ascii="Lato" w:hAnsi="Lato" w:eastAsia="Lato" w:cs="Lato"/>
            <w:color w:val="1B5E8C"/>
            <w:sz w:val="17"/>
            <w:szCs w:val="17"/>
          </w:rPr>
          <w:t>A.2 Dialect operation</w:t>
        </w:r>
      </w:hyperlink>
    </w:p>
    <w:p>
      <w:pPr>
        <w:spacing w:after="22" w:line="240" w:lineRule="auto"/>
        <w:ind w:left="346"/>
      </w:pPr>
      <w:hyperlink w:anchor="sec_200">
        <w:r>
          <w:rPr>
            <w:rFonts w:ascii="Lato" w:hAnsi="Lato" w:eastAsia="Lato" w:cs="Lato"/>
            <w:color w:val="1B5E8C"/>
            <w:sz w:val="17"/>
            <w:szCs w:val="17"/>
          </w:rPr>
          <w:t>A.3 MIR function</w:t>
        </w:r>
      </w:hyperlink>
    </w:p>
    <w:p>
      <w:pPr>
        <w:spacing w:after="22" w:line="240" w:lineRule="auto"/>
        <w:ind w:left="346"/>
      </w:pPr>
      <w:hyperlink w:anchor="sec_201">
        <w:r>
          <w:rPr>
            <w:rFonts w:ascii="Lato" w:hAnsi="Lato" w:eastAsia="Lato" w:cs="Lato"/>
            <w:color w:val="1B5E8C"/>
            <w:sz w:val="17"/>
            <w:szCs w:val="17"/>
          </w:rPr>
          <w:t>A.4 Suspension terminator</w:t>
        </w:r>
      </w:hyperlink>
    </w:p>
    <w:p>
      <w:pPr>
        <w:spacing w:after="22" w:line="240" w:lineRule="auto" w:before="90"/>
        <w:ind w:left="0"/>
      </w:pPr>
      <w:hyperlink w:anchor="sec_202">
        <w:r>
          <w:rPr>
            <w:rFonts w:ascii="Lato" w:hAnsi="Lato" w:eastAsia="Lato" w:cs="Lato"/>
            <w:color w:val="17365D"/>
            <w:b/>
            <w:sz w:val="18"/>
            <w:szCs w:val="18"/>
          </w:rPr>
          <w:t>Appendix B - Static check catalogue</w:t>
        </w:r>
      </w:hyperlink>
    </w:p>
    <w:p>
      <w:pPr>
        <w:spacing w:after="22" w:line="240" w:lineRule="auto" w:before="90"/>
        <w:ind w:left="0"/>
      </w:pPr>
      <w:hyperlink w:anchor="sec_203">
        <w:r>
          <w:rPr>
            <w:rFonts w:ascii="Lato" w:hAnsi="Lato" w:eastAsia="Lato" w:cs="Lato"/>
            <w:color w:val="17365D"/>
            <w:b/>
            <w:sz w:val="18"/>
            <w:szCs w:val="18"/>
          </w:rPr>
          <w:t>Appendix C - Example activation certificate</w:t>
        </w:r>
      </w:hyperlink>
    </w:p>
    <w:p>
      <w:pPr>
        <w:spacing w:after="22" w:line="240" w:lineRule="auto" w:before="90"/>
        <w:ind w:left="0"/>
      </w:pPr>
      <w:hyperlink w:anchor="sec_204">
        <w:r>
          <w:rPr>
            <w:rFonts w:ascii="Lato" w:hAnsi="Lato" w:eastAsia="Lato" w:cs="Lato"/>
            <w:color w:val="17365D"/>
            <w:b/>
            <w:sz w:val="18"/>
            <w:szCs w:val="18"/>
          </w:rPr>
          <w:t>Appendix D - Comparison with adjacent systems</w:t>
        </w:r>
      </w:hyperlink>
    </w:p>
    <w:p>
      <w:pPr>
        <w:spacing w:after="22" w:line="240" w:lineRule="auto" w:before="90"/>
        <w:ind w:left="0"/>
      </w:pPr>
      <w:hyperlink w:anchor="sec_205">
        <w:r>
          <w:rPr>
            <w:rFonts w:ascii="Lato" w:hAnsi="Lato" w:eastAsia="Lato" w:cs="Lato"/>
            <w:color w:val="17365D"/>
            <w:b/>
            <w:sz w:val="18"/>
            <w:szCs w:val="18"/>
          </w:rPr>
          <w:t>Appendix E - Glossary</w:t>
        </w:r>
      </w:hyperlink>
    </w:p>
    <w:p>
      <w:pPr>
        <w:spacing w:after="22" w:line="240" w:lineRule="auto" w:before="90"/>
        <w:ind w:left="0"/>
      </w:pPr>
      <w:hyperlink w:anchor="sec_206">
        <w:r>
          <w:rPr>
            <w:rFonts w:ascii="Lato" w:hAnsi="Lato" w:eastAsia="Lato" w:cs="Lato"/>
            <w:color w:val="17365D"/>
            <w:b/>
            <w:sz w:val="18"/>
            <w:szCs w:val="18"/>
          </w:rPr>
          <w:t>References</w:t>
        </w:r>
      </w:hyperlink>
    </w:p>
    <w:p>
      <w:pPr>
        <w:spacing w:before="160"/>
      </w:pPr>
      <w:r>
        <w:br w:type="page"/>
      </w:r>
    </w:p>
    <w:p>
      <w:bookmarkStart w:id="10" w:name="sec_001"/>
      <w:pPr>
        <w:pStyle w:val="Heading1"/>
        <w:pageBreakBefore w:val="0"/>
      </w:pPr>
      <w:r>
        <w:rPr>
          <w:rFonts w:ascii="Lato" w:hAnsi="Lato" w:eastAsia="Lato" w:cs="Lato"/>
          <w:b/>
          <w:i w:val="0"/>
          <w:color w:val="17365D"/>
          <w:sz w:val="37"/>
        </w:rPr>
        <w:t>Scope, terminology, and source snapshot</w:t>
      </w:r>
      <w:bookmarkEnd w:id="10"/>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r>
        <w:rPr>
          <w:rFonts w:ascii="Noto Serif" w:hAnsi="Noto Serif" w:eastAsia="Noto Serif" w:cs="Noto Serif"/>
          <w:b w:val="0"/>
          <w:i w:val="0"/>
          <w:color w:val="202733"/>
          <w:sz w:val="18"/>
        </w:rPr>
        <w:t xml:space="preserve">This report studies how deeper control over the JavaScript implementation could change the architecture developed in </w:t>
      </w:r>
      <w:r>
        <w:rPr>
          <w:rFonts w:ascii="DejaVu Sans Mono" w:hAnsi="DejaVu Sans Mono" w:eastAsia="DejaVu Sans Mono" w:cs="DejaVu Sans Mono"/>
          <w:b w:val="0"/>
          <w:i w:val="0"/>
          <w:color w:val="202733"/>
          <w:sz w:val="16"/>
          <w:shd w:fill="EDF1F4" w:val="clear"/>
        </w:rPr>
        <w:t>go-go-golems/tiny-idp</w:t>
      </w:r>
      <w:r>
        <w:rPr>
          <w:rFonts w:ascii="Noto Serif" w:hAnsi="Noto Serif" w:eastAsia="Noto Serif" w:cs="Noto Serif"/>
          <w:b w:val="0"/>
          <w:i w:val="0"/>
          <w:color w:val="202733"/>
          <w:sz w:val="18"/>
        </w:rPr>
        <w:t xml:space="preserve"> under ticket </w:t>
      </w:r>
      <w:r>
        <w:rPr>
          <w:rFonts w:ascii="DejaVu Sans Mono" w:hAnsi="DejaVu Sans Mono" w:eastAsia="DejaVu Sans Mono" w:cs="DejaVu Sans Mono"/>
          <w:b w:val="0"/>
          <w:i w:val="0"/>
          <w:color w:val="202733"/>
          <w:sz w:val="16"/>
          <w:shd w:fill="EDF1F4" w:val="clear"/>
        </w:rPr>
        <w:t>TINYIDP-GOJA-001</w:t>
      </w:r>
      <w:r>
        <w:rPr>
          <w:rFonts w:ascii="Noto Serif" w:hAnsi="Noto Serif" w:eastAsia="Noto Serif" w:cs="Noto Serif"/>
          <w:b w:val="0"/>
          <w:i w:val="0"/>
          <w:color w:val="202733"/>
          <w:sz w:val="18"/>
        </w:rPr>
        <w:t>. It considers five progressively more invasive options:</w:t>
      </w:r>
    </w:p>
    <w:p>
      <w:pPr>
        <w:spacing w:after="30"/>
        <w:ind w:left="432" w:hanging="317"/>
      </w:pPr>
      <w:r>
        <w:rPr>
          <w:rFonts w:ascii="Noto Serif" w:hAnsi="Noto Serif" w:eastAsia="Noto Serif" w:cs="Noto Serif"/>
          <w:color w:val="202733"/>
          <w:sz w:val="18"/>
        </w:rPr>
        <w:t xml:space="preserve">1. </w:t>
      </w:r>
      <w:r>
        <w:rPr>
          <w:rFonts w:ascii="Noto Serif" w:hAnsi="Noto Serif" w:eastAsia="Noto Serif" w:cs="Noto Serif"/>
          <w:b w:val="0"/>
          <w:i w:val="0"/>
          <w:color w:val="202733"/>
          <w:sz w:val="18"/>
        </w:rPr>
        <w:t>use only Goja's public embedding API;</w:t>
      </w:r>
    </w:p>
    <w:p>
      <w:pPr>
        <w:spacing w:after="30"/>
        <w:ind w:left="432" w:hanging="317"/>
      </w:pPr>
      <w:r>
        <w:rPr>
          <w:rFonts w:ascii="Noto Serif" w:hAnsi="Noto Serif" w:eastAsia="Noto Serif" w:cs="Noto Serif"/>
          <w:color w:val="202733"/>
          <w:sz w:val="18"/>
        </w:rPr>
        <w:t xml:space="preserve">2. </w:t>
      </w:r>
      <w:r>
        <w:rPr>
          <w:rFonts w:ascii="Noto Serif" w:hAnsi="Noto Serif" w:eastAsia="Noto Serif" w:cs="Noto Serif"/>
          <w:b w:val="0"/>
          <w:i w:val="0"/>
          <w:color w:val="202733"/>
          <w:sz w:val="18"/>
        </w:rPr>
        <w:t>add a JavaScript front end and source-to-source or AST transformation layer around Goja;</w:t>
      </w:r>
    </w:p>
    <w:p>
      <w:pPr>
        <w:spacing w:after="30"/>
        <w:ind w:left="432" w:hanging="317"/>
      </w:pPr>
      <w:r>
        <w:rPr>
          <w:rFonts w:ascii="Noto Serif" w:hAnsi="Noto Serif" w:eastAsia="Noto Serif" w:cs="Noto Serif"/>
          <w:color w:val="202733"/>
          <w:sz w:val="18"/>
        </w:rPr>
        <w:t xml:space="preserve">3. </w:t>
      </w:r>
      <w:r>
        <w:rPr>
          <w:rFonts w:ascii="Noto Serif" w:hAnsi="Noto Serif" w:eastAsia="Noto Serif" w:cs="Noto Serif"/>
          <w:b w:val="0"/>
          <w:i w:val="0"/>
          <w:color w:val="202733"/>
          <w:sz w:val="18"/>
        </w:rPr>
        <w:t>maintain a narrowly instrumented Goja fork;</w:t>
      </w:r>
    </w:p>
    <w:p>
      <w:pPr>
        <w:spacing w:after="30"/>
        <w:ind w:left="432" w:hanging="317"/>
      </w:pPr>
      <w:r>
        <w:rPr>
          <w:rFonts w:ascii="Noto Serif" w:hAnsi="Noto Serif" w:eastAsia="Noto Serif" w:cs="Noto Serif"/>
          <w:color w:val="202733"/>
          <w:sz w:val="18"/>
        </w:rPr>
        <w:t xml:space="preserve">4. </w:t>
      </w:r>
      <w:r>
        <w:rPr>
          <w:rFonts w:ascii="Noto Serif" w:hAnsi="Noto Serif" w:eastAsia="Noto Serif" w:cs="Noto Serif"/>
          <w:b w:val="0"/>
          <w:i w:val="0"/>
          <w:color w:val="202733"/>
          <w:sz w:val="18"/>
        </w:rPr>
        <w:t>define and interpret a project-independent intermediate representation while retaining JavaScript as a source language;</w:t>
      </w:r>
    </w:p>
    <w:p>
      <w:pPr>
        <w:spacing w:after="30"/>
        <w:ind w:left="432" w:hanging="317"/>
      </w:pPr>
      <w:r>
        <w:rPr>
          <w:rFonts w:ascii="Noto Serif" w:hAnsi="Noto Serif" w:eastAsia="Noto Serif" w:cs="Noto Serif"/>
          <w:color w:val="202733"/>
          <w:sz w:val="18"/>
        </w:rPr>
        <w:t xml:space="preserve">5. </w:t>
      </w:r>
      <w:r>
        <w:rPr>
          <w:rFonts w:ascii="Noto Serif" w:hAnsi="Noto Serif" w:eastAsia="Noto Serif" w:cs="Noto Serif"/>
          <w:b w:val="0"/>
          <w:i w:val="0"/>
          <w:color w:val="202733"/>
          <w:sz w:val="18"/>
        </w:rPr>
        <w:t>implement a new JavaScript interpreter or compiler.</w:t>
      </w:r>
    </w:p>
    <w:p>
      <w:r>
        <w:rPr>
          <w:rFonts w:ascii="Noto Serif" w:hAnsi="Noto Serif" w:eastAsia="Noto Serif" w:cs="Noto Serif"/>
          <w:b w:val="0"/>
          <w:i w:val="0"/>
          <w:color w:val="202733"/>
          <w:sz w:val="18"/>
        </w:rPr>
        <w:t xml:space="preserve">The Tiny-IDP source snapshot is branch </w:t>
      </w:r>
      <w:r>
        <w:rPr>
          <w:rFonts w:ascii="DejaVu Sans Mono" w:hAnsi="DejaVu Sans Mono" w:eastAsia="DejaVu Sans Mono" w:cs="DejaVu Sans Mono"/>
          <w:b w:val="0"/>
          <w:i w:val="0"/>
          <w:color w:val="202733"/>
          <w:sz w:val="16"/>
          <w:shd w:fill="EDF1F4" w:val="clear"/>
        </w:rPr>
        <w:t>task/prod-tiny-idp</w:t>
      </w:r>
      <w:r>
        <w:rPr>
          <w:rFonts w:ascii="Noto Serif" w:hAnsi="Noto Serif" w:eastAsia="Noto Serif" w:cs="Noto Serif"/>
          <w:b w:val="0"/>
          <w:i w:val="0"/>
          <w:color w:val="202733"/>
          <w:sz w:val="18"/>
        </w:rPr>
        <w:t xml:space="preserve"> at commit </w:t>
      </w:r>
      <w:hyperlink r:id="rId11">
        <w:r>
          <w:rPr>
            <w:rFonts w:ascii="Noto Serif" w:hAnsi="Noto Serif" w:eastAsia="Noto Serif" w:cs="Noto Serif"/>
            <w:color w:val="1B5E8C"/>
            <w:u w:val="single"/>
            <w:sz w:val="18"/>
            <w:szCs w:val="18"/>
          </w:rPr>
          <w:t>d164ae59408bdd8bc21516274b446339b1761b1e</w:t>
        </w:r>
      </w:hyperlink>
      <w:r>
        <w:rPr>
          <w:rFonts w:ascii="Noto Serif" w:hAnsi="Noto Serif" w:eastAsia="Noto Serif" w:cs="Noto Serif"/>
          <w:b w:val="0"/>
          <w:i w:val="0"/>
          <w:color w:val="202733"/>
          <w:sz w:val="18"/>
        </w:rPr>
        <w:t xml:space="preserve">, dated 2026-07-20. That branch pins Goja commit </w:t>
      </w:r>
      <w:hyperlink r:id="rId12">
        <w:r>
          <w:rPr>
            <w:rFonts w:ascii="Noto Serif" w:hAnsi="Noto Serif" w:eastAsia="Noto Serif" w:cs="Noto Serif"/>
            <w:color w:val="1B5E8C"/>
            <w:u w:val="single"/>
            <w:sz w:val="18"/>
            <w:szCs w:val="18"/>
          </w:rPr>
          <w:t>af2ceb9156d7feaff65273b8bfde778077fb4b7e</w:t>
        </w:r>
      </w:hyperlink>
      <w:r>
        <w:rPr>
          <w:rFonts w:ascii="Noto Serif" w:hAnsi="Noto Serif" w:eastAsia="Noto Serif" w:cs="Noto Serif"/>
          <w:b w:val="0"/>
          <w:i w:val="0"/>
          <w:color w:val="202733"/>
          <w:sz w:val="18"/>
        </w:rPr>
        <w:t>, dated 2025-11-03. Current public documentation and related language/runtime systems were also reviewed as of 2026-07-20.</w:t>
      </w:r>
    </w:p>
    <w:p>
      <w:r>
        <w:rPr>
          <w:rFonts w:ascii="Noto Serif" w:hAnsi="Noto Serif" w:eastAsia="Noto Serif" w:cs="Noto Serif"/>
          <w:b w:val="0"/>
          <w:i w:val="0"/>
          <w:color w:val="202733"/>
          <w:sz w:val="18"/>
        </w:rPr>
        <w:t>The report distinguishes three categories of statement:</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Current implementation</w:t>
      </w:r>
      <w:r>
        <w:rPr>
          <w:rFonts w:ascii="Noto Serif" w:hAnsi="Noto Serif" w:eastAsia="Noto Serif" w:cs="Noto Serif"/>
          <w:b w:val="0"/>
          <w:i w:val="0"/>
          <w:color w:val="202733"/>
          <w:sz w:val="18"/>
        </w:rPr>
        <w:t xml:space="preserve"> describes code present in the pinned Tiny-IDP branch.</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Near-term proposal</w:t>
      </w:r>
      <w:r>
        <w:rPr>
          <w:rFonts w:ascii="Noto Serif" w:hAnsi="Noto Serif" w:eastAsia="Noto Serif" w:cs="Noto Serif"/>
          <w:b w:val="0"/>
          <w:i w:val="0"/>
          <w:color w:val="202733"/>
          <w:sz w:val="18"/>
        </w:rPr>
        <w:t xml:space="preserve"> describes changes that can plausibly be built above Goja's public parser/compiler/runtime APIs.</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Research direction</w:t>
      </w:r>
      <w:r>
        <w:rPr>
          <w:rFonts w:ascii="Noto Serif" w:hAnsi="Noto Serif" w:eastAsia="Noto Serif" w:cs="Noto Serif"/>
          <w:b w:val="0"/>
          <w:i w:val="0"/>
          <w:color w:val="202733"/>
          <w:sz w:val="18"/>
        </w:rPr>
        <w:t xml:space="preserve"> describes a larger language-platform effort whose cost, compatibility burden, and proof obligations are materially higher.</w:t>
      </w:r>
    </w:p>
    <w:p>
      <w:r>
        <w:rPr>
          <w:rFonts w:ascii="Noto Serif" w:hAnsi="Noto Serif" w:eastAsia="Noto Serif" w:cs="Noto Serif"/>
          <w:b w:val="0"/>
          <w:i w:val="0"/>
          <w:color w:val="202733"/>
          <w:sz w:val="18"/>
        </w:rPr>
        <w:t xml:space="preserve">The term </w:t>
      </w:r>
      <w:r>
        <w:rPr>
          <w:rFonts w:ascii="Noto Serif" w:hAnsi="Noto Serif" w:eastAsia="Noto Serif" w:cs="Noto Serif"/>
          <w:b w:val="0"/>
          <w:i/>
          <w:color w:val="202733"/>
          <w:sz w:val="18"/>
        </w:rPr>
        <w:t>verified</w:t>
      </w:r>
      <w:r>
        <w:rPr>
          <w:rFonts w:ascii="Noto Serif" w:hAnsi="Noto Serif" w:eastAsia="Noto Serif" w:cs="Noto Serif"/>
          <w:b w:val="0"/>
          <w:i w:val="0"/>
          <w:color w:val="202733"/>
          <w:sz w:val="18"/>
        </w:rPr>
        <w:t xml:space="preserve"> is used narrowly. A compiler can have verified passes or a verifier with a soundness proof without making all JavaScript programs, all host capabilities, or the whole identity provider formally verified. The term </w:t>
      </w:r>
      <w:r>
        <w:rPr>
          <w:rFonts w:ascii="Noto Serif" w:hAnsi="Noto Serif" w:eastAsia="Noto Serif" w:cs="Noto Serif"/>
          <w:b w:val="0"/>
          <w:i/>
          <w:color w:val="202733"/>
          <w:sz w:val="18"/>
        </w:rPr>
        <w:t>novel</w:t>
      </w:r>
      <w:r>
        <w:rPr>
          <w:rFonts w:ascii="Noto Serif" w:hAnsi="Noto Serif" w:eastAsia="Noto Serif" w:cs="Noto Serif"/>
          <w:b w:val="0"/>
          <w:i w:val="0"/>
          <w:color w:val="202733"/>
          <w:sz w:val="18"/>
        </w:rPr>
        <w:t xml:space="preserve"> refers to the engineering synthesis proposed here, not to academic priority.</w:t>
      </w:r>
    </w:p>
    <w:p>
      <w:bookmarkStart w:id="11" w:name="sec_002"/>
      <w:pPr>
        <w:pStyle w:val="Heading1"/>
        <w:pageBreakBefore/>
      </w:pPr>
      <w:r>
        <w:rPr>
          <w:rFonts w:ascii="Lato" w:hAnsi="Lato" w:eastAsia="Lato" w:cs="Lato"/>
          <w:b/>
          <w:i w:val="0"/>
          <w:color w:val="17365D"/>
          <w:sz w:val="37"/>
        </w:rPr>
        <w:t>Abstract</w:t>
      </w:r>
      <w:bookmarkEnd w:id="11"/>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r>
        <w:rPr>
          <w:rFonts w:ascii="Noto Serif" w:hAnsi="Noto Serif" w:eastAsia="Noto Serif" w:cs="Noto Serif"/>
          <w:b w:val="0"/>
          <w:i w:val="0"/>
          <w:color w:val="202733"/>
          <w:sz w:val="18"/>
        </w:rPr>
        <w:t>Tiny-IDP already uses JavaScript in an unusually disciplined way. Source is evaluated in an isolated definition-time runtime; callback closures remain VM-local; a pure-Go program contract records callback IDs, schemas, capabilities, outcomes, effects, and budgets; request-time values cross the boundary through JSON; capabilities are invocation-scoped; browser waits become explicit durable continuations; and Go retains authority over protocol validation, secrets, browser security, persistence, challenges, commits, and artifact issuance.[1][2]</w:t>
      </w:r>
    </w:p>
    <w:p>
      <w:r>
        <w:rPr>
          <w:rFonts w:ascii="Noto Serif" w:hAnsi="Noto Serif" w:eastAsia="Noto Serif" w:cs="Noto Serif"/>
          <w:b w:val="0"/>
          <w:i w:val="0"/>
          <w:color w:val="202733"/>
          <w:sz w:val="18"/>
        </w:rPr>
        <w:t xml:space="preserve">Deeper access to the JavaScript compiler and interpreter could convert many of these host-enforced conventions into language-level guarantees. A compiler could infer capability and effect requirements, reject accidental ambient authority, generate stable callback identities, lower browser-spanning </w:t>
      </w:r>
      <w:r>
        <w:rPr>
          <w:rFonts w:ascii="DejaVu Sans Mono" w:hAnsi="DejaVu Sans Mono" w:eastAsia="DejaVu Sans Mono" w:cs="DejaVu Sans Mono"/>
          <w:b w:val="0"/>
          <w:i w:val="0"/>
          <w:color w:val="202733"/>
          <w:sz w:val="16"/>
          <w:shd w:fill="EDF1F4" w:val="clear"/>
        </w:rPr>
        <w:t>await</w:t>
      </w:r>
      <w:r>
        <w:rPr>
          <w:rFonts w:ascii="Noto Serif" w:hAnsi="Noto Serif" w:eastAsia="Noto Serif" w:cs="Noto Serif"/>
          <w:b w:val="0"/>
          <w:i w:val="0"/>
          <w:color w:val="202733"/>
          <w:sz w:val="18"/>
        </w:rPr>
        <w:t xml:space="preserve"> into typed state machines, compute the exact live variables that may cross a continuation boundary, enforce structured concurrency, track secret and evidence provenance, produce replayable semantic traces, and emit a proof-carrying activation artifact. A selectively modified VM could add deterministic instruction fuel, allocation accounting, job-queue control, per-value provenance, and precise interruption and tracing hooks.</w:t>
      </w:r>
    </w:p>
    <w:p>
      <w:r>
        <w:rPr>
          <w:rFonts w:ascii="Noto Serif" w:hAnsi="Noto Serif" w:eastAsia="Noto Serif" w:cs="Noto Serif"/>
          <w:b w:val="0"/>
          <w:i w:val="0"/>
          <w:color w:val="202733"/>
          <w:sz w:val="18"/>
        </w:rPr>
        <w:t xml:space="preserve">The central recommendation is not to implement a complete JavaScript engine first. Full ECMAScript implementation brings a continuing specification, conformance, parser, regular-expression, Unicode, module, garbage-collection, debugger, performance, and security burden.[3][4] The better architecture is a </w:t>
      </w:r>
      <w:r>
        <w:rPr>
          <w:rFonts w:ascii="Noto Serif" w:hAnsi="Noto Serif" w:eastAsia="Noto Serif" w:cs="Noto Serif"/>
          <w:b/>
          <w:i w:val="0"/>
          <w:color w:val="202733"/>
          <w:sz w:val="18"/>
        </w:rPr>
        <w:t>malleable JavaScript substrate</w:t>
      </w:r>
      <w:r>
        <w:rPr>
          <w:rFonts w:ascii="Noto Serif" w:hAnsi="Noto Serif" w:eastAsia="Noto Serif" w:cs="Noto Serif"/>
          <w:b w:val="0"/>
          <w:i w:val="0"/>
          <w:color w:val="202733"/>
          <w:sz w:val="18"/>
        </w:rPr>
        <w:t xml:space="preserve"> with four layers: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standard JavaScript surface syntax</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v</w:t>
        <w:br/>
      </w:r>
      <w:r>
        <w:rPr>
          <w:rFonts w:ascii="DejaVu Sans Mono" w:hAnsi="DejaVu Sans Mono" w:eastAsia="DejaVu Sans Mono" w:cs="DejaVu Sans Mono"/>
          <w:color w:val="202733"/>
          <w:sz w:val="14"/>
        </w:rPr>
        <w:t>profile checker + typed/effectful front end</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v</w:t>
        <w:br/>
      </w:r>
      <w:r>
        <w:rPr>
          <w:rFonts w:ascii="DejaVu Sans Mono" w:hAnsi="DejaVu Sans Mono" w:eastAsia="DejaVu Sans Mono" w:cs="DejaVu Sans Mono"/>
          <w:color w:val="202733"/>
          <w:sz w:val="14"/>
        </w:rPr>
        <w:t>small project-independent semantic IR</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+--&gt; Goja compute backend</w:t>
        <w:br/>
      </w:r>
      <w:r>
        <w:rPr>
          <w:rFonts w:ascii="DejaVu Sans Mono" w:hAnsi="DejaVu Sans Mono" w:eastAsia="DejaVu Sans Mono" w:cs="DejaVu Sans Mono"/>
          <w:color w:val="202733"/>
          <w:sz w:val="14"/>
        </w:rPr>
        <w:t xml:space="preserve">        +--&gt; native reference interpreter</w:t>
        <w:br/>
      </w:r>
      <w:r>
        <w:rPr>
          <w:rFonts w:ascii="DejaVu Sans Mono" w:hAnsi="DejaVu Sans Mono" w:eastAsia="DejaVu Sans Mono" w:cs="DejaVu Sans Mono"/>
          <w:color w:val="202733"/>
          <w:sz w:val="14"/>
        </w:rPr>
        <w:t xml:space="preserve">        +--&gt; workflow/state-machine backend</w:t>
        <w:br/>
      </w:r>
      <w:r>
        <w:rPr>
          <w:rFonts w:ascii="DejaVu Sans Mono" w:hAnsi="DejaVu Sans Mono" w:eastAsia="DejaVu Sans Mono" w:cs="DejaVu Sans Mono"/>
          <w:color w:val="202733"/>
          <w:sz w:val="14"/>
        </w:rPr>
        <w:t xml:space="preserve">        +--&gt; static analysis and model checking</w:t>
        <w:br/>
      </w:r>
      <w:r>
        <w:rPr>
          <w:rFonts w:ascii="DejaVu Sans Mono" w:hAnsi="DejaVu Sans Mono" w:eastAsia="DejaVu Sans Mono" w:cs="DejaVu Sans Mono"/>
          <w:color w:val="202733"/>
          <w:sz w:val="14"/>
        </w:rPr>
        <w:t xml:space="preserve">        +--&gt; documentation, tests, and IDE metadata</w:t>
      </w:r>
    </w:p>
    <w:p>
      <w:r>
        <w:rPr>
          <w:rFonts w:ascii="Noto Serif" w:hAnsi="Noto Serif" w:eastAsia="Noto Serif" w:cs="Noto Serif"/>
          <w:b w:val="0"/>
          <w:i w:val="0"/>
          <w:color w:val="202733"/>
          <w:sz w:val="18"/>
        </w:rPr>
        <w:t xml:space="preserve">Projects extend the substrate through versioned </w:t>
      </w:r>
      <w:r>
        <w:rPr>
          <w:rFonts w:ascii="Noto Serif" w:hAnsi="Noto Serif" w:eastAsia="Noto Serif" w:cs="Noto Serif"/>
          <w:b/>
          <w:i w:val="0"/>
          <w:color w:val="202733"/>
          <w:sz w:val="18"/>
        </w:rPr>
        <w:t>dialects</w:t>
      </w:r>
      <w:r>
        <w:rPr>
          <w:rFonts w:ascii="Noto Serif" w:hAnsi="Noto Serif" w:eastAsia="Noto Serif" w:cs="Noto Serif"/>
          <w:b w:val="0"/>
          <w:i w:val="0"/>
          <w:color w:val="202733"/>
          <w:sz w:val="18"/>
        </w:rPr>
        <w:t xml:space="preserve"> and </w:t>
      </w:r>
      <w:r>
        <w:rPr>
          <w:rFonts w:ascii="Noto Serif" w:hAnsi="Noto Serif" w:eastAsia="Noto Serif" w:cs="Noto Serif"/>
          <w:b/>
          <w:i w:val="0"/>
          <w:color w:val="202733"/>
          <w:sz w:val="18"/>
        </w:rPr>
        <w:t>worlds</w:t>
      </w:r>
      <w:r>
        <w:rPr>
          <w:rFonts w:ascii="Noto Serif" w:hAnsi="Noto Serif" w:eastAsia="Noto Serif" w:cs="Noto Serif"/>
          <w:b w:val="0"/>
          <w:i w:val="0"/>
          <w:color w:val="202733"/>
          <w:sz w:val="18"/>
        </w:rPr>
        <w:t>. A dialect defines closed types, operations, effects, verifiers, lowerings, documentation, and test generators. A world selects the exact dialect versions and capability imports available to one project. Tiny-IDP becomes one assurance-sensitive world rather than the hard-coded owner of the language platform. This borrows useful structure from MLIR dialects, WIT worlds, object-capability systems, CEL's checked serialized AST, and formalized policy languages, while preserving a familiar JavaScript authoring experience.[5][6][7][8]</w:t>
      </w:r>
    </w:p>
    <w:p>
      <w:r>
        <w:rPr>
          <w:rFonts w:ascii="Noto Serif" w:hAnsi="Noto Serif" w:eastAsia="Noto Serif" w:cs="Noto Serif"/>
          <w:b w:val="0"/>
          <w:i w:val="0"/>
          <w:color w:val="202733"/>
          <w:sz w:val="18"/>
        </w:rPr>
        <w:t xml:space="preserve">The most important negative conclusion is equally clear: durable continuations should not be implemented by serializing Goja's suspended VM frames. Goja's internal suspended execution state contains runtime-local values, lexical environments, stacks, references, and program counters. Persisting that state would bind durable records to engine internals, complicate secret erasure, heap migration, replay validation, garbage collection, and hot reload. Durable </w:t>
      </w:r>
      <w:r>
        <w:rPr>
          <w:rFonts w:ascii="DejaVu Sans Mono" w:hAnsi="DejaVu Sans Mono" w:eastAsia="DejaVu Sans Mono" w:cs="DejaVu Sans Mono"/>
          <w:b w:val="0"/>
          <w:i w:val="0"/>
          <w:color w:val="202733"/>
          <w:sz w:val="16"/>
          <w:shd w:fill="EDF1F4" w:val="clear"/>
        </w:rPr>
        <w:t>await</w:t>
      </w:r>
      <w:r>
        <w:rPr>
          <w:rFonts w:ascii="Noto Serif" w:hAnsi="Noto Serif" w:eastAsia="Noto Serif" w:cs="Noto Serif"/>
          <w:b w:val="0"/>
          <w:i w:val="0"/>
          <w:color w:val="202733"/>
          <w:sz w:val="18"/>
        </w:rPr>
        <w:t xml:space="preserve"> should be syntax sugar compiled by continuation-passing transformation and defunctionalization into the explicit, versioned native continuation model Tiny-IDP already implements.</w:t>
      </w:r>
    </w:p>
    <w:p>
      <w:bookmarkStart w:id="12" w:name="sec_003"/>
      <w:pPr>
        <w:pStyle w:val="Heading1"/>
        <w:pageBreakBefore/>
      </w:pPr>
      <w:r>
        <w:rPr>
          <w:rFonts w:ascii="Lato" w:hAnsi="Lato" w:eastAsia="Lato" w:cs="Lato"/>
          <w:b/>
          <w:i w:val="0"/>
          <w:color w:val="17365D"/>
          <w:sz w:val="37"/>
        </w:rPr>
        <w:t>Executive synthesis</w:t>
      </w:r>
      <w:bookmarkEnd w:id="12"/>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13" w:name="sec_004"/>
      <w:pPr>
        <w:pStyle w:val="Heading2"/>
      </w:pPr>
      <w:r>
        <w:rPr>
          <w:rFonts w:ascii="Lato" w:hAnsi="Lato" w:eastAsia="Lato" w:cs="Lato"/>
          <w:b/>
          <w:i w:val="0"/>
          <w:color w:val="17365D"/>
          <w:sz w:val="26"/>
        </w:rPr>
        <w:t>The architecture to build</w:t>
      </w:r>
      <w:bookmarkEnd w:id="13"/>
    </w:p>
    <w:p>
      <w:r>
        <w:rPr>
          <w:rFonts w:ascii="Noto Serif" w:hAnsi="Noto Serif" w:eastAsia="Noto Serif" w:cs="Noto Serif"/>
          <w:b w:val="0"/>
          <w:i w:val="0"/>
          <w:color w:val="202733"/>
          <w:sz w:val="18"/>
        </w:rPr>
        <w:t xml:space="preserve">The proposed system, called </w:t>
      </w:r>
      <w:r>
        <w:rPr>
          <w:rFonts w:ascii="Noto Serif" w:hAnsi="Noto Serif" w:eastAsia="Noto Serif" w:cs="Noto Serif"/>
          <w:b/>
          <w:i w:val="0"/>
          <w:color w:val="202733"/>
          <w:sz w:val="18"/>
        </w:rPr>
        <w:t>Malleable JS</w:t>
      </w:r>
      <w:r>
        <w:rPr>
          <w:rFonts w:ascii="Noto Serif" w:hAnsi="Noto Serif" w:eastAsia="Noto Serif" w:cs="Noto Serif"/>
          <w:b w:val="0"/>
          <w:i w:val="0"/>
          <w:color w:val="202733"/>
          <w:sz w:val="18"/>
        </w:rPr>
        <w:t xml:space="preserve"> in this report, is a compiler and interpreter substrate rather than a new general-purpose JavaScript runtime. It should preserve standard JavaScript where possible, reject or transform constructs that violate a selected assurance profile, and lower accepted programs to a stable semantic intermediate representation (MIR).</w:t>
      </w:r>
    </w:p>
    <w:p>
      <w:r>
        <w:rPr>
          <w:rFonts w:ascii="Noto Serif" w:hAnsi="Noto Serif" w:eastAsia="Noto Serif" w:cs="Noto Serif"/>
          <w:b w:val="0"/>
          <w:i w:val="0"/>
          <w:color w:val="202733"/>
          <w:sz w:val="18"/>
        </w:rPr>
        <w:t>The MIR is the long-lived contract. It contains:</w:t>
      </w:r>
    </w:p>
    <w:p>
      <w:pPr>
        <w:pStyle w:val="ListBullet"/>
      </w:pPr>
      <w:r>
        <w:rPr>
          <w:rFonts w:ascii="Noto Serif" w:hAnsi="Noto Serif" w:eastAsia="Noto Serif" w:cs="Noto Serif"/>
          <w:b w:val="0"/>
          <w:i w:val="0"/>
          <w:color w:val="202733"/>
          <w:sz w:val="18"/>
        </w:rPr>
        <w:t>closed value and schema types;</w:t>
      </w:r>
    </w:p>
    <w:p>
      <w:pPr>
        <w:pStyle w:val="ListBullet"/>
      </w:pPr>
      <w:r>
        <w:rPr>
          <w:rFonts w:ascii="Noto Serif" w:hAnsi="Noto Serif" w:eastAsia="Noto Serif" w:cs="Noto Serif"/>
          <w:b w:val="0"/>
          <w:i w:val="0"/>
          <w:color w:val="202733"/>
          <w:sz w:val="18"/>
        </w:rPr>
        <w:t>functions and basic blocks with stable identities;</w:t>
      </w:r>
    </w:p>
    <w:p>
      <w:pPr>
        <w:pStyle w:val="ListBullet"/>
      </w:pPr>
      <w:r>
        <w:rPr>
          <w:rFonts w:ascii="Noto Serif" w:hAnsi="Noto Serif" w:eastAsia="Noto Serif" w:cs="Noto Serif"/>
          <w:b w:val="0"/>
          <w:i w:val="0"/>
          <w:color w:val="202733"/>
          <w:sz w:val="18"/>
        </w:rPr>
        <w:t>declared or inferred capability imports;</w:t>
      </w:r>
    </w:p>
    <w:p>
      <w:pPr>
        <w:pStyle w:val="ListBullet"/>
      </w:pPr>
      <w:r>
        <w:rPr>
          <w:rFonts w:ascii="Noto Serif" w:hAnsi="Noto Serif" w:eastAsia="Noto Serif" w:cs="Noto Serif"/>
          <w:b w:val="0"/>
          <w:i w:val="0"/>
          <w:color w:val="202733"/>
          <w:sz w:val="18"/>
        </w:rPr>
        <w:t>an effect row for each function;</w:t>
      </w:r>
    </w:p>
    <w:p>
      <w:pPr>
        <w:pStyle w:val="ListBullet"/>
      </w:pPr>
      <w:r>
        <w:rPr>
          <w:rFonts w:ascii="Noto Serif" w:hAnsi="Noto Serif" w:eastAsia="Noto Serif" w:cs="Noto Serif"/>
          <w:b w:val="0"/>
          <w:i w:val="0"/>
          <w:color w:val="202733"/>
          <w:sz w:val="18"/>
        </w:rPr>
        <w:t>resource and region types for secrets, evidence, transactions, and invocation-scoped handles;</w:t>
      </w:r>
    </w:p>
    <w:p>
      <w:pPr>
        <w:pStyle w:val="ListBullet"/>
      </w:pPr>
      <w:r>
        <w:rPr>
          <w:rFonts w:ascii="Noto Serif" w:hAnsi="Noto Serif" w:eastAsia="Noto Serif" w:cs="Noto Serif"/>
          <w:b w:val="0"/>
          <w:i w:val="0"/>
          <w:color w:val="202733"/>
          <w:sz w:val="18"/>
        </w:rPr>
        <w:t>explicit suspension points and continuation carry schemas;</w:t>
      </w:r>
    </w:p>
    <w:p>
      <w:pPr>
        <w:pStyle w:val="ListBullet"/>
      </w:pPr>
      <w:r>
        <w:rPr>
          <w:rFonts w:ascii="Noto Serif" w:hAnsi="Noto Serif" w:eastAsia="Noto Serif" w:cs="Noto Serif"/>
          <w:b w:val="0"/>
          <w:i w:val="0"/>
          <w:color w:val="202733"/>
          <w:sz w:val="18"/>
        </w:rPr>
        <w:t>closed outcomes and typed effect plans;</w:t>
      </w:r>
    </w:p>
    <w:p>
      <w:pPr>
        <w:pStyle w:val="ListBullet"/>
      </w:pPr>
      <w:r>
        <w:rPr>
          <w:rFonts w:ascii="Noto Serif" w:hAnsi="Noto Serif" w:eastAsia="Noto Serif" w:cs="Noto Serif"/>
          <w:b w:val="0"/>
          <w:i w:val="0"/>
          <w:color w:val="202733"/>
          <w:sz w:val="18"/>
        </w:rPr>
        <w:t>source provenance and diagnostic locations;</w:t>
      </w:r>
    </w:p>
    <w:p>
      <w:pPr>
        <w:pStyle w:val="ListBullet"/>
      </w:pPr>
      <w:r>
        <w:rPr>
          <w:rFonts w:ascii="Noto Serif" w:hAnsi="Noto Serif" w:eastAsia="Noto Serif" w:cs="Noto Serif"/>
          <w:b w:val="0"/>
          <w:i w:val="0"/>
          <w:color w:val="202733"/>
          <w:sz w:val="18"/>
        </w:rPr>
        <w:t>resource budgets and verification results.</w:t>
      </w:r>
    </w:p>
    <w:p>
      <w:r>
        <w:rPr>
          <w:rFonts w:ascii="Noto Serif" w:hAnsi="Noto Serif" w:eastAsia="Noto Serif" w:cs="Noto Serif"/>
          <w:b w:val="0"/>
          <w:i w:val="0"/>
          <w:color w:val="202733"/>
          <w:sz w:val="18"/>
        </w:rPr>
        <w:t>The JavaScript source and Goja bytecode are replaceable front-end/backend artifacts. Continuations, activation identity, model checking, upgrade compatibility, and verification operate on the MIR.</w:t>
      </w:r>
    </w:p>
    <w:p>
      <w:bookmarkStart w:id="14" w:name="sec_005"/>
      <w:pPr>
        <w:pStyle w:val="Heading2"/>
      </w:pPr>
      <w:r>
        <w:rPr>
          <w:rFonts w:ascii="Lato" w:hAnsi="Lato" w:eastAsia="Lato" w:cs="Lato"/>
          <w:b/>
          <w:i w:val="0"/>
          <w:color w:val="17365D"/>
          <w:sz w:val="26"/>
        </w:rPr>
        <w:t>What changes for Tiny-IDP</w:t>
      </w:r>
      <w:bookmarkEnd w:id="14"/>
    </w:p>
    <w:p>
      <w:r>
        <w:rPr>
          <w:rFonts w:ascii="Noto Serif" w:hAnsi="Noto Serif" w:eastAsia="Noto Serif" w:cs="Noto Serif"/>
          <w:b w:val="0"/>
          <w:i w:val="0"/>
          <w:color w:val="202733"/>
          <w:sz w:val="18"/>
        </w:rPr>
        <w:t xml:space="preserve">Today Tiny-IDP constructs </w:t>
      </w:r>
      <w:r>
        <w:rPr>
          <w:rFonts w:ascii="DejaVu Sans Mono" w:hAnsi="DejaVu Sans Mono" w:eastAsia="DejaVu Sans Mono" w:cs="DejaVu Sans Mono"/>
          <w:b w:val="0"/>
          <w:i w:val="0"/>
          <w:color w:val="202733"/>
          <w:sz w:val="16"/>
          <w:shd w:fill="EDF1F4" w:val="clear"/>
        </w:rPr>
        <w:t>LambdaSpec</w:t>
      </w:r>
      <w:r>
        <w:rPr>
          <w:rFonts w:ascii="Noto Serif" w:hAnsi="Noto Serif" w:eastAsia="Noto Serif" w:cs="Noto Serif"/>
          <w:b w:val="0"/>
          <w:i w:val="0"/>
          <w:color w:val="202733"/>
          <w:sz w:val="18"/>
        </w:rPr>
        <w:t xml:space="preserve"> values at definition time and validates actual behavior at invocation time. With compiler ownership, a large part of </w:t>
      </w:r>
      <w:r>
        <w:rPr>
          <w:rFonts w:ascii="DejaVu Sans Mono" w:hAnsi="DejaVu Sans Mono" w:eastAsia="DejaVu Sans Mono" w:cs="DejaVu Sans Mono"/>
          <w:b w:val="0"/>
          <w:i w:val="0"/>
          <w:color w:val="202733"/>
          <w:sz w:val="16"/>
          <w:shd w:fill="EDF1F4" w:val="clear"/>
        </w:rPr>
        <w:t>LambdaSpec</w:t>
      </w:r>
      <w:r>
        <w:rPr>
          <w:rFonts w:ascii="Noto Serif" w:hAnsi="Noto Serif" w:eastAsia="Noto Serif" w:cs="Noto Serif"/>
          <w:b w:val="0"/>
          <w:i w:val="0"/>
          <w:color w:val="202733"/>
          <w:sz w:val="18"/>
        </w:rPr>
        <w:t xml:space="preserve"> can be inferred and checked before activation:</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current declaration                 compiler-derived contract</w:t>
        <w:br/>
      </w:r>
      <w:r>
        <w:rPr>
          <w:rFonts w:ascii="DejaVu Sans Mono" w:hAnsi="DejaVu Sans Mono" w:eastAsia="DejaVu Sans Mono" w:cs="DejaVu Sans Mono"/>
          <w:color w:val="202733"/>
          <w:sz w:val="14"/>
        </w:rPr>
        <w:t>-------------------                 -------------------------</w:t>
        <w:br/>
      </w:r>
      <w:r>
        <w:rPr>
          <w:rFonts w:ascii="DejaVu Sans Mono" w:hAnsi="DejaVu Sans Mono" w:eastAsia="DejaVu Sans Mono" w:cs="DejaVu Sans Mono"/>
          <w:color w:val="202733"/>
          <w:sz w:val="14"/>
        </w:rPr>
        <w:t>capabilities: ["community.lookup"]  inferred from reachable capability calls</w:t>
        <w:br/>
      </w:r>
      <w:r>
        <w:rPr>
          <w:rFonts w:ascii="DejaVu Sans Mono" w:hAnsi="DejaVu Sans Mono" w:eastAsia="DejaVu Sans Mono" w:cs="DejaVu Sans Mono"/>
          <w:color w:val="202733"/>
          <w:sz w:val="14"/>
        </w:rPr>
        <w:t>effects: ["create_identity"]        inferred from returned effect constructors</w:t>
        <w:br/>
      </w:r>
      <w:r>
        <w:rPr>
          <w:rFonts w:ascii="DejaVu Sans Mono" w:hAnsi="DejaVu Sans Mono" w:eastAsia="DejaVu Sans Mono" w:cs="DejaVu Sans Mono"/>
          <w:color w:val="202733"/>
          <w:sz w:val="14"/>
        </w:rPr>
        <w:t>outcomes: ["present", "commit"]     inferred as a closed union of return paths</w:t>
        <w:br/>
      </w:r>
      <w:r>
        <w:rPr>
          <w:rFonts w:ascii="DejaVu Sans Mono" w:hAnsi="DejaVu Sans Mono" w:eastAsia="DejaVu Sans Mono" w:cs="DejaVu Sans Mono"/>
          <w:color w:val="202733"/>
          <w:sz w:val="14"/>
        </w:rPr>
        <w:t>input/output schema IDs              resolved and type-checked at property access</w:t>
        <w:br/>
      </w:r>
      <w:r>
        <w:rPr>
          <w:rFonts w:ascii="DejaVu Sans Mono" w:hAnsi="DejaVu Sans Mono" w:eastAsia="DejaVu Sans Mono" w:cs="DejaVu Sans Mono"/>
          <w:color w:val="202733"/>
          <w:sz w:val="14"/>
        </w:rPr>
        <w:t>callback ID                          generated from module/export/lexical identity</w:t>
        <w:br/>
      </w:r>
      <w:r>
        <w:rPr>
          <w:rFonts w:ascii="DejaVu Sans Mono" w:hAnsi="DejaVu Sans Mono" w:eastAsia="DejaVu Sans Mono" w:cs="DejaVu Sans Mono"/>
          <w:color w:val="202733"/>
          <w:sz w:val="14"/>
        </w:rPr>
        <w:t>continuation carry schema            derived from liveness at durable suspension</w:t>
        <w:br/>
      </w:r>
      <w:r>
        <w:rPr>
          <w:rFonts w:ascii="DejaVu Sans Mono" w:hAnsi="DejaVu Sans Mono" w:eastAsia="DejaVu Sans Mono" w:cs="DejaVu Sans Mono"/>
          <w:color w:val="202733"/>
          <w:sz w:val="14"/>
        </w:rPr>
        <w:t>call/output budget                   declared policy plus compiler estimates</w:t>
        <w:br/>
      </w:r>
      <w:r>
        <w:rPr>
          <w:rFonts w:ascii="DejaVu Sans Mono" w:hAnsi="DejaVu Sans Mono" w:eastAsia="DejaVu Sans Mono" w:cs="DejaVu Sans Mono"/>
          <w:color w:val="202733"/>
          <w:sz w:val="14"/>
        </w:rPr>
        <w:t>source location                      precise source map and IR provenance</w:t>
      </w:r>
    </w:p>
    <w:p>
      <w:r>
        <w:rPr>
          <w:rFonts w:ascii="Noto Serif" w:hAnsi="Noto Serif" w:eastAsia="Noto Serif" w:cs="Noto Serif"/>
          <w:b w:val="0"/>
          <w:i w:val="0"/>
          <w:color w:val="202733"/>
          <w:sz w:val="18"/>
        </w:rPr>
        <w:t>The host remains authoritative. Inference does not grant power. The world manifest still states the maximum capabilities and effects a project permits. The compiler proves that the program requests a subset of that maximum; the runtime supplies only the approved imports.</w:t>
      </w:r>
    </w:p>
    <w:p>
      <w:bookmarkStart w:id="15" w:name="sec_006"/>
      <w:pPr>
        <w:pStyle w:val="Heading2"/>
      </w:pPr>
      <w:r>
        <w:rPr>
          <w:rFonts w:ascii="Lato" w:hAnsi="Lato" w:eastAsia="Lato" w:cs="Lato"/>
          <w:b/>
          <w:i w:val="0"/>
          <w:color w:val="17365D"/>
          <w:sz w:val="26"/>
        </w:rPr>
        <w:t>What changes for script authors</w:t>
      </w:r>
      <w:bookmarkEnd w:id="15"/>
    </w:p>
    <w:p>
      <w:r>
        <w:rPr>
          <w:rFonts w:ascii="Noto Serif" w:hAnsi="Noto Serif" w:eastAsia="Noto Serif" w:cs="Noto Serif"/>
          <w:b w:val="0"/>
          <w:i w:val="0"/>
          <w:color w:val="202733"/>
          <w:sz w:val="18"/>
        </w:rPr>
        <w:t>A plugin author can write code resembling ordinary asynchronous JavaScript:</w:t>
      </w:r>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export async function signup(ctx) {</w:t>
        <w:br/>
      </w:r>
      <w:r>
        <w:rPr>
          <w:rFonts w:ascii="DejaVu Sans Mono" w:hAnsi="DejaVu Sans Mono" w:eastAsia="DejaVu Sans Mono" w:cs="DejaVu Sans Mono"/>
          <w:color w:val="202733"/>
          <w:sz w:val="14"/>
        </w:rPr>
        <w:t xml:space="preserve">  const invite = await ctx.invites.inspect(ctx.input.inviteCode);</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const form = await durable.form(SignupForm, {</w:t>
        <w:br/>
      </w:r>
      <w:r>
        <w:rPr>
          <w:rFonts w:ascii="DejaVu Sans Mono" w:hAnsi="DejaVu Sans Mono" w:eastAsia="DejaVu Sans Mono" w:cs="DejaVu Sans Mono"/>
          <w:color w:val="202733"/>
          <w:sz w:val="14"/>
        </w:rPr>
        <w:t xml:space="preserve">    email: invite.email,</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const proof = await durable.emailCode({</w:t>
        <w:br/>
      </w:r>
      <w:r>
        <w:rPr>
          <w:rFonts w:ascii="DejaVu Sans Mono" w:hAnsi="DejaVu Sans Mono" w:eastAsia="DejaVu Sans Mono" w:cs="DejaVu Sans Mono"/>
          <w:color w:val="202733"/>
          <w:sz w:val="14"/>
        </w:rPr>
        <w:t xml:space="preserve">    address: form.email,</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return effects.commit([</w:t>
        <w:br/>
      </w:r>
      <w:r>
        <w:rPr>
          <w:rFonts w:ascii="DejaVu Sans Mono" w:hAnsi="DejaVu Sans Mono" w:eastAsia="DejaVu Sans Mono" w:cs="DejaVu Sans Mono"/>
          <w:color w:val="202733"/>
          <w:sz w:val="14"/>
        </w:rPr>
        <w:t xml:space="preserve">    identity.create({ email: form.email, verifiedBy: proof }),</w:t>
        <w:br/>
      </w:r>
      <w:r>
        <w:rPr>
          <w:rFonts w:ascii="DejaVu Sans Mono" w:hAnsi="DejaVu Sans Mono" w:eastAsia="DejaVu Sans Mono" w:cs="DejaVu Sans Mono"/>
          <w:color w:val="202733"/>
          <w:sz w:val="14"/>
        </w:rPr>
        <w:t xml:space="preserve">    invite.consume(invite),</w:t>
        <w:br/>
      </w:r>
      <w:r>
        <w:rPr>
          <w:rFonts w:ascii="DejaVu Sans Mono" w:hAnsi="DejaVu Sans Mono" w:eastAsia="DejaVu Sans Mono" w:cs="DejaVu Sans Mono"/>
          <w:color w:val="202733"/>
          <w:sz w:val="14"/>
        </w:rPr>
        <w:t xml:space="preserve">    session.establish(),</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 xml:space="preserve">The compiler rejects this program if </w:t>
      </w:r>
      <w:r>
        <w:rPr>
          <w:rFonts w:ascii="DejaVu Sans Mono" w:hAnsi="DejaVu Sans Mono" w:eastAsia="DejaVu Sans Mono" w:cs="DejaVu Sans Mono"/>
          <w:b w:val="0"/>
          <w:i w:val="0"/>
          <w:color w:val="202733"/>
          <w:sz w:val="16"/>
          <w:shd w:fill="EDF1F4" w:val="clear"/>
        </w:rPr>
        <w:t>invite</w:t>
      </w:r>
      <w:r>
        <w:rPr>
          <w:rFonts w:ascii="Noto Serif" w:hAnsi="Noto Serif" w:eastAsia="Noto Serif" w:cs="Noto Serif"/>
          <w:b w:val="0"/>
          <w:i w:val="0"/>
          <w:color w:val="202733"/>
          <w:sz w:val="18"/>
        </w:rPr>
        <w:t xml:space="preserve"> contains non-serializable or secret state live across </w:t>
      </w:r>
      <w:r>
        <w:rPr>
          <w:rFonts w:ascii="DejaVu Sans Mono" w:hAnsi="DejaVu Sans Mono" w:eastAsia="DejaVu Sans Mono" w:cs="DejaVu Sans Mono"/>
          <w:b w:val="0"/>
          <w:i w:val="0"/>
          <w:color w:val="202733"/>
          <w:sz w:val="16"/>
          <w:shd w:fill="EDF1F4" w:val="clear"/>
        </w:rPr>
        <w:t>durable.form</w:t>
      </w:r>
      <w:r>
        <w:rPr>
          <w:rFonts w:ascii="Noto Serif" w:hAnsi="Noto Serif" w:eastAsia="Noto Serif" w:cs="Noto Serif"/>
          <w:b w:val="0"/>
          <w:i w:val="0"/>
          <w:color w:val="202733"/>
          <w:sz w:val="18"/>
        </w:rPr>
        <w:t xml:space="preserve">, if the world does not import </w:t>
      </w:r>
      <w:r>
        <w:rPr>
          <w:rFonts w:ascii="DejaVu Sans Mono" w:hAnsi="DejaVu Sans Mono" w:eastAsia="DejaVu Sans Mono" w:cs="DejaVu Sans Mono"/>
          <w:b w:val="0"/>
          <w:i w:val="0"/>
          <w:color w:val="202733"/>
          <w:sz w:val="16"/>
          <w:shd w:fill="EDF1F4" w:val="clear"/>
        </w:rPr>
        <w:t>invites.inspect</w:t>
      </w:r>
      <w:r>
        <w:rPr>
          <w:rFonts w:ascii="Noto Serif" w:hAnsi="Noto Serif" w:eastAsia="Noto Serif" w:cs="Noto Serif"/>
          <w:b w:val="0"/>
          <w:i w:val="0"/>
          <w:color w:val="202733"/>
          <w:sz w:val="18"/>
        </w:rPr>
        <w:t>, if a detached Promise can survive the invocation, if the commit sequence is illegal, or if an outcome is not covered. It lowers the function to named handlers and continuation records compatible with the native Tiny-IDP executor.</w:t>
      </w:r>
    </w:p>
    <w:p>
      <w:r>
        <w:rPr>
          <w:rFonts w:ascii="Noto Serif" w:hAnsi="Noto Serif" w:eastAsia="Noto Serif" w:cs="Noto Serif"/>
          <w:b w:val="0"/>
          <w:i w:val="0"/>
          <w:color w:val="202733"/>
          <w:sz w:val="18"/>
        </w:rPr>
        <w:t>This is more usable because the author writes local control flow instead of manually naming every resume handler and copying every carry field. It is more robust because the compiler, not the author, computes continuation state. It is more analyzable because the result is an explicit state machine. It is more maintainable because source identities, migrations, and effect contracts are generated rather than duplicated.</w:t>
      </w:r>
    </w:p>
    <w:p>
      <w:bookmarkStart w:id="16" w:name="sec_007"/>
      <w:pPr>
        <w:pStyle w:val="Heading2"/>
      </w:pPr>
      <w:r>
        <w:rPr>
          <w:rFonts w:ascii="Lato" w:hAnsi="Lato" w:eastAsia="Lato" w:cs="Lato"/>
          <w:b/>
          <w:i w:val="0"/>
          <w:color w:val="17365D"/>
          <w:sz w:val="26"/>
        </w:rPr>
        <w:t>What requires VM modification</w:t>
      </w:r>
      <w:bookmarkEnd w:id="16"/>
    </w:p>
    <w:p>
      <w:r>
        <w:rPr>
          <w:rFonts w:ascii="Noto Serif" w:hAnsi="Noto Serif" w:eastAsia="Noto Serif" w:cs="Noto Serif"/>
          <w:b w:val="0"/>
          <w:i w:val="0"/>
          <w:color w:val="202733"/>
          <w:sz w:val="18"/>
        </w:rPr>
        <w:t xml:space="preserve">Most semantic improvements do not require a Goja fork. Goja exposes parsing and </w:t>
      </w:r>
      <w:r>
        <w:rPr>
          <w:rFonts w:ascii="DejaVu Sans Mono" w:hAnsi="DejaVu Sans Mono" w:eastAsia="DejaVu Sans Mono" w:cs="DejaVu Sans Mono"/>
          <w:b w:val="0"/>
          <w:i w:val="0"/>
          <w:color w:val="202733"/>
          <w:sz w:val="16"/>
          <w:shd w:fill="EDF1F4" w:val="clear"/>
        </w:rPr>
        <w:t>CompileAST</w:t>
      </w:r>
      <w:r>
        <w:rPr>
          <w:rFonts w:ascii="Noto Serif" w:hAnsi="Noto Serif" w:eastAsia="Noto Serif" w:cs="Noto Serif"/>
          <w:b w:val="0"/>
          <w:i w:val="0"/>
          <w:color w:val="202733"/>
          <w:sz w:val="18"/>
        </w:rPr>
        <w:t>, and compiled programs are runtime-independent. A front end can therefore parse, analyze, transform, and then hand accepted code back to Goja.[9]</w:t>
      </w:r>
    </w:p>
    <w:p>
      <w:r>
        <w:rPr>
          <w:rFonts w:ascii="Noto Serif" w:hAnsi="Noto Serif" w:eastAsia="Noto Serif" w:cs="Noto Serif"/>
          <w:b w:val="0"/>
          <w:i w:val="0"/>
          <w:color w:val="202733"/>
          <w:sz w:val="18"/>
        </w:rPr>
        <w:t>A fork becomes justified for guarantees that cannot be observed reliably at the host boundary:</w:t>
      </w:r>
    </w:p>
    <w:p>
      <w:pPr>
        <w:pStyle w:val="ListBullet"/>
      </w:pPr>
      <w:r>
        <w:rPr>
          <w:rFonts w:ascii="Noto Serif" w:hAnsi="Noto Serif" w:eastAsia="Noto Serif" w:cs="Noto Serif"/>
          <w:b w:val="0"/>
          <w:i w:val="0"/>
          <w:color w:val="202733"/>
          <w:sz w:val="18"/>
        </w:rPr>
        <w:t>deterministic instruction-level fuel;</w:t>
      </w:r>
    </w:p>
    <w:p>
      <w:pPr>
        <w:pStyle w:val="ListBullet"/>
      </w:pPr>
      <w:r>
        <w:rPr>
          <w:rFonts w:ascii="Noto Serif" w:hAnsi="Noto Serif" w:eastAsia="Noto Serif" w:cs="Noto Serif"/>
          <w:b w:val="0"/>
          <w:i w:val="0"/>
          <w:color w:val="202733"/>
          <w:sz w:val="18"/>
        </w:rPr>
        <w:t>complete allocation and retained-heap accounting;</w:t>
      </w:r>
    </w:p>
    <w:p>
      <w:pPr>
        <w:pStyle w:val="ListBullet"/>
      </w:pPr>
      <w:r>
        <w:rPr>
          <w:rFonts w:ascii="Noto Serif" w:hAnsi="Noto Serif" w:eastAsia="Noto Serif" w:cs="Noto Serif"/>
          <w:b w:val="0"/>
          <w:i w:val="0"/>
          <w:color w:val="202733"/>
          <w:sz w:val="18"/>
        </w:rPr>
        <w:t>controlled Promise job scheduling and microtask quiescence;</w:t>
      </w:r>
    </w:p>
    <w:p>
      <w:pPr>
        <w:pStyle w:val="ListBullet"/>
      </w:pPr>
      <w:r>
        <w:rPr>
          <w:rFonts w:ascii="Noto Serif" w:hAnsi="Noto Serif" w:eastAsia="Noto Serif" w:cs="Noto Serif"/>
          <w:b w:val="0"/>
          <w:i w:val="0"/>
          <w:color w:val="202733"/>
          <w:sz w:val="18"/>
        </w:rPr>
        <w:t>precise semantic trace probes at calls, branches, throws, allocations, and awaits;</w:t>
      </w:r>
    </w:p>
    <w:p>
      <w:pPr>
        <w:pStyle w:val="ListBullet"/>
      </w:pPr>
      <w:r>
        <w:rPr>
          <w:rFonts w:ascii="Noto Serif" w:hAnsi="Noto Serif" w:eastAsia="Noto Serif" w:cs="Noto Serif"/>
          <w:b w:val="0"/>
          <w:i w:val="0"/>
          <w:color w:val="202733"/>
          <w:sz w:val="18"/>
        </w:rPr>
        <w:t>host-internal provenance tags that JavaScript cannot forge or erase;</w:t>
      </w:r>
    </w:p>
    <w:p>
      <w:pPr>
        <w:pStyle w:val="ListBullet"/>
      </w:pPr>
      <w:r>
        <w:rPr>
          <w:rFonts w:ascii="Noto Serif" w:hAnsi="Noto Serif" w:eastAsia="Noto Serif" w:cs="Noto Serif"/>
          <w:b w:val="0"/>
          <w:i w:val="0"/>
          <w:color w:val="202733"/>
          <w:sz w:val="18"/>
        </w:rPr>
        <w:t>stronger runtime reset or isolate lifecycle hooks;</w:t>
      </w:r>
    </w:p>
    <w:p>
      <w:pPr>
        <w:pStyle w:val="ListBullet"/>
      </w:pPr>
      <w:r>
        <w:rPr>
          <w:rFonts w:ascii="Noto Serif" w:hAnsi="Noto Serif" w:eastAsia="Noto Serif" w:cs="Noto Serif"/>
          <w:b w:val="0"/>
          <w:i w:val="0"/>
          <w:color w:val="202733"/>
          <w:sz w:val="18"/>
        </w:rPr>
        <w:t>a stable compiler IR export, if source-level transformation proves too brittle.</w:t>
      </w:r>
    </w:p>
    <w:p>
      <w:r>
        <w:rPr>
          <w:rFonts w:ascii="Noto Serif" w:hAnsi="Noto Serif" w:eastAsia="Noto Serif" w:cs="Noto Serif"/>
          <w:b w:val="0"/>
          <w:i w:val="0"/>
          <w:color w:val="202733"/>
          <w:sz w:val="18"/>
        </w:rPr>
        <w:t>Even then, the fork should be a small, generic instrumentation layer suitable for upstreaming. It should not contain Tiny-IDP-specific opcodes or protocol logic.</w:t>
      </w:r>
    </w:p>
    <w:p>
      <w:bookmarkStart w:id="17" w:name="sec_008"/>
      <w:pPr>
        <w:pStyle w:val="Heading2"/>
      </w:pPr>
      <w:r>
        <w:rPr>
          <w:rFonts w:ascii="Lato" w:hAnsi="Lato" w:eastAsia="Lato" w:cs="Lato"/>
          <w:b/>
          <w:i w:val="0"/>
          <w:color w:val="17365D"/>
          <w:sz w:val="26"/>
        </w:rPr>
        <w:t>What should be verified</w:t>
      </w:r>
      <w:bookmarkEnd w:id="17"/>
    </w:p>
    <w:p>
      <w:r>
        <w:rPr>
          <w:rFonts w:ascii="Noto Serif" w:hAnsi="Noto Serif" w:eastAsia="Noto Serif" w:cs="Noto Serif"/>
          <w:b w:val="0"/>
          <w:i w:val="0"/>
          <w:color w:val="202733"/>
          <w:sz w:val="18"/>
        </w:rPr>
        <w:t>The feasible verification target is the small semantic core, not full ECMAScript:</w:t>
      </w:r>
    </w:p>
    <w:p>
      <w:pPr>
        <w:spacing w:after="30"/>
        <w:ind w:left="432" w:hanging="317"/>
      </w:pPr>
      <w:r>
        <w:rPr>
          <w:rFonts w:ascii="Noto Serif" w:hAnsi="Noto Serif" w:eastAsia="Noto Serif" w:cs="Noto Serif"/>
          <w:color w:val="202733"/>
          <w:sz w:val="18"/>
        </w:rPr>
        <w:t xml:space="preserve">1. </w:t>
      </w:r>
      <w:r>
        <w:rPr>
          <w:rFonts w:ascii="Noto Serif" w:hAnsi="Noto Serif" w:eastAsia="Noto Serif" w:cs="Noto Serif"/>
          <w:b w:val="0"/>
          <w:i w:val="0"/>
          <w:color w:val="202733"/>
          <w:sz w:val="18"/>
        </w:rPr>
        <w:t>define a formal small-step semantics for MIR values, control flow, effects, regions, and suspension;</w:t>
      </w:r>
    </w:p>
    <w:p>
      <w:pPr>
        <w:spacing w:after="30"/>
        <w:ind w:left="432" w:hanging="317"/>
      </w:pPr>
      <w:r>
        <w:rPr>
          <w:rFonts w:ascii="Noto Serif" w:hAnsi="Noto Serif" w:eastAsia="Noto Serif" w:cs="Noto Serif"/>
          <w:color w:val="202733"/>
          <w:sz w:val="18"/>
        </w:rPr>
        <w:t xml:space="preserve">2. </w:t>
      </w:r>
      <w:r>
        <w:rPr>
          <w:rFonts w:ascii="Noto Serif" w:hAnsi="Noto Serif" w:eastAsia="Noto Serif" w:cs="Noto Serif"/>
          <w:b w:val="0"/>
          <w:i w:val="0"/>
          <w:color w:val="202733"/>
          <w:sz w:val="18"/>
        </w:rPr>
        <w:t>prove the MIR verifier's principal safety properties;</w:t>
      </w:r>
    </w:p>
    <w:p>
      <w:pPr>
        <w:spacing w:after="30"/>
        <w:ind w:left="432" w:hanging="317"/>
      </w:pPr>
      <w:r>
        <w:rPr>
          <w:rFonts w:ascii="Noto Serif" w:hAnsi="Noto Serif" w:eastAsia="Noto Serif" w:cs="Noto Serif"/>
          <w:color w:val="202733"/>
          <w:sz w:val="18"/>
        </w:rPr>
        <w:t xml:space="preserve">3. </w:t>
      </w:r>
      <w:r>
        <w:rPr>
          <w:rFonts w:ascii="Noto Serif" w:hAnsi="Noto Serif" w:eastAsia="Noto Serif" w:cs="Noto Serif"/>
          <w:b w:val="0"/>
          <w:i w:val="0"/>
          <w:color w:val="202733"/>
          <w:sz w:val="18"/>
        </w:rPr>
        <w:t>prove selected lowering passes preserve observable effect traces for the accepted JavaScript profile;</w:t>
      </w:r>
    </w:p>
    <w:p>
      <w:pPr>
        <w:spacing w:after="30"/>
        <w:ind w:left="432" w:hanging="317"/>
      </w:pPr>
      <w:r>
        <w:rPr>
          <w:rFonts w:ascii="Noto Serif" w:hAnsi="Noto Serif" w:eastAsia="Noto Serif" w:cs="Noto Serif"/>
          <w:color w:val="202733"/>
          <w:sz w:val="18"/>
        </w:rPr>
        <w:t xml:space="preserve">4. </w:t>
      </w:r>
      <w:r>
        <w:rPr>
          <w:rFonts w:ascii="Noto Serif" w:hAnsi="Noto Serif" w:eastAsia="Noto Serif" w:cs="Noto Serif"/>
          <w:b w:val="0"/>
          <w:i w:val="0"/>
          <w:color w:val="202733"/>
          <w:sz w:val="18"/>
        </w:rPr>
        <w:t>differentially execute MIR programs in a simple reference interpreter and the Goja backend;</w:t>
      </w:r>
    </w:p>
    <w:p>
      <w:pPr>
        <w:spacing w:after="30"/>
        <w:ind w:left="432" w:hanging="317"/>
      </w:pPr>
      <w:r>
        <w:rPr>
          <w:rFonts w:ascii="Noto Serif" w:hAnsi="Noto Serif" w:eastAsia="Noto Serif" w:cs="Noto Serif"/>
          <w:color w:val="202733"/>
          <w:sz w:val="18"/>
        </w:rPr>
        <w:t xml:space="preserve">5. </w:t>
      </w:r>
      <w:r>
        <w:rPr>
          <w:rFonts w:ascii="Noto Serif" w:hAnsi="Noto Serif" w:eastAsia="Noto Serif" w:cs="Noto Serif"/>
          <w:b w:val="0"/>
          <w:i w:val="0"/>
          <w:color w:val="202733"/>
          <w:sz w:val="18"/>
        </w:rPr>
        <w:t>generate conformance and property tests from dialect definitions;</w:t>
      </w:r>
    </w:p>
    <w:p>
      <w:pPr>
        <w:spacing w:after="30"/>
        <w:ind w:left="432" w:hanging="317"/>
      </w:pPr>
      <w:r>
        <w:rPr>
          <w:rFonts w:ascii="Noto Serif" w:hAnsi="Noto Serif" w:eastAsia="Noto Serif" w:cs="Noto Serif"/>
          <w:color w:val="202733"/>
          <w:sz w:val="18"/>
        </w:rPr>
        <w:t xml:space="preserve">6. </w:t>
      </w:r>
      <w:r>
        <w:rPr>
          <w:rFonts w:ascii="Noto Serif" w:hAnsi="Noto Serif" w:eastAsia="Noto Serif" w:cs="Noto Serif"/>
          <w:b w:val="0"/>
          <w:i w:val="0"/>
          <w:color w:val="202733"/>
          <w:sz w:val="18"/>
        </w:rPr>
        <w:t>emit an activation certificate whose hashes and verifier results are checked by the production runtime.</w:t>
      </w:r>
    </w:p>
    <w:p>
      <w:r>
        <w:rPr>
          <w:rFonts w:ascii="Noto Serif" w:hAnsi="Noto Serif" w:eastAsia="Noto Serif" w:cs="Noto Serif"/>
          <w:b w:val="0"/>
          <w:i w:val="0"/>
          <w:color w:val="202733"/>
          <w:sz w:val="18"/>
        </w:rPr>
        <w:t>Cedar's verified validator and differential comparison with the production implementation provide a useful model: prove a tractable semantic component and continuously compare it to the optimized implementation.[7] JSCert and KJS demonstrate that mechanized JavaScript semantics are possible, but they also illustrate the scale and versioning cost of targeting the full language.[10][11]</w:t>
      </w:r>
    </w:p>
    <w:p>
      <w:bookmarkStart w:id="18" w:name="sec_009"/>
      <w:pPr>
        <w:pStyle w:val="Heading2"/>
      </w:pPr>
      <w:r>
        <w:rPr>
          <w:rFonts w:ascii="Lato" w:hAnsi="Lato" w:eastAsia="Lato" w:cs="Lato"/>
          <w:b/>
          <w:i w:val="0"/>
          <w:color w:val="17365D"/>
          <w:sz w:val="26"/>
        </w:rPr>
        <w:t>Recommendation in one sentence</w:t>
      </w:r>
      <w:bookmarkEnd w:id="18"/>
    </w:p>
    <w:p>
      <w:r>
        <w:rPr>
          <w:rFonts w:ascii="Noto Serif" w:hAnsi="Noto Serif" w:eastAsia="Noto Serif" w:cs="Noto Serif"/>
          <w:b w:val="0"/>
          <w:i w:val="0"/>
          <w:color w:val="202733"/>
          <w:sz w:val="18"/>
        </w:rPr>
        <w:t>Build a JavaScript-compatible, effect-aware compiler front end and a small extensible MIR now; add narrowly scoped Goja VM instrumentation only when a concrete guarantee cannot be obtained above the VM; do not serialize VM frames and do not begin with a new full JavaScript engine.</w:t>
      </w:r>
    </w:p>
    <w:p>
      <w:bookmarkStart w:id="19" w:name="sec_010"/>
      <w:pPr>
        <w:pStyle w:val="Heading1"/>
        <w:pageBreakBefore/>
      </w:pPr>
      <w:r>
        <w:rPr>
          <w:rFonts w:ascii="Lato" w:hAnsi="Lato" w:eastAsia="Lato" w:cs="Lato"/>
          <w:b/>
          <w:i w:val="0"/>
          <w:color w:val="17365D"/>
          <w:sz w:val="37"/>
        </w:rPr>
        <w:t>Part I - The baseline and the design question</w:t>
      </w:r>
      <w:bookmarkEnd w:id="19"/>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20" w:name="sec_011"/>
      <w:pPr>
        <w:pStyle w:val="Heading2"/>
      </w:pPr>
      <w:r>
        <w:rPr>
          <w:rFonts w:ascii="Lato" w:hAnsi="Lato" w:eastAsia="Lato" w:cs="Lato"/>
          <w:b/>
          <w:i w:val="0"/>
          <w:color w:val="17365D"/>
          <w:sz w:val="26"/>
        </w:rPr>
        <w:t>1. Tiny-IDP already implements a language runtime, not merely an embedding</w:t>
      </w:r>
      <w:bookmarkEnd w:id="20"/>
    </w:p>
    <w:p>
      <w:r>
        <w:rPr>
          <w:rFonts w:ascii="Noto Serif" w:hAnsi="Noto Serif" w:eastAsia="Noto Serif" w:cs="Noto Serif"/>
          <w:b w:val="0"/>
          <w:i w:val="0"/>
          <w:color w:val="202733"/>
          <w:sz w:val="18"/>
        </w:rPr>
        <w:t>The existing system has at least four semantic stages.</w:t>
      </w:r>
    </w:p>
    <w:p>
      <w:bookmarkStart w:id="21" w:name="sec_012"/>
      <w:pPr>
        <w:pStyle w:val="Heading3"/>
      </w:pPr>
      <w:r>
        <w:rPr>
          <w:rFonts w:ascii="Lato" w:hAnsi="Lato" w:eastAsia="Lato" w:cs="Lato"/>
          <w:b/>
          <w:i w:val="0"/>
          <w:color w:val="202733"/>
          <w:sz w:val="21"/>
        </w:rPr>
        <w:t>1.1 Definition-time evaluation</w:t>
      </w:r>
      <w:bookmarkEnd w:id="21"/>
    </w:p>
    <w:p>
      <w:r>
        <w:rPr>
          <w:rFonts w:ascii="Noto Serif" w:hAnsi="Noto Serif" w:eastAsia="Noto Serif" w:cs="Noto Serif"/>
          <w:b w:val="0"/>
          <w:i w:val="0"/>
          <w:color w:val="202733"/>
          <w:sz w:val="18"/>
        </w:rPr>
        <w:t xml:space="preserve">Trusted JavaScript runs in an isolated owned Goja runtime. The only native module is </w:t>
      </w:r>
      <w:r>
        <w:rPr>
          <w:rFonts w:ascii="DejaVu Sans Mono" w:hAnsi="DejaVu Sans Mono" w:eastAsia="DejaVu Sans Mono" w:cs="DejaVu Sans Mono"/>
          <w:b w:val="0"/>
          <w:i w:val="0"/>
          <w:color w:val="202733"/>
          <w:sz w:val="16"/>
          <w:shd w:fill="EDF1F4" w:val="clear"/>
        </w:rPr>
        <w:t>require("tinyidp")</w:t>
      </w:r>
      <w:r>
        <w:rPr>
          <w:rFonts w:ascii="Noto Serif" w:hAnsi="Noto Serif" w:eastAsia="Noto Serif" w:cs="Noto Serif"/>
          <w:b w:val="0"/>
          <w:i w:val="0"/>
          <w:color w:val="202733"/>
          <w:sz w:val="18"/>
        </w:rPr>
        <w:t xml:space="preserve">; ambient module loading is disabled. The module collector records lambda specifications and VM-local callable values. The exported result is serialized as a pure-Go </w:t>
      </w:r>
      <w:r>
        <w:rPr>
          <w:rFonts w:ascii="DejaVu Sans Mono" w:hAnsi="DejaVu Sans Mono" w:eastAsia="DejaVu Sans Mono" w:cs="DejaVu Sans Mono"/>
          <w:b w:val="0"/>
          <w:i w:val="0"/>
          <w:color w:val="202733"/>
          <w:sz w:val="16"/>
          <w:shd w:fill="EDF1F4" w:val="clear"/>
        </w:rPr>
        <w:t>idpprogram.Program</w:t>
      </w:r>
      <w:r>
        <w:rPr>
          <w:rFonts w:ascii="Noto Serif" w:hAnsi="Noto Serif" w:eastAsia="Noto Serif" w:cs="Noto Serif"/>
          <w:b w:val="0"/>
          <w:i w:val="0"/>
          <w:color w:val="202733"/>
          <w:sz w:val="18"/>
        </w:rPr>
        <w:t>.[1][2]</w:t>
      </w:r>
    </w:p>
    <w:p>
      <w:r>
        <w:rPr>
          <w:rFonts w:ascii="Noto Serif" w:hAnsi="Noto Serif" w:eastAsia="Noto Serif" w:cs="Noto Serif"/>
          <w:b w:val="0"/>
          <w:i w:val="0"/>
          <w:color w:val="202733"/>
          <w:sz w:val="18"/>
        </w:rPr>
        <w:t>The separation is exact:</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VM-local, executable                    VM-independent, durable</w:t>
        <w:br/>
      </w:r>
      <w:r>
        <w:rPr>
          <w:rFonts w:ascii="DejaVu Sans Mono" w:hAnsi="DejaVu Sans Mono" w:eastAsia="DejaVu Sans Mono" w:cs="DejaVu Sans Mono"/>
          <w:color w:val="202733"/>
          <w:sz w:val="14"/>
        </w:rPr>
        <w:t>--------------------                    -----------------------</w:t>
        <w:br/>
      </w:r>
      <w:r>
        <w:rPr>
          <w:rFonts w:ascii="DejaVu Sans Mono" w:hAnsi="DejaVu Sans Mono" w:eastAsia="DejaVu Sans Mono" w:cs="DejaVu Sans Mono"/>
          <w:color w:val="202733"/>
          <w:sz w:val="14"/>
        </w:rPr>
        <w:t>goja.Callable                           callback ID</w:t>
        <w:br/>
      </w:r>
      <w:r>
        <w:rPr>
          <w:rFonts w:ascii="DejaVu Sans Mono" w:hAnsi="DejaVu Sans Mono" w:eastAsia="DejaVu Sans Mono" w:cs="DejaVu Sans Mono"/>
          <w:color w:val="202733"/>
          <w:sz w:val="14"/>
        </w:rPr>
        <w:t>opaque branded JS object                schema/effect/action identifier</w:t>
        <w:br/>
      </w:r>
      <w:r>
        <w:rPr>
          <w:rFonts w:ascii="DejaVu Sans Mono" w:hAnsi="DejaVu Sans Mono" w:eastAsia="DejaVu Sans Mono" w:cs="DejaVu Sans Mono"/>
          <w:color w:val="202733"/>
          <w:sz w:val="14"/>
        </w:rPr>
        <w:t>mutable JS object graph                 canonical JSON and Go structs</w:t>
        <w:br/>
      </w:r>
      <w:r>
        <w:rPr>
          <w:rFonts w:ascii="DejaVu Sans Mono" w:hAnsi="DejaVu Sans Mono" w:eastAsia="DejaVu Sans Mono" w:cs="DejaVu Sans Mono"/>
          <w:color w:val="202733"/>
          <w:sz w:val="14"/>
        </w:rPr>
        <w:t>Promise                                 closed Outcome value</w:t>
        <w:br/>
      </w:r>
      <w:r>
        <w:rPr>
          <w:rFonts w:ascii="DejaVu Sans Mono" w:hAnsi="DejaVu Sans Mono" w:eastAsia="DejaVu Sans Mono" w:cs="DejaVu Sans Mono"/>
          <w:color w:val="202733"/>
          <w:sz w:val="14"/>
        </w:rPr>
        <w:t>host function closure                   capability requirement</w:t>
      </w:r>
    </w:p>
    <w:p>
      <w:bookmarkStart w:id="22" w:name="sec_013"/>
      <w:pPr>
        <w:pStyle w:val="Heading3"/>
      </w:pPr>
      <w:r>
        <w:rPr>
          <w:rFonts w:ascii="Lato" w:hAnsi="Lato" w:eastAsia="Lato" w:cs="Lato"/>
          <w:b/>
          <w:i w:val="0"/>
          <w:color w:val="202733"/>
          <w:sz w:val="21"/>
        </w:rPr>
        <w:t>1.2 Activation and reproducible materialization</w:t>
      </w:r>
      <w:bookmarkEnd w:id="22"/>
    </w:p>
    <w:p>
      <w:r>
        <w:rPr>
          <w:rFonts w:ascii="Noto Serif" w:hAnsi="Noto Serif" w:eastAsia="Noto Serif" w:cs="Noto Serif"/>
          <w:b w:val="0"/>
          <w:i w:val="0"/>
          <w:color w:val="202733"/>
          <w:sz w:val="18"/>
        </w:rPr>
        <w:t>The same compiled Goja program is loaded into independent runtime images. Tiny-IDP compares canonical exported program data, collector program data, program fingerprints, callback-registry fingerprints, schema fingerprints, and the set of callback IDs. A runtime whose definition-time behavior differs from the artifact is rejected.[2]</w:t>
      </w:r>
    </w:p>
    <w:p>
      <w:r>
        <w:rPr>
          <w:rFonts w:ascii="Noto Serif" w:hAnsi="Noto Serif" w:eastAsia="Noto Serif" w:cs="Noto Serif"/>
          <w:b w:val="0"/>
          <w:i w:val="0"/>
          <w:color w:val="202733"/>
          <w:sz w:val="18"/>
        </w:rPr>
        <w:t xml:space="preserve">This is a linking discipline. The serializable program says </w:t>
      </w:r>
      <w:r>
        <w:rPr>
          <w:rFonts w:ascii="DejaVu Sans Mono" w:hAnsi="DejaVu Sans Mono" w:eastAsia="DejaVu Sans Mono" w:cs="DejaVu Sans Mono"/>
          <w:b w:val="0"/>
          <w:i w:val="0"/>
          <w:color w:val="202733"/>
          <w:sz w:val="16"/>
          <w:shd w:fill="EDF1F4" w:val="clear"/>
        </w:rPr>
        <w:t>signup.submitted</w:t>
      </w:r>
      <w:r>
        <w:rPr>
          <w:rFonts w:ascii="Noto Serif" w:hAnsi="Noto Serif" w:eastAsia="Noto Serif" w:cs="Noto Serif"/>
          <w:b w:val="0"/>
          <w:i w:val="0"/>
          <w:color w:val="202733"/>
          <w:sz w:val="18"/>
        </w:rPr>
        <w:t>; each worker must reproduce exactly one local closure under that name.</w:t>
      </w:r>
    </w:p>
    <w:p>
      <w:bookmarkStart w:id="23" w:name="sec_014"/>
      <w:pPr>
        <w:pStyle w:val="Heading3"/>
      </w:pPr>
      <w:r>
        <w:rPr>
          <w:rFonts w:ascii="Lato" w:hAnsi="Lato" w:eastAsia="Lato" w:cs="Lato"/>
          <w:b/>
          <w:i w:val="0"/>
          <w:color w:val="202733"/>
          <w:sz w:val="21"/>
        </w:rPr>
        <w:t>1.3 Request-time invocation</w:t>
      </w:r>
      <w:bookmarkEnd w:id="23"/>
    </w:p>
    <w:p>
      <w:r>
        <w:rPr>
          <w:rFonts w:ascii="Noto Serif" w:hAnsi="Noto Serif" w:eastAsia="Noto Serif" w:cs="Noto Serif"/>
          <w:b w:val="0"/>
          <w:i w:val="0"/>
          <w:color w:val="202733"/>
          <w:sz w:val="18"/>
        </w:rPr>
        <w:t xml:space="preserve">A worker is leased exclusively. Input is validated, decoded through </w:t>
      </w:r>
      <w:r>
        <w:rPr>
          <w:rFonts w:ascii="DejaVu Sans Mono" w:hAnsi="DejaVu Sans Mono" w:eastAsia="DejaVu Sans Mono" w:cs="DejaVu Sans Mono"/>
          <w:b w:val="0"/>
          <w:i w:val="0"/>
          <w:color w:val="202733"/>
          <w:sz w:val="16"/>
          <w:shd w:fill="EDF1F4" w:val="clear"/>
        </w:rPr>
        <w:t>JSON.parse</w:t>
      </w:r>
      <w:r>
        <w:rPr>
          <w:rFonts w:ascii="Noto Serif" w:hAnsi="Noto Serif" w:eastAsia="Noto Serif" w:cs="Noto Serif"/>
          <w:b w:val="0"/>
          <w:i w:val="0"/>
          <w:color w:val="202733"/>
          <w:sz w:val="18"/>
        </w:rPr>
        <w:t xml:space="preserve"> into ordinary JavaScript values, assembled with only the selected lambda's capability bindings, secret handles, evidence, presentation builders, challenge builders, and commit builders, then transitively frozen. Synchronous values or bounded Promises are converted back to JSON and checked against a closed outcome contract.[12]</w:t>
      </w:r>
    </w:p>
    <w:p>
      <w:r>
        <w:rPr>
          <w:rFonts w:ascii="Noto Serif" w:hAnsi="Noto Serif" w:eastAsia="Noto Serif" w:cs="Noto Serif"/>
          <w:b w:val="0"/>
          <w:i w:val="0"/>
          <w:color w:val="202733"/>
          <w:sz w:val="18"/>
        </w:rPr>
        <w:t>Capability operations are versioned, byte-bounded, call-bounded, invocation-scoped, and settled through the runtime owner. A retained function loses authority once the invocation closes.[13]</w:t>
      </w:r>
    </w:p>
    <w:p>
      <w:bookmarkStart w:id="24" w:name="sec_015"/>
      <w:pPr>
        <w:pStyle w:val="Heading3"/>
      </w:pPr>
      <w:r>
        <w:rPr>
          <w:rFonts w:ascii="Lato" w:hAnsi="Lato" w:eastAsia="Lato" w:cs="Lato"/>
          <w:b/>
          <w:i w:val="0"/>
          <w:color w:val="202733"/>
          <w:sz w:val="21"/>
        </w:rPr>
        <w:t>1.4 Native workflow interpretation</w:t>
      </w:r>
      <w:bookmarkEnd w:id="24"/>
    </w:p>
    <w:p>
      <w:r>
        <w:rPr>
          <w:rFonts w:ascii="Noto Serif" w:hAnsi="Noto Serif" w:eastAsia="Noto Serif" w:cs="Noto Serif"/>
          <w:b w:val="0"/>
          <w:i w:val="0"/>
          <w:color w:val="202733"/>
          <w:sz w:val="18"/>
        </w:rPr>
        <w:t>JavaScript outcomes are proposals, not final protocol effects. Native Go code validates and interprets presentations, challenges, continuations, commits, completions, denials, skips, and errors. Browser waits persist pure-Go continuation state containing a handler ID, generation identity, typed carry, native references, revision, expiry, and replay-sensitive bindings. No Goja value, closure, Promise, or goroutine state is durable.[14]</w:t>
      </w:r>
    </w:p>
    <w:p>
      <w:r>
        <w:rPr>
          <w:rFonts w:ascii="Noto Serif" w:hAnsi="Noto Serif" w:eastAsia="Noto Serif" w:cs="Noto Serif"/>
          <w:b w:val="0"/>
          <w:i w:val="0"/>
          <w:color w:val="202733"/>
          <w:sz w:val="18"/>
        </w:rPr>
        <w:t>The current design is therefore already a staged, capability-oriented interpreter with an explicit intermediate contract. Compiler access does not create this architecture from nothing. It allows the architecture to move selected invariants earlier, make them compositional, and reduce authorial duplication.</w:t>
      </w:r>
    </w:p>
    <w:p>
      <w:bookmarkStart w:id="25" w:name="sec_016"/>
      <w:pPr>
        <w:pStyle w:val="Heading2"/>
      </w:pPr>
      <w:r>
        <w:rPr>
          <w:rFonts w:ascii="Lato" w:hAnsi="Lato" w:eastAsia="Lato" w:cs="Lato"/>
          <w:b/>
          <w:i w:val="0"/>
          <w:color w:val="17365D"/>
          <w:sz w:val="26"/>
        </w:rPr>
        <w:t>2. What owning more of the interpreter changes</w:t>
      </w:r>
      <w:bookmarkEnd w:id="25"/>
    </w:p>
    <w:p>
      <w:r>
        <w:rPr>
          <w:rFonts w:ascii="Noto Serif" w:hAnsi="Noto Serif" w:eastAsia="Noto Serif" w:cs="Noto Serif"/>
          <w:b w:val="0"/>
          <w:i w:val="0"/>
          <w:color w:val="202733"/>
          <w:sz w:val="18"/>
        </w:rPr>
        <w:t>An embedding API exposes values and calls. A compiler exposes program structure. A VM exposes execution structure. Those three levels support different guarantees.</w:t>
      </w:r>
    </w:p>
    <w:p>
      <w:bookmarkStart w:id="26" w:name="sec_017"/>
      <w:pPr>
        <w:pStyle w:val="Heading3"/>
      </w:pPr>
      <w:r>
        <w:rPr>
          <w:rFonts w:ascii="Lato" w:hAnsi="Lato" w:eastAsia="Lato" w:cs="Lato"/>
          <w:b/>
          <w:i w:val="0"/>
          <w:color w:val="202733"/>
          <w:sz w:val="21"/>
        </w:rPr>
        <w:t>2.1 At the embedding boundary</w:t>
      </w:r>
      <w:bookmarkEnd w:id="26"/>
    </w:p>
    <w:p>
      <w:r>
        <w:rPr>
          <w:rFonts w:ascii="Noto Serif" w:hAnsi="Noto Serif" w:eastAsia="Noto Serif" w:cs="Noto Serif"/>
          <w:b w:val="0"/>
          <w:i w:val="0"/>
          <w:color w:val="202733"/>
          <w:sz w:val="18"/>
        </w:rPr>
        <w:t xml:space="preserve">The host can validate concrete inputs, outputs, capabilities, timeouts, and worker lifecycle. It can observe that a script called </w:t>
      </w:r>
      <w:r>
        <w:rPr>
          <w:rFonts w:ascii="DejaVu Sans Mono" w:hAnsi="DejaVu Sans Mono" w:eastAsia="DejaVu Sans Mono" w:cs="DejaVu Sans Mono"/>
          <w:b w:val="0"/>
          <w:i w:val="0"/>
          <w:color w:val="202733"/>
          <w:sz w:val="16"/>
          <w:shd w:fill="EDF1F4" w:val="clear"/>
        </w:rPr>
        <w:t>community.lookup</w:t>
      </w:r>
      <w:r>
        <w:rPr>
          <w:rFonts w:ascii="Noto Serif" w:hAnsi="Noto Serif" w:eastAsia="Noto Serif" w:cs="Noto Serif"/>
          <w:b w:val="0"/>
          <w:i w:val="0"/>
          <w:color w:val="202733"/>
          <w:sz w:val="18"/>
        </w:rPr>
        <w:t>, but only after the call occurs. It can reject an undeclared effect after the script returns it. It generally cannot determine all reachable calls, all possible outcomes, all variables live across a source-level suspension, or whether a Promise was intentionally detached.</w:t>
      </w:r>
    </w:p>
    <w:p>
      <w:bookmarkStart w:id="27" w:name="sec_018"/>
      <w:pPr>
        <w:pStyle w:val="Heading3"/>
      </w:pPr>
      <w:r>
        <w:rPr>
          <w:rFonts w:ascii="Lato" w:hAnsi="Lato" w:eastAsia="Lato" w:cs="Lato"/>
          <w:b/>
          <w:i w:val="0"/>
          <w:color w:val="202733"/>
          <w:sz w:val="21"/>
        </w:rPr>
        <w:t>2.2 At the compiler boundary</w:t>
      </w:r>
      <w:bookmarkEnd w:id="27"/>
    </w:p>
    <w:p>
      <w:r>
        <w:rPr>
          <w:rFonts w:ascii="Noto Serif" w:hAnsi="Noto Serif" w:eastAsia="Noto Serif" w:cs="Noto Serif"/>
          <w:b w:val="0"/>
          <w:i w:val="0"/>
          <w:color w:val="202733"/>
          <w:sz w:val="18"/>
        </w:rPr>
        <w:t xml:space="preserve">The system can reason over syntax, lexical scope, control flow, and data flow before execution. It can produce stable semantic identities, infer effects, transform control flow, attach source provenance, and extract a state graph. It can reject a program because of what it </w:t>
      </w:r>
      <w:r>
        <w:rPr>
          <w:rFonts w:ascii="Noto Serif" w:hAnsi="Noto Serif" w:eastAsia="Noto Serif" w:cs="Noto Serif"/>
          <w:b w:val="0"/>
          <w:i/>
          <w:color w:val="202733"/>
          <w:sz w:val="18"/>
        </w:rPr>
        <w:t>could</w:t>
      </w:r>
      <w:r>
        <w:rPr>
          <w:rFonts w:ascii="Noto Serif" w:hAnsi="Noto Serif" w:eastAsia="Noto Serif" w:cs="Noto Serif"/>
          <w:b w:val="0"/>
          <w:i w:val="0"/>
          <w:color w:val="202733"/>
          <w:sz w:val="18"/>
        </w:rPr>
        <w:t xml:space="preserve"> do, not merely because of what one invocation did.</w:t>
      </w:r>
    </w:p>
    <w:p>
      <w:bookmarkStart w:id="28" w:name="sec_019"/>
      <w:pPr>
        <w:pStyle w:val="Heading3"/>
      </w:pPr>
      <w:r>
        <w:rPr>
          <w:rFonts w:ascii="Lato" w:hAnsi="Lato" w:eastAsia="Lato" w:cs="Lato"/>
          <w:b/>
          <w:i w:val="0"/>
          <w:color w:val="202733"/>
          <w:sz w:val="21"/>
        </w:rPr>
        <w:t>2.3 At the VM boundary</w:t>
      </w:r>
      <w:bookmarkEnd w:id="28"/>
    </w:p>
    <w:p>
      <w:r>
        <w:rPr>
          <w:rFonts w:ascii="Noto Serif" w:hAnsi="Noto Serif" w:eastAsia="Noto Serif" w:cs="Noto Serif"/>
          <w:b w:val="0"/>
          <w:i w:val="0"/>
          <w:color w:val="202733"/>
          <w:sz w:val="18"/>
        </w:rPr>
        <w:t>The system can account for executed instructions, allocations, job-queue operations, runtime-local identities, and interruption points. It can observe behavior that source analysis approximates poorly, including metaprogramming, polymorphic dispatch, dynamic property access, and library code.</w:t>
      </w:r>
    </w:p>
    <w:p>
      <w:bookmarkStart w:id="29" w:name="sec_020"/>
      <w:pPr>
        <w:pStyle w:val="Heading3"/>
      </w:pPr>
      <w:r>
        <w:rPr>
          <w:rFonts w:ascii="Lato" w:hAnsi="Lato" w:eastAsia="Lato" w:cs="Lato"/>
          <w:b/>
          <w:i w:val="0"/>
          <w:color w:val="202733"/>
          <w:sz w:val="21"/>
        </w:rPr>
        <w:t>2.4 With a separate semantic IR</w:t>
      </w:r>
      <w:bookmarkEnd w:id="29"/>
    </w:p>
    <w:p>
      <w:r>
        <w:rPr>
          <w:rFonts w:ascii="Noto Serif" w:hAnsi="Noto Serif" w:eastAsia="Noto Serif" w:cs="Noto Serif"/>
          <w:b w:val="0"/>
          <w:i w:val="0"/>
          <w:color w:val="202733"/>
          <w:sz w:val="18"/>
        </w:rPr>
        <w:t>The system can give project invariants a representation independent of JavaScript syntax and Goja internals. The same program can be executed, modeled, documented, migrated, or compiled through multiple backends. Formal proofs can target a small language designed for the relevant properties.</w:t>
      </w:r>
    </w:p>
    <w:p>
      <w:bookmarkStart w:id="30" w:name="sec_021"/>
      <w:pPr>
        <w:pStyle w:val="Heading3"/>
      </w:pPr>
      <w:r>
        <w:rPr>
          <w:rFonts w:ascii="Lato" w:hAnsi="Lato" w:eastAsia="Lato" w:cs="Lato"/>
          <w:b/>
          <w:i w:val="0"/>
          <w:color w:val="202733"/>
          <w:sz w:val="21"/>
        </w:rPr>
        <w:t>2.5 With a complete new JavaScript implementation</w:t>
      </w:r>
      <w:bookmarkEnd w:id="30"/>
    </w:p>
    <w:p>
      <w:r>
        <w:rPr>
          <w:rFonts w:ascii="Noto Serif" w:hAnsi="Noto Serif" w:eastAsia="Noto Serif" w:cs="Noto Serif"/>
          <w:b w:val="0"/>
          <w:i w:val="0"/>
          <w:color w:val="202733"/>
          <w:sz w:val="18"/>
        </w:rPr>
        <w:t>Every semantic choice is controllable, but every ECMAScript obligation becomes local. The project owns language evolution, Test262 conformance, object model corner cases, numerical behavior, regular expressions, Unicode, modules, source maps, garbage collection, debugging, profiling, performance, and a permanent vulnerability surface. This is a strategic platform commitment, not an implementation shortcut.</w:t>
      </w:r>
    </w:p>
    <w:p>
      <w:bookmarkStart w:id="31" w:name="sec_022"/>
      <w:pPr>
        <w:pStyle w:val="Heading2"/>
      </w:pPr>
      <w:r>
        <w:rPr>
          <w:rFonts w:ascii="Lato" w:hAnsi="Lato" w:eastAsia="Lato" w:cs="Lato"/>
          <w:b/>
          <w:i w:val="0"/>
          <w:color w:val="17365D"/>
          <w:sz w:val="26"/>
        </w:rPr>
        <w:t>3. Five levels of control</w:t>
      </w:r>
      <w:bookmarkEnd w:id="31"/>
    </w:p>
    <w:tbl>
      <w:tblPr>
        <w:tblW w:type="auto" w:w="0"/>
        <w:jc w:val="center"/>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541"/>
        <w:gridCol w:w="2541"/>
        <w:gridCol w:w="2541"/>
        <w:gridCol w:w="2541"/>
      </w:tblGrid>
      <w:tr>
        <w:trPr>
          <w:trHeight w:hRule="atLeast"/>
          <w:tblHeader w:val="true"/>
        </w:trPr>
        <w:tc>
          <w:tcPr>
            <w:tcW w:type="dxa" w:w="1130"/>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Level</w:t>
            </w:r>
          </w:p>
        </w:tc>
        <w:tc>
          <w:tcPr>
            <w:tcW w:type="dxa" w:w="2993"/>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Description</w:t>
            </w:r>
          </w:p>
        </w:tc>
        <w:tc>
          <w:tcPr>
            <w:tcW w:type="dxa" w:w="2993"/>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Main benefits</w:t>
            </w:r>
          </w:p>
        </w:tc>
        <w:tc>
          <w:tcPr>
            <w:tcW w:type="dxa" w:w="2993"/>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Main limitations</w:t>
            </w:r>
          </w:p>
        </w:tc>
      </w:tr>
      <w:tr>
        <w:trPr>
          <w:trHeight w:hRule="atLeast"/>
        </w:trPr>
        <w:tc>
          <w:tcPr>
            <w:tcW w:type="dxa" w:w="1130"/>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A</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Public Goja embedding APIs</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Low maintenance; current architecture; host-defined capabilities and lifecycle</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Mostly dynamic checks; weak resource accounting; limited source reasoning</w:t>
            </w:r>
          </w:p>
        </w:tc>
      </w:tr>
      <w:tr>
        <w:trPr>
          <w:trHeight w:hRule="atLeast"/>
        </w:trPr>
        <w:tc>
          <w:tcPr>
            <w:tcW w:type="dxa" w:w="1130"/>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B</w:t>
            </w:r>
          </w:p>
        </w:tc>
        <w:tc>
          <w:tcPr>
            <w:tcW w:type="dxa" w:w="299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Goja parser/AST plus compiler front end</w:t>
            </w:r>
          </w:p>
        </w:tc>
        <w:tc>
          <w:tcPr>
            <w:tcW w:type="dxa" w:w="299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Static profiles, inference, transforms, state-machine extraction, precise diagnostics</w:t>
            </w:r>
          </w:p>
        </w:tc>
        <w:tc>
          <w:tcPr>
            <w:tcW w:type="dxa" w:w="299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Goja AST is documented as work in progress; runtime behavior still partly opaque</w:t>
            </w:r>
          </w:p>
        </w:tc>
      </w:tr>
      <w:tr>
        <w:trPr>
          <w:trHeight w:hRule="atLeast"/>
        </w:trPr>
        <w:tc>
          <w:tcPr>
            <w:tcW w:type="dxa" w:w="1130"/>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Narrow Goja fork</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Fuel, allocation quotas, job control, provenance, trace hooks</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Upstream divergence and VM maintenance</w:t>
            </w:r>
          </w:p>
        </w:tc>
      </w:tr>
      <w:tr>
        <w:trPr>
          <w:trHeight w:hRule="atLeast"/>
        </w:trPr>
        <w:tc>
          <w:tcPr>
            <w:tcW w:type="dxa" w:w="1130"/>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D</w:t>
            </w:r>
          </w:p>
        </w:tc>
        <w:tc>
          <w:tcPr>
            <w:tcW w:type="dxa" w:w="299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Own restricted MIR and reference interpreter</w:t>
            </w:r>
          </w:p>
        </w:tc>
        <w:tc>
          <w:tcPr>
            <w:tcW w:type="dxa" w:w="299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Stable semantics, multiple backends, formal verification, project dialects</w:t>
            </w:r>
          </w:p>
        </w:tc>
        <w:tc>
          <w:tcPr>
            <w:tcW w:type="dxa" w:w="299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New compiler and tooling platform to design and maintain</w:t>
            </w:r>
          </w:p>
        </w:tc>
      </w:tr>
      <w:tr>
        <w:trPr>
          <w:trHeight w:hRule="atLeast"/>
        </w:trPr>
        <w:tc>
          <w:tcPr>
            <w:tcW w:type="dxa" w:w="1130"/>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E</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Own complete JavaScript engine</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Maximum control and experimentation</w:t>
            </w:r>
          </w:p>
        </w:tc>
        <w:tc>
          <w:tcPr>
            <w:tcW w:type="dxa" w:w="299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Very high conformance, performance, security, and ecosystem cost</w:t>
            </w:r>
          </w:p>
        </w:tc>
      </w:tr>
    </w:tbl>
    <w:p>
      <w:pPr>
        <w:spacing w:after="20"/>
      </w:pPr>
    </w:p>
    <w:p>
      <w:r>
        <w:rPr>
          <w:rFonts w:ascii="Noto Serif" w:hAnsi="Noto Serif" w:eastAsia="Noto Serif" w:cs="Noto Serif"/>
          <w:b w:val="0"/>
          <w:i w:val="0"/>
          <w:color w:val="202733"/>
          <w:sz w:val="18"/>
        </w:rPr>
        <w:t xml:space="preserve">The recommended trajectory is </w:t>
      </w:r>
      <w:r>
        <w:rPr>
          <w:rFonts w:ascii="Noto Serif" w:hAnsi="Noto Serif" w:eastAsia="Noto Serif" w:cs="Noto Serif"/>
          <w:b/>
          <w:i w:val="0"/>
          <w:color w:val="202733"/>
          <w:sz w:val="18"/>
        </w:rPr>
        <w:t>B + D</w:t>
      </w:r>
      <w:r>
        <w:rPr>
          <w:rFonts w:ascii="Noto Serif" w:hAnsi="Noto Serif" w:eastAsia="Noto Serif" w:cs="Noto Serif"/>
          <w:b w:val="0"/>
          <w:i w:val="0"/>
          <w:color w:val="202733"/>
          <w:sz w:val="18"/>
        </w:rPr>
        <w:t xml:space="preserve">, followed by selective </w:t>
      </w:r>
      <w:r>
        <w:rPr>
          <w:rFonts w:ascii="Noto Serif" w:hAnsi="Noto Serif" w:eastAsia="Noto Serif" w:cs="Noto Serif"/>
          <w:b/>
          <w:i w:val="0"/>
          <w:color w:val="202733"/>
          <w:sz w:val="18"/>
        </w:rPr>
        <w:t>C</w:t>
      </w:r>
      <w:r>
        <w:rPr>
          <w:rFonts w:ascii="Noto Serif" w:hAnsi="Noto Serif" w:eastAsia="Noto Serif" w:cs="Noto Serif"/>
          <w:b w:val="0"/>
          <w:i w:val="0"/>
          <w:color w:val="202733"/>
          <w:sz w:val="18"/>
        </w:rPr>
        <w:t>. Level E should be considered only after the organization explicitly decides to maintain a language runtime as a product in its own right.</w:t>
      </w:r>
    </w:p>
    <w:p>
      <w:bookmarkStart w:id="32" w:name="sec_023"/>
      <w:pPr>
        <w:pStyle w:val="Heading1"/>
        <w:pageBreakBefore/>
      </w:pPr>
      <w:r>
        <w:rPr>
          <w:rFonts w:ascii="Lato" w:hAnsi="Lato" w:eastAsia="Lato" w:cs="Lato"/>
          <w:b/>
          <w:i w:val="0"/>
          <w:color w:val="17365D"/>
          <w:sz w:val="37"/>
        </w:rPr>
        <w:t>Part II - Improvements available above the VM</w:t>
      </w:r>
      <w:bookmarkEnd w:id="32"/>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33" w:name="sec_024"/>
      <w:pPr>
        <w:pStyle w:val="Heading2"/>
      </w:pPr>
      <w:r>
        <w:rPr>
          <w:rFonts w:ascii="Lato" w:hAnsi="Lato" w:eastAsia="Lato" w:cs="Lato"/>
          <w:b/>
          <w:i w:val="0"/>
          <w:color w:val="17365D"/>
          <w:sz w:val="26"/>
        </w:rPr>
        <w:t>4. Define an assurance-oriented JavaScript profile</w:t>
      </w:r>
      <w:bookmarkEnd w:id="33"/>
    </w:p>
    <w:p>
      <w:r>
        <w:rPr>
          <w:rFonts w:ascii="Noto Serif" w:hAnsi="Noto Serif" w:eastAsia="Noto Serif" w:cs="Noto Serif"/>
          <w:b w:val="0"/>
          <w:i w:val="0"/>
          <w:color w:val="202733"/>
          <w:sz w:val="18"/>
        </w:rPr>
        <w:t>The first compiler feature should be a profile checker, not new syntax. Standard JavaScript source is parsed, then accepted, warned, or rejected under a named world profile.</w:t>
      </w:r>
    </w:p>
    <w:p>
      <w:r>
        <w:rPr>
          <w:rFonts w:ascii="Noto Serif" w:hAnsi="Noto Serif" w:eastAsia="Noto Serif" w:cs="Noto Serif"/>
          <w:b w:val="0"/>
          <w:i w:val="0"/>
          <w:color w:val="202733"/>
          <w:sz w:val="18"/>
        </w:rPr>
        <w:t>A Tiny-IDP profile might prohibit or restrict:</w:t>
      </w:r>
    </w:p>
    <w:p>
      <w:pPr>
        <w:pStyle w:val="ListBullet"/>
      </w:pPr>
      <w:r>
        <w:rPr>
          <w:rFonts w:ascii="Noto Serif" w:hAnsi="Noto Serif" w:eastAsia="Noto Serif" w:cs="Noto Serif"/>
          <w:b w:val="0"/>
          <w:i w:val="0"/>
          <w:color w:val="202733"/>
          <w:sz w:val="18"/>
        </w:rPr>
        <w:t xml:space="preserve">direct and indirect </w:t>
      </w:r>
      <w:r>
        <w:rPr>
          <w:rFonts w:ascii="DejaVu Sans Mono" w:hAnsi="DejaVu Sans Mono" w:eastAsia="DejaVu Sans Mono" w:cs="DejaVu Sans Mono"/>
          <w:b w:val="0"/>
          <w:i w:val="0"/>
          <w:color w:val="202733"/>
          <w:sz w:val="16"/>
          <w:shd w:fill="EDF1F4" w:val="clear"/>
        </w:rPr>
        <w:t>eval</w:t>
      </w:r>
      <w:r>
        <w:rPr>
          <w:rFonts w:ascii="Noto Serif" w:hAnsi="Noto Serif" w:eastAsia="Noto Serif" w:cs="Noto Serif"/>
          <w:b w:val="0"/>
          <w:i w:val="0"/>
          <w:color w:val="202733"/>
          <w:sz w:val="18"/>
        </w:rPr>
        <w:t xml:space="preserve"> and the </w:t>
      </w:r>
      <w:r>
        <w:rPr>
          <w:rFonts w:ascii="DejaVu Sans Mono" w:hAnsi="DejaVu Sans Mono" w:eastAsia="DejaVu Sans Mono" w:cs="DejaVu Sans Mono"/>
          <w:b w:val="0"/>
          <w:i w:val="0"/>
          <w:color w:val="202733"/>
          <w:sz w:val="16"/>
          <w:shd w:fill="EDF1F4" w:val="clear"/>
        </w:rPr>
        <w:t>Function</w:t>
      </w:r>
      <w:r>
        <w:rPr>
          <w:rFonts w:ascii="Noto Serif" w:hAnsi="Noto Serif" w:eastAsia="Noto Serif" w:cs="Noto Serif"/>
          <w:b w:val="0"/>
          <w:i w:val="0"/>
          <w:color w:val="202733"/>
          <w:sz w:val="18"/>
        </w:rPr>
        <w:t xml:space="preserve"> constructor;</w:t>
      </w:r>
    </w:p>
    <w:p>
      <w:pPr>
        <w:pStyle w:val="ListBullet"/>
      </w:pPr>
      <w:r>
        <w:rPr>
          <w:rFonts w:ascii="Noto Serif" w:hAnsi="Noto Serif" w:eastAsia="Noto Serif" w:cs="Noto Serif"/>
          <w:b w:val="0"/>
          <w:i w:val="0"/>
          <w:color w:val="202733"/>
          <w:sz w:val="18"/>
        </w:rPr>
        <w:t>dynamic import and unapproved static imports;</w:t>
      </w:r>
    </w:p>
    <w:p>
      <w:pPr>
        <w:pStyle w:val="ListBullet"/>
      </w:pPr>
      <w:r>
        <w:rPr>
          <w:rFonts w:ascii="Noto Serif" w:hAnsi="Noto Serif" w:eastAsia="Noto Serif" w:cs="Noto Serif"/>
          <w:b w:val="0"/>
          <w:i w:val="0"/>
          <w:color w:val="202733"/>
          <w:sz w:val="18"/>
        </w:rPr>
        <w:t xml:space="preserve">writes to </w:t>
      </w:r>
      <w:r>
        <w:rPr>
          <w:rFonts w:ascii="DejaVu Sans Mono" w:hAnsi="DejaVu Sans Mono" w:eastAsia="DejaVu Sans Mono" w:cs="DejaVu Sans Mono"/>
          <w:b w:val="0"/>
          <w:i w:val="0"/>
          <w:color w:val="202733"/>
          <w:sz w:val="16"/>
          <w:shd w:fill="EDF1F4" w:val="clear"/>
        </w:rPr>
        <w:t>globalThis</w:t>
      </w:r>
      <w:r>
        <w:rPr>
          <w:rFonts w:ascii="Noto Serif" w:hAnsi="Noto Serif" w:eastAsia="Noto Serif" w:cs="Noto Serif"/>
          <w:b w:val="0"/>
          <w:i w:val="0"/>
          <w:color w:val="202733"/>
          <w:sz w:val="18"/>
        </w:rPr>
        <w:t xml:space="preserve"> or imported module namespaces;</w:t>
      </w:r>
    </w:p>
    <w:p>
      <w:pPr>
        <w:pStyle w:val="ListBullet"/>
      </w:pPr>
      <w:r>
        <w:rPr>
          <w:rFonts w:ascii="Noto Serif" w:hAnsi="Noto Serif" w:eastAsia="Noto Serif" w:cs="Noto Serif"/>
          <w:b w:val="0"/>
          <w:i w:val="0"/>
          <w:color w:val="202733"/>
          <w:sz w:val="18"/>
        </w:rPr>
        <w:t>mutation of standard prototypes and constructors;</w:t>
      </w:r>
    </w:p>
    <w:p>
      <w:pPr>
        <w:pStyle w:val="ListBullet"/>
      </w:pPr>
      <w:r>
        <w:rPr>
          <w:rFonts w:ascii="Noto Serif" w:hAnsi="Noto Serif" w:eastAsia="Noto Serif" w:cs="Noto Serif"/>
          <w:b w:val="0"/>
          <w:i w:val="0"/>
          <w:color w:val="202733"/>
          <w:sz w:val="18"/>
        </w:rPr>
        <w:t>dynamic property access on capability namespaces;</w:t>
      </w:r>
    </w:p>
    <w:p>
      <w:pPr>
        <w:pStyle w:val="ListBullet"/>
      </w:pPr>
      <w:r>
        <w:rPr>
          <w:rFonts w:ascii="DejaVu Sans Mono" w:hAnsi="DejaVu Sans Mono" w:eastAsia="DejaVu Sans Mono" w:cs="DejaVu Sans Mono"/>
          <w:b w:val="0"/>
          <w:i w:val="0"/>
          <w:color w:val="202733"/>
          <w:sz w:val="16"/>
          <w:shd w:fill="EDF1F4" w:val="clear"/>
        </w:rPr>
        <w:t>with</w:t>
      </w:r>
      <w:r>
        <w:rPr>
          <w:rFonts w:ascii="Noto Serif" w:hAnsi="Noto Serif" w:eastAsia="Noto Serif" w:cs="Noto Serif"/>
          <w:b w:val="0"/>
          <w:i w:val="0"/>
          <w:color w:val="202733"/>
          <w:sz w:val="18"/>
        </w:rPr>
        <w:t>, sloppy mode, and legacy syntax with surprising scoping;</w:t>
      </w:r>
    </w:p>
    <w:p>
      <w:pPr>
        <w:pStyle w:val="ListBullet"/>
      </w:pPr>
      <w:r>
        <w:rPr>
          <w:rFonts w:ascii="Noto Serif" w:hAnsi="Noto Serif" w:eastAsia="Noto Serif" w:cs="Noto Serif"/>
          <w:b w:val="0"/>
          <w:i w:val="0"/>
          <w:color w:val="202733"/>
          <w:sz w:val="18"/>
        </w:rPr>
        <w:t>unbounded recursion or loops in handlers that require a static bound;</w:t>
      </w:r>
    </w:p>
    <w:p>
      <w:pPr>
        <w:pStyle w:val="ListBullet"/>
      </w:pPr>
      <w:r>
        <w:rPr>
          <w:rFonts w:ascii="Noto Serif" w:hAnsi="Noto Serif" w:eastAsia="Noto Serif" w:cs="Noto Serif"/>
          <w:b w:val="0"/>
          <w:i w:val="0"/>
          <w:color w:val="202733"/>
          <w:sz w:val="18"/>
        </w:rPr>
        <w:t xml:space="preserve">getters, setters, proxies, or </w:t>
      </w:r>
      <w:r>
        <w:rPr>
          <w:rFonts w:ascii="DejaVu Sans Mono" w:hAnsi="DejaVu Sans Mono" w:eastAsia="DejaVu Sans Mono" w:cs="DejaVu Sans Mono"/>
          <w:b w:val="0"/>
          <w:i w:val="0"/>
          <w:color w:val="202733"/>
          <w:sz w:val="16"/>
          <w:shd w:fill="EDF1F4" w:val="clear"/>
        </w:rPr>
        <w:t>Symbol</w:t>
      </w:r>
      <w:r>
        <w:rPr>
          <w:rFonts w:ascii="Noto Serif" w:hAnsi="Noto Serif" w:eastAsia="Noto Serif" w:cs="Noto Serif"/>
          <w:b w:val="0"/>
          <w:i w:val="0"/>
          <w:color w:val="202733"/>
          <w:sz w:val="18"/>
        </w:rPr>
        <w:t xml:space="preserve"> use at security boundaries;</w:t>
      </w:r>
    </w:p>
    <w:p>
      <w:pPr>
        <w:pStyle w:val="ListBullet"/>
      </w:pPr>
      <w:r>
        <w:rPr>
          <w:rFonts w:ascii="Noto Serif" w:hAnsi="Noto Serif" w:eastAsia="Noto Serif" w:cs="Noto Serif"/>
          <w:b w:val="0"/>
          <w:i w:val="0"/>
          <w:color w:val="202733"/>
          <w:sz w:val="18"/>
        </w:rPr>
        <w:t>detached Promises and unhandled rejections;</w:t>
      </w:r>
    </w:p>
    <w:p>
      <w:pPr>
        <w:pStyle w:val="ListBullet"/>
      </w:pPr>
      <w:r>
        <w:rPr>
          <w:rFonts w:ascii="Noto Serif" w:hAnsi="Noto Serif" w:eastAsia="Noto Serif" w:cs="Noto Serif"/>
          <w:b w:val="0"/>
          <w:i w:val="0"/>
          <w:color w:val="202733"/>
          <w:sz w:val="18"/>
        </w:rPr>
        <w:t>implicit time, randomness, locale, environment, filesystem, process, network, or module-loader access;</w:t>
      </w:r>
    </w:p>
    <w:p>
      <w:pPr>
        <w:pStyle w:val="ListBullet"/>
      </w:pPr>
      <w:r>
        <w:rPr>
          <w:rFonts w:ascii="Noto Serif" w:hAnsi="Noto Serif" w:eastAsia="Noto Serif" w:cs="Noto Serif"/>
          <w:b w:val="0"/>
          <w:i w:val="0"/>
          <w:color w:val="202733"/>
          <w:sz w:val="18"/>
        </w:rPr>
        <w:t>top-level mutable state for stateless or deterministic worker profiles.</w:t>
      </w:r>
    </w:p>
    <w:p>
      <w:r>
        <w:rPr>
          <w:rFonts w:ascii="Noto Serif" w:hAnsi="Noto Serif" w:eastAsia="Noto Serif" w:cs="Noto Serif"/>
          <w:b w:val="0"/>
          <w:i w:val="0"/>
          <w:color w:val="202733"/>
          <w:sz w:val="18"/>
        </w:rPr>
        <w:t>Hardened JavaScript systems use a related strategy: remove ambient I/O, freeze primordials, disable nondeterministic time and randomness, and provide explicit endowments to compartments.[5] Starlark demonstrates the value of a deliberately smaller, deterministic, hermetic language for configuration and build logic.[15] Tiny-IDP need not copy either language, but it should define exactly which JavaScript it accepts rather than relying on the absence of a few globals.</w:t>
      </w:r>
    </w:p>
    <w:p>
      <w:bookmarkStart w:id="34" w:name="sec_025"/>
      <w:pPr>
        <w:pStyle w:val="Heading3"/>
      </w:pPr>
      <w:r>
        <w:rPr>
          <w:rFonts w:ascii="Lato" w:hAnsi="Lato" w:eastAsia="Lato" w:cs="Lato"/>
          <w:b/>
          <w:i w:val="0"/>
          <w:color w:val="202733"/>
          <w:sz w:val="21"/>
        </w:rPr>
        <w:t>4.1 Profiles should be named and versioned</w:t>
      </w:r>
      <w:bookmarkEnd w:id="34"/>
    </w:p>
    <w:p>
      <w:r>
        <w:rPr>
          <w:rFonts w:ascii="Noto Serif" w:hAnsi="Noto Serif" w:eastAsia="Noto Serif" w:cs="Noto Serif"/>
          <w:b w:val="0"/>
          <w:i w:val="0"/>
          <w:color w:val="202733"/>
          <w:sz w:val="18"/>
        </w:rPr>
        <w:t>A source artifact should declare or be compiled under a world such as: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world tinyidp:policy@2.0 {</w:t>
        <w:br/>
      </w:r>
      <w:r>
        <w:rPr>
          <w:rFonts w:ascii="DejaVu Sans Mono" w:hAnsi="DejaVu Sans Mono" w:eastAsia="DejaVu Sans Mono" w:cs="DejaVu Sans Mono"/>
          <w:color w:val="202733"/>
          <w:sz w:val="14"/>
        </w:rPr>
        <w:t xml:space="preserve">  language-profile: assurance-js@1.3</w:t>
        <w:br/>
      </w:r>
      <w:r>
        <w:rPr>
          <w:rFonts w:ascii="DejaVu Sans Mono" w:hAnsi="DejaVu Sans Mono" w:eastAsia="DejaVu Sans Mono" w:cs="DejaVu Sans Mono"/>
          <w:color w:val="202733"/>
          <w:sz w:val="14"/>
        </w:rPr>
        <w:t xml:space="preserve">  imports:</w:t>
        <w:br/>
      </w:r>
      <w:r>
        <w:rPr>
          <w:rFonts w:ascii="DejaVu Sans Mono" w:hAnsi="DejaVu Sans Mono" w:eastAsia="DejaVu Sans Mono" w:cs="DejaVu Sans Mono"/>
          <w:color w:val="202733"/>
          <w:sz w:val="14"/>
        </w:rPr>
        <w:t xml:space="preserve">    tinyidp:community.lookup@1</w:t>
        <w:br/>
      </w:r>
      <w:r>
        <w:rPr>
          <w:rFonts w:ascii="DejaVu Sans Mono" w:hAnsi="DejaVu Sans Mono" w:eastAsia="DejaVu Sans Mono" w:cs="DejaVu Sans Mono"/>
          <w:color w:val="202733"/>
          <w:sz w:val="14"/>
        </w:rPr>
        <w:t xml:space="preserve">    tinyidp:challenge.email@2</w:t>
        <w:br/>
      </w:r>
      <w:r>
        <w:rPr>
          <w:rFonts w:ascii="DejaVu Sans Mono" w:hAnsi="DejaVu Sans Mono" w:eastAsia="DejaVu Sans Mono" w:cs="DejaVu Sans Mono"/>
          <w:color w:val="202733"/>
          <w:sz w:val="14"/>
        </w:rPr>
        <w:t xml:space="preserve">    tinyidp:identity.commit@1</w:t>
        <w:br/>
      </w:r>
      <w:r>
        <w:rPr>
          <w:rFonts w:ascii="DejaVu Sans Mono" w:hAnsi="DejaVu Sans Mono" w:eastAsia="DejaVu Sans Mono" w:cs="DejaVu Sans Mono"/>
          <w:color w:val="202733"/>
          <w:sz w:val="14"/>
        </w:rPr>
        <w:t xml:space="preserve">  limits:</w:t>
        <w:br/>
      </w:r>
      <w:r>
        <w:rPr>
          <w:rFonts w:ascii="DejaVu Sans Mono" w:hAnsi="DejaVu Sans Mono" w:eastAsia="DejaVu Sans Mono" w:cs="DejaVu Sans Mono"/>
          <w:color w:val="202733"/>
          <w:sz w:val="14"/>
        </w:rPr>
        <w:t xml:space="preserve">    instructions: 200000</w:t>
        <w:br/>
      </w:r>
      <w:r>
        <w:rPr>
          <w:rFonts w:ascii="DejaVu Sans Mono" w:hAnsi="DejaVu Sans Mono" w:eastAsia="DejaVu Sans Mono" w:cs="DejaVu Sans Mono"/>
          <w:color w:val="202733"/>
          <w:sz w:val="14"/>
        </w:rPr>
        <w:t xml:space="preserve">    allocation-bytes: 1048576</w:t>
        <w:br/>
      </w:r>
      <w:r>
        <w:rPr>
          <w:rFonts w:ascii="DejaVu Sans Mono" w:hAnsi="DejaVu Sans Mono" w:eastAsia="DejaVu Sans Mono" w:cs="DejaVu Sans Mono"/>
          <w:color w:val="202733"/>
          <w:sz w:val="14"/>
        </w:rPr>
        <w:t xml:space="preserve">    capability-calls: 8</w:t>
        <w:br/>
      </w:r>
      <w:r>
        <w:rPr>
          <w:rFonts w:ascii="DejaVu Sans Mono" w:hAnsi="DejaVu Sans Mono" w:eastAsia="DejaVu Sans Mono" w:cs="DejaVu Sans Mono"/>
          <w:color w:val="202733"/>
          <w:sz w:val="14"/>
        </w:rPr>
        <w:t xml:space="preserve">    durable-carry-bytes: 8192</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The profile version becomes part of activation identity. A compiler upgrade cannot silently reinterpret an existing program under changed restrictions.</w:t>
      </w:r>
    </w:p>
    <w:p>
      <w:bookmarkStart w:id="35" w:name="sec_026"/>
      <w:pPr>
        <w:pStyle w:val="Heading3"/>
      </w:pPr>
      <w:r>
        <w:rPr>
          <w:rFonts w:ascii="Lato" w:hAnsi="Lato" w:eastAsia="Lato" w:cs="Lato"/>
          <w:b/>
          <w:i w:val="0"/>
          <w:color w:val="202733"/>
          <w:sz w:val="21"/>
        </w:rPr>
        <w:t>4.2 Profile checking is not sandboxing</w:t>
      </w:r>
      <w:bookmarkEnd w:id="35"/>
    </w:p>
    <w:p>
      <w:r>
        <w:rPr>
          <w:rFonts w:ascii="Noto Serif" w:hAnsi="Noto Serif" w:eastAsia="Noto Serif" w:cs="Noto Serif"/>
          <w:b w:val="0"/>
          <w:i w:val="0"/>
          <w:color w:val="202733"/>
          <w:sz w:val="18"/>
        </w:rPr>
        <w:t>Static rejection reduces the accepted language and improves analysis. It does not make arbitrary hostile code safe in-process. Prototype semantics, engine bugs, denial of service, native capability bugs, and side channels remain. Untrusted third-party plugins still need process, operating-system, or WebAssembly isolation in addition to language controls.</w:t>
      </w:r>
    </w:p>
    <w:p>
      <w:bookmarkStart w:id="36" w:name="sec_027"/>
      <w:pPr>
        <w:pStyle w:val="Heading2"/>
      </w:pPr>
      <w:r>
        <w:rPr>
          <w:rFonts w:ascii="Lato" w:hAnsi="Lato" w:eastAsia="Lato" w:cs="Lato"/>
          <w:b/>
          <w:i w:val="0"/>
          <w:color w:val="17365D"/>
          <w:sz w:val="26"/>
        </w:rPr>
        <w:t>5. Infer capabilities and effects</w:t>
      </w:r>
      <w:bookmarkEnd w:id="36"/>
    </w:p>
    <w:p>
      <w:r>
        <w:rPr>
          <w:rFonts w:ascii="Noto Serif" w:hAnsi="Noto Serif" w:eastAsia="Noto Serif" w:cs="Noto Serif"/>
          <w:b w:val="0"/>
          <w:i w:val="0"/>
          <w:color w:val="202733"/>
          <w:sz w:val="18"/>
        </w:rPr>
        <w:t xml:space="preserve">The current </w:t>
      </w:r>
      <w:r>
        <w:rPr>
          <w:rFonts w:ascii="DejaVu Sans Mono" w:hAnsi="DejaVu Sans Mono" w:eastAsia="DejaVu Sans Mono" w:cs="DejaVu Sans Mono"/>
          <w:b w:val="0"/>
          <w:i w:val="0"/>
          <w:color w:val="202733"/>
          <w:sz w:val="16"/>
          <w:shd w:fill="EDF1F4" w:val="clear"/>
        </w:rPr>
        <w:t>LambdaSpec</w:t>
      </w:r>
      <w:r>
        <w:rPr>
          <w:rFonts w:ascii="Noto Serif" w:hAnsi="Noto Serif" w:eastAsia="Noto Serif" w:cs="Noto Serif"/>
          <w:b w:val="0"/>
          <w:i w:val="0"/>
          <w:color w:val="202733"/>
          <w:sz w:val="18"/>
        </w:rPr>
        <w:t xml:space="preserve"> explicitly declares required capabilities and allowed effects.[16] That is sound at runtime but duplicates facts visible in source. A compiler can construct a call/effect graph.</w:t>
      </w:r>
    </w:p>
    <w:p>
      <w:r>
        <w:rPr>
          <w:rFonts w:ascii="Noto Serif" w:hAnsi="Noto Serif" w:eastAsia="Noto Serif" w:cs="Noto Serif"/>
          <w:b w:val="0"/>
          <w:i w:val="0"/>
          <w:color w:val="202733"/>
          <w:sz w:val="18"/>
        </w:rPr>
        <w:t>For statically named capability paths: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const member = await ctx.cap.community.lookup({ email });</w:t>
      </w:r>
    </w:p>
    <w:p>
      <w:r>
        <w:rPr>
          <w:rFonts w:ascii="Noto Serif" w:hAnsi="Noto Serif" w:eastAsia="Noto Serif" w:cs="Noto Serif"/>
          <w:b w:val="0"/>
          <w:i w:val="0"/>
          <w:color w:val="202733"/>
          <w:sz w:val="18"/>
        </w:rPr>
        <w:t>it can infer the effect atom:</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cap&lt;community.lookup@1&gt;</w:t>
      </w:r>
    </w:p>
    <w:p>
      <w:r>
        <w:rPr>
          <w:rFonts w:ascii="Noto Serif" w:hAnsi="Noto Serif" w:eastAsia="Noto Serif" w:cs="Noto Serif"/>
          <w:b w:val="0"/>
          <w:i w:val="0"/>
          <w:color w:val="202733"/>
          <w:sz w:val="18"/>
        </w:rPr>
        <w:t>For builders: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return ctx.commit.signup({ ... });</w:t>
      </w:r>
    </w:p>
    <w:p>
      <w:r>
        <w:rPr>
          <w:rFonts w:ascii="Noto Serif" w:hAnsi="Noto Serif" w:eastAsia="Noto Serif" w:cs="Noto Serif"/>
          <w:b w:val="0"/>
          <w:i w:val="0"/>
          <w:color w:val="202733"/>
          <w:sz w:val="18"/>
        </w:rPr>
        <w:t>it can infer a closed outcome and effect row:</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outcome&lt;commit&gt; + effect&lt;signup.commit&gt;</w:t>
      </w:r>
    </w:p>
    <w:p>
      <w:r>
        <w:rPr>
          <w:rFonts w:ascii="Noto Serif" w:hAnsi="Noto Serif" w:eastAsia="Noto Serif" w:cs="Noto Serif"/>
          <w:b w:val="0"/>
          <w:i w:val="0"/>
          <w:color w:val="202733"/>
          <w:sz w:val="18"/>
        </w:rPr>
        <w:t>The inferred set must be a subset of the world grant. This reverses a common mistake: declaration is not authority. The world grants the maximum; source analysis computes what this artifact actually imports.</w:t>
      </w:r>
    </w:p>
    <w:p>
      <w:bookmarkStart w:id="37" w:name="sec_028"/>
      <w:pPr>
        <w:pStyle w:val="Heading3"/>
      </w:pPr>
      <w:r>
        <w:rPr>
          <w:rFonts w:ascii="Lato" w:hAnsi="Lato" w:eastAsia="Lato" w:cs="Lato"/>
          <w:b/>
          <w:i w:val="0"/>
          <w:color w:val="202733"/>
          <w:sz w:val="21"/>
        </w:rPr>
        <w:t>5.1 Effect rows for JavaScript handlers</w:t>
      </w:r>
      <w:bookmarkEnd w:id="37"/>
    </w:p>
    <w:p>
      <w:r>
        <w:rPr>
          <w:rFonts w:ascii="Noto Serif" w:hAnsi="Noto Serif" w:eastAsia="Noto Serif" w:cs="Noto Serif"/>
          <w:b w:val="0"/>
          <w:i w:val="0"/>
          <w:color w:val="202733"/>
          <w:sz w:val="18"/>
        </w:rPr>
        <w:t>A function type can be represented conceptually as: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signupSubmitted : SubmittedInput</w:t>
        <w:br/>
      </w:r>
      <w:r>
        <w:rPr>
          <w:rFonts w:ascii="DejaVu Sans Mono" w:hAnsi="DejaVu Sans Mono" w:eastAsia="DejaVu Sans Mono" w:cs="DejaVu Sans Mono"/>
          <w:color w:val="202733"/>
          <w:sz w:val="14"/>
        </w:rPr>
        <w:t xml:space="preserve">  -&gt; &lt;cap.community.lookup,</w:t>
        <w:br/>
      </w:r>
      <w:r>
        <w:rPr>
          <w:rFonts w:ascii="DejaVu Sans Mono" w:hAnsi="DejaVu Sans Mono" w:eastAsia="DejaVu Sans Mono" w:cs="DejaVu Sans Mono"/>
          <w:color w:val="202733"/>
          <w:sz w:val="14"/>
        </w:rPr>
        <w:t xml:space="preserve">      challenge.email,</w:t>
        <w:br/>
      </w:r>
      <w:r>
        <w:rPr>
          <w:rFonts w:ascii="DejaVu Sans Mono" w:hAnsi="DejaVu Sans Mono" w:eastAsia="DejaVu Sans Mono" w:cs="DejaVu Sans Mono"/>
          <w:color w:val="202733"/>
          <w:sz w:val="14"/>
        </w:rPr>
        <w:t xml:space="preserve">      present.signup,</w:t>
        <w:br/>
      </w:r>
      <w:r>
        <w:rPr>
          <w:rFonts w:ascii="DejaVu Sans Mono" w:hAnsi="DejaVu Sans Mono" w:eastAsia="DejaVu Sans Mono" w:cs="DejaVu Sans Mono"/>
          <w:color w:val="202733"/>
          <w:sz w:val="14"/>
        </w:rPr>
        <w:t xml:space="preserve">      deny&gt;</w:t>
        <w:br/>
      </w:r>
      <w:r>
        <w:rPr>
          <w:rFonts w:ascii="DejaVu Sans Mono" w:hAnsi="DejaVu Sans Mono" w:eastAsia="DejaVu Sans Mono" w:cs="DejaVu Sans Mono"/>
          <w:color w:val="202733"/>
          <w:sz w:val="14"/>
        </w:rPr>
        <w:t xml:space="preserve">     Outcome&lt;SignupResult&gt;</w:t>
      </w:r>
    </w:p>
    <w:p>
      <w:r>
        <w:rPr>
          <w:rFonts w:ascii="Noto Serif" w:hAnsi="Noto Serif" w:eastAsia="Noto Serif" w:cs="Noto Serif"/>
          <w:b w:val="0"/>
          <w:i w:val="0"/>
          <w:color w:val="202733"/>
          <w:sz w:val="18"/>
        </w:rPr>
        <w:t>This resembles typed effect rows used in languages such as Koka, where exceptions, asynchronous operations, generators, and other control abstractions can be expressed and composed through effects and handlers.[17]</w:t>
      </w:r>
    </w:p>
    <w:p>
      <w:r>
        <w:rPr>
          <w:rFonts w:ascii="Noto Serif" w:hAnsi="Noto Serif" w:eastAsia="Noto Serif" w:cs="Noto Serif"/>
          <w:b w:val="0"/>
          <w:i w:val="0"/>
          <w:color w:val="202733"/>
          <w:sz w:val="18"/>
        </w:rPr>
        <w:t>The compiler need not expose advanced type theory to script authors. It can surface concise diagnostics: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TIDP-E204: handler signup.submitted calls community.lookup,</w:t>
        <w:br/>
      </w:r>
      <w:r>
        <w:rPr>
          <w:rFonts w:ascii="DejaVu Sans Mono" w:hAnsi="DejaVu Sans Mono" w:eastAsia="DejaVu Sans Mono" w:cs="DejaVu Sans Mono"/>
          <w:color w:val="202733"/>
          <w:sz w:val="14"/>
        </w:rPr>
        <w:t>but world tinyidp:signup@4 does not import that capability.</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41 | const member = await ctx.cap.community.lookup({ email });</w:t>
        <w:br/>
      </w:r>
      <w:r>
        <w:rPr>
          <w:rFonts w:ascii="DejaVu Sans Mono" w:hAnsi="DejaVu Sans Mono" w:eastAsia="DejaVu Sans Mono" w:cs="DejaVu Sans Mono"/>
          <w:color w:val="202733"/>
          <w:sz w:val="14"/>
        </w:rPr>
        <w:t xml:space="preserve">     |                      ^^^^^^^^^^^^^^^^^^^^^^^^^</w:t>
      </w:r>
    </w:p>
    <w:p>
      <w:bookmarkStart w:id="38" w:name="sec_029"/>
      <w:pPr>
        <w:pStyle w:val="Heading3"/>
      </w:pPr>
      <w:r>
        <w:rPr>
          <w:rFonts w:ascii="Lato" w:hAnsi="Lato" w:eastAsia="Lato" w:cs="Lato"/>
          <w:b/>
          <w:i w:val="0"/>
          <w:color w:val="202733"/>
          <w:sz w:val="21"/>
        </w:rPr>
        <w:t>5.2 Dynamic dispatch policy</w:t>
      </w:r>
      <w:bookmarkEnd w:id="38"/>
    </w:p>
    <w:p>
      <w:r>
        <w:rPr>
          <w:rFonts w:ascii="Noto Serif" w:hAnsi="Noto Serif" w:eastAsia="Noto Serif" w:cs="Noto Serif"/>
          <w:b w:val="0"/>
          <w:i w:val="0"/>
          <w:color w:val="202733"/>
          <w:sz w:val="18"/>
        </w:rPr>
        <w:t>JavaScript permits computed property access: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ctx.cap[namespace][operation](input)</w:t>
      </w:r>
    </w:p>
    <w:p>
      <w:r>
        <w:rPr>
          <w:rFonts w:ascii="Noto Serif" w:hAnsi="Noto Serif" w:eastAsia="Noto Serif" w:cs="Noto Serif"/>
          <w:b w:val="0"/>
          <w:i w:val="0"/>
          <w:color w:val="202733"/>
          <w:sz w:val="18"/>
        </w:rPr>
        <w:t>A high-assurance profile should reject this on capability roots unless the index is a compile-time finite union. Otherwise the compiler must conservatively grant an entire namespace, defeating least authority.</w:t>
      </w:r>
    </w:p>
    <w:p>
      <w:bookmarkStart w:id="39" w:name="sec_030"/>
      <w:pPr>
        <w:pStyle w:val="Heading3"/>
      </w:pPr>
      <w:r>
        <w:rPr>
          <w:rFonts w:ascii="Lato" w:hAnsi="Lato" w:eastAsia="Lato" w:cs="Lato"/>
          <w:b/>
          <w:i w:val="0"/>
          <w:color w:val="202733"/>
          <w:sz w:val="21"/>
        </w:rPr>
        <w:t>5.3 Transitive inference across libraries</w:t>
      </w:r>
      <w:bookmarkEnd w:id="39"/>
    </w:p>
    <w:p>
      <w:r>
        <w:rPr>
          <w:rFonts w:ascii="Noto Serif" w:hAnsi="Noto Serif" w:eastAsia="Noto Serif" w:cs="Noto Serif"/>
          <w:b w:val="0"/>
          <w:i w:val="0"/>
          <w:color w:val="202733"/>
          <w:sz w:val="18"/>
        </w:rPr>
        <w:t>Reusable libraries should publish summaries containing their types and effects. Linking a library should compose those summaries without re-trusting handwritten metadata. When source is available, the compiler verifies the summary. When only a signed artifact is available, the activation certificate binds the summary to the semantic IR hash.</w:t>
      </w:r>
    </w:p>
    <w:p>
      <w:bookmarkStart w:id="40" w:name="sec_031"/>
      <w:pPr>
        <w:pStyle w:val="Heading2"/>
      </w:pPr>
      <w:r>
        <w:rPr>
          <w:rFonts w:ascii="Lato" w:hAnsi="Lato" w:eastAsia="Lato" w:cs="Lato"/>
          <w:b/>
          <w:i w:val="0"/>
          <w:color w:val="17365D"/>
          <w:sz w:val="26"/>
        </w:rPr>
        <w:t>6. Generate deterministic callback identities</w:t>
      </w:r>
      <w:bookmarkEnd w:id="40"/>
    </w:p>
    <w:p>
      <w:r>
        <w:rPr>
          <w:rFonts w:ascii="Noto Serif" w:hAnsi="Noto Serif" w:eastAsia="Noto Serif" w:cs="Noto Serif"/>
          <w:b w:val="0"/>
          <w:i w:val="0"/>
          <w:color w:val="202733"/>
          <w:sz w:val="18"/>
        </w:rPr>
        <w:t>Tiny-IDP currently asks the author to supply stable callback IDs and verifies that each runtime recreates the same registry.[2] Compiler ownership permits a more ergonomic rule: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callback-id = package-id / module-path / export-or-lexical-path / explicit-generation</w:t>
      </w:r>
    </w:p>
    <w:p>
      <w:r>
        <w:rPr>
          <w:rFonts w:ascii="Noto Serif" w:hAnsi="Noto Serif" w:eastAsia="Noto Serif" w:cs="Noto Serif"/>
          <w:b w:val="0"/>
          <w:i w:val="0"/>
          <w:color w:val="202733"/>
          <w:sz w:val="18"/>
        </w:rPr>
        <w:t>For example: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export const signup = workflow({</w:t>
        <w:br/>
      </w:r>
      <w:r>
        <w:rPr>
          <w:rFonts w:ascii="DejaVu Sans Mono" w:hAnsi="DejaVu Sans Mono" w:eastAsia="DejaVu Sans Mono" w:cs="DejaVu Sans Mono"/>
          <w:color w:val="202733"/>
          <w:sz w:val="14"/>
        </w:rPr>
        <w:t xml:space="preserve">  submitted: async ctx =&gt; { ... }</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could receive: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community-idp/signup.js::signup.submitted</w:t>
      </w:r>
    </w:p>
    <w:p>
      <w:r>
        <w:rPr>
          <w:rFonts w:ascii="Noto Serif" w:hAnsi="Noto Serif" w:eastAsia="Noto Serif" w:cs="Noto Serif"/>
          <w:b w:val="0"/>
          <w:i w:val="0"/>
          <w:color w:val="202733"/>
          <w:sz w:val="18"/>
        </w:rPr>
        <w:t>An explicit annotation remains available for migrations: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 @stableId community.signup.submitted.v2 */</w:t>
        <w:br/>
      </w:r>
      <w:r>
        <w:rPr>
          <w:rFonts w:ascii="DejaVu Sans Mono" w:hAnsi="DejaVu Sans Mono" w:eastAsia="DejaVu Sans Mono" w:cs="DejaVu Sans Mono"/>
          <w:color w:val="202733"/>
          <w:sz w:val="14"/>
        </w:rPr>
        <w:t>submitted: async ctx =&gt; { ... }</w:t>
      </w:r>
    </w:p>
    <w:p>
      <w:bookmarkStart w:id="41" w:name="sec_032"/>
      <w:pPr>
        <w:pStyle w:val="Heading3"/>
      </w:pPr>
      <w:r>
        <w:rPr>
          <w:rFonts w:ascii="Lato" w:hAnsi="Lato" w:eastAsia="Lato" w:cs="Lato"/>
          <w:b/>
          <w:i w:val="0"/>
          <w:color w:val="202733"/>
          <w:sz w:val="21"/>
        </w:rPr>
        <w:t>6.1 Identity must follow semantics, not line numbers</w:t>
      </w:r>
      <w:bookmarkEnd w:id="41"/>
    </w:p>
    <w:p>
      <w:r>
        <w:rPr>
          <w:rFonts w:ascii="Noto Serif" w:hAnsi="Noto Serif" w:eastAsia="Noto Serif" w:cs="Noto Serif"/>
          <w:b w:val="0"/>
          <w:i w:val="0"/>
          <w:color w:val="202733"/>
          <w:sz w:val="18"/>
        </w:rPr>
        <w:t>Line/column hashes are unstable under formatting and comments. Function-body hashes are unstable under innocuous rewrites and cannot preserve identity across compatible migrations. The correct scheme combines a declared package/module namespace with a lexical declaration path and an optional explicit stable ID.</w:t>
      </w:r>
    </w:p>
    <w:p>
      <w:bookmarkStart w:id="42" w:name="sec_033"/>
      <w:pPr>
        <w:pStyle w:val="Heading3"/>
      </w:pPr>
      <w:r>
        <w:rPr>
          <w:rFonts w:ascii="Lato" w:hAnsi="Lato" w:eastAsia="Lato" w:cs="Lato"/>
          <w:b/>
          <w:i w:val="0"/>
          <w:color w:val="202733"/>
          <w:sz w:val="21"/>
        </w:rPr>
        <w:t>6.2 Detect identity collisions and accidental renames</w:t>
      </w:r>
      <w:bookmarkEnd w:id="42"/>
    </w:p>
    <w:p>
      <w:r>
        <w:rPr>
          <w:rFonts w:ascii="Noto Serif" w:hAnsi="Noto Serif" w:eastAsia="Noto Serif" w:cs="Noto Serif"/>
          <w:b w:val="0"/>
          <w:i w:val="0"/>
          <w:color w:val="202733"/>
          <w:sz w:val="18"/>
        </w:rPr>
        <w:t>The compiler can compare a prior activation manifest and report:</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TIDP-M101: durable handler identity removed:</w:t>
        <w:br/>
      </w:r>
      <w:r>
        <w:rPr>
          <w:rFonts w:ascii="DejaVu Sans Mono" w:hAnsi="DejaVu Sans Mono" w:eastAsia="DejaVu Sans Mono" w:cs="DejaVu Sans Mono"/>
          <w:color w:val="202733"/>
          <w:sz w:val="14"/>
        </w:rPr>
        <w:t xml:space="preserve">  community.signup.after_email@1</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Active continuations reference this identity. Add @migrateFrom,</w:t>
        <w:br/>
      </w:r>
      <w:r>
        <w:rPr>
          <w:rFonts w:ascii="DejaVu Sans Mono" w:hAnsi="DejaVu Sans Mono" w:eastAsia="DejaVu Sans Mono" w:cs="DejaVu Sans Mono"/>
          <w:color w:val="202733"/>
          <w:sz w:val="14"/>
        </w:rPr>
        <w:t>retain a compatibility handler, or explicitly revoke the generation.</w:t>
      </w:r>
    </w:p>
    <w:p>
      <w:r>
        <w:rPr>
          <w:rFonts w:ascii="Noto Serif" w:hAnsi="Noto Serif" w:eastAsia="Noto Serif" w:cs="Noto Serif"/>
          <w:b w:val="0"/>
          <w:i w:val="0"/>
          <w:color w:val="202733"/>
          <w:sz w:val="18"/>
        </w:rPr>
        <w:t>This turns hot-reload compatibility into a compiler-visible API change rather than an operational surprise.</w:t>
      </w:r>
    </w:p>
    <w:p>
      <w:bookmarkStart w:id="43" w:name="sec_034"/>
      <w:pPr>
        <w:pStyle w:val="Heading2"/>
      </w:pPr>
      <w:r>
        <w:rPr>
          <w:rFonts w:ascii="Lato" w:hAnsi="Lato" w:eastAsia="Lato" w:cs="Lato"/>
          <w:b/>
          <w:i w:val="0"/>
          <w:color w:val="17365D"/>
          <w:sz w:val="26"/>
        </w:rPr>
        <w:t>7. Harden the JavaScript world</w:t>
      </w:r>
      <w:bookmarkEnd w:id="43"/>
    </w:p>
    <w:p>
      <w:r>
        <w:rPr>
          <w:rFonts w:ascii="Noto Serif" w:hAnsi="Noto Serif" w:eastAsia="Noto Serif" w:cs="Noto Serif"/>
          <w:b w:val="0"/>
          <w:i w:val="0"/>
          <w:color w:val="202733"/>
          <w:sz w:val="18"/>
        </w:rPr>
        <w:t>Tiny-IDP already disables ambient module loading and deep-freezes invocation context values.[2][12] Compiler and runtime control can make the whole language world more explicit.</w:t>
      </w:r>
    </w:p>
    <w:p>
      <w:bookmarkStart w:id="44" w:name="sec_035"/>
      <w:pPr>
        <w:pStyle w:val="Heading3"/>
      </w:pPr>
      <w:r>
        <w:rPr>
          <w:rFonts w:ascii="Lato" w:hAnsi="Lato" w:eastAsia="Lato" w:cs="Lato"/>
          <w:b/>
          <w:i w:val="0"/>
          <w:color w:val="202733"/>
          <w:sz w:val="21"/>
        </w:rPr>
        <w:t>7.1 Frozen primordials</w:t>
      </w:r>
      <w:bookmarkEnd w:id="44"/>
    </w:p>
    <w:p>
      <w:r>
        <w:rPr>
          <w:rFonts w:ascii="Noto Serif" w:hAnsi="Noto Serif" w:eastAsia="Noto Serif" w:cs="Noto Serif"/>
          <w:b w:val="0"/>
          <w:i w:val="0"/>
          <w:color w:val="202733"/>
          <w:sz w:val="18"/>
        </w:rPr>
        <w:t xml:space="preserve">A plugin should not be able to modify </w:t>
      </w:r>
      <w:r>
        <w:rPr>
          <w:rFonts w:ascii="DejaVu Sans Mono" w:hAnsi="DejaVu Sans Mono" w:eastAsia="DejaVu Sans Mono" w:cs="DejaVu Sans Mono"/>
          <w:b w:val="0"/>
          <w:i w:val="0"/>
          <w:color w:val="202733"/>
          <w:sz w:val="16"/>
          <w:shd w:fill="EDF1F4" w:val="clear"/>
        </w:rPr>
        <w:t>Array.prototype.map</w:t>
      </w:r>
      <w:r>
        <w:rPr>
          <w:rFonts w:ascii="Noto Serif" w:hAnsi="Noto Serif" w:eastAsia="Noto Serif" w:cs="Noto Serif"/>
          <w:b w:val="0"/>
          <w:i w:val="0"/>
          <w:color w:val="202733"/>
          <w:sz w:val="18"/>
        </w:rPr>
        <w:t xml:space="preserve">, replace </w:t>
      </w:r>
      <w:r>
        <w:rPr>
          <w:rFonts w:ascii="DejaVu Sans Mono" w:hAnsi="DejaVu Sans Mono" w:eastAsia="DejaVu Sans Mono" w:cs="DejaVu Sans Mono"/>
          <w:b w:val="0"/>
          <w:i w:val="0"/>
          <w:color w:val="202733"/>
          <w:sz w:val="16"/>
          <w:shd w:fill="EDF1F4" w:val="clear"/>
        </w:rPr>
        <w:t>Object.freeze</w:t>
      </w:r>
      <w:r>
        <w:rPr>
          <w:rFonts w:ascii="Noto Serif" w:hAnsi="Noto Serif" w:eastAsia="Noto Serif" w:cs="Noto Serif"/>
          <w:b w:val="0"/>
          <w:i w:val="0"/>
          <w:color w:val="202733"/>
          <w:sz w:val="18"/>
        </w:rPr>
        <w:t>, or use shared built-ins as a covert communication channel between invocations. A hardened world can initialize intrinsics once, remove disallowed properties, and transitively freeze them before plugin code runs. This follows the object-capability rationale used by Hardened JavaScript compartments.[5]</w:t>
      </w:r>
    </w:p>
    <w:p>
      <w:bookmarkStart w:id="45" w:name="sec_036"/>
      <w:pPr>
        <w:pStyle w:val="Heading3"/>
      </w:pPr>
      <w:r>
        <w:rPr>
          <w:rFonts w:ascii="Lato" w:hAnsi="Lato" w:eastAsia="Lato" w:cs="Lato"/>
          <w:b/>
          <w:i w:val="0"/>
          <w:color w:val="202733"/>
          <w:sz w:val="21"/>
        </w:rPr>
        <w:t>7.2 Separate compartments or realms</w:t>
      </w:r>
      <w:bookmarkEnd w:id="45"/>
    </w:p>
    <w:p>
      <w:r>
        <w:rPr>
          <w:rFonts w:ascii="Noto Serif" w:hAnsi="Noto Serif" w:eastAsia="Noto Serif" w:cs="Noto Serif"/>
          <w:b w:val="0"/>
          <w:i w:val="0"/>
          <w:color w:val="202733"/>
          <w:sz w:val="18"/>
        </w:rPr>
        <w:t>Goja runtimes are already isolated from one another, but multiple packages within one runtime may still share globals and intrinsics. A project-independent platform should distinguish:</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realm</w:t>
      </w:r>
      <w:r>
        <w:rPr>
          <w:rFonts w:ascii="Noto Serif" w:hAnsi="Noto Serif" w:eastAsia="Noto Serif" w:cs="Noto Serif"/>
          <w:b w:val="0"/>
          <w:i w:val="0"/>
          <w:color w:val="202733"/>
          <w:sz w:val="18"/>
        </w:rPr>
        <w:t>: a full set of intrinsics and global object;</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compartment</w:t>
      </w:r>
      <w:r>
        <w:rPr>
          <w:rFonts w:ascii="Noto Serif" w:hAnsi="Noto Serif" w:eastAsia="Noto Serif" w:cs="Noto Serif"/>
          <w:b w:val="0"/>
          <w:i w:val="0"/>
          <w:color w:val="202733"/>
          <w:sz w:val="18"/>
        </w:rPr>
        <w:t>: a module/global namespace with explicit imports and hardened shared intrinsics;</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invocation region</w:t>
      </w:r>
      <w:r>
        <w:rPr>
          <w:rFonts w:ascii="Noto Serif" w:hAnsi="Noto Serif" w:eastAsia="Noto Serif" w:cs="Noto Serif"/>
          <w:b w:val="0"/>
          <w:i w:val="0"/>
          <w:color w:val="202733"/>
          <w:sz w:val="18"/>
        </w:rPr>
        <w:t>: one temporary capability/evidence/secret grant.</w:t>
      </w:r>
    </w:p>
    <w:p>
      <w:r>
        <w:rPr>
          <w:rFonts w:ascii="Noto Serif" w:hAnsi="Noto Serif" w:eastAsia="Noto Serif" w:cs="Noto Serif"/>
          <w:b w:val="0"/>
          <w:i w:val="0"/>
          <w:color w:val="202733"/>
          <w:sz w:val="18"/>
        </w:rPr>
        <w:t>The TC39 ShadowRealm proposal illustrates the value of distinct global environments and intrinsics, though its standardization status and API should not be treated as a production dependency.[18]</w:t>
      </w:r>
    </w:p>
    <w:p>
      <w:bookmarkStart w:id="46" w:name="sec_037"/>
      <w:pPr>
        <w:pStyle w:val="Heading3"/>
      </w:pPr>
      <w:r>
        <w:rPr>
          <w:rFonts w:ascii="Lato" w:hAnsi="Lato" w:eastAsia="Lato" w:cs="Lato"/>
          <w:b/>
          <w:i w:val="0"/>
          <w:color w:val="202733"/>
          <w:sz w:val="21"/>
        </w:rPr>
        <w:t>7.3 Deterministic time and randomness</w:t>
      </w:r>
      <w:bookmarkEnd w:id="46"/>
    </w:p>
    <w:p>
      <w:r>
        <w:rPr>
          <w:rFonts w:ascii="Noto Serif" w:hAnsi="Noto Serif" w:eastAsia="Noto Serif" w:cs="Noto Serif"/>
          <w:b w:val="0"/>
          <w:i w:val="0"/>
          <w:color w:val="202733"/>
          <w:sz w:val="18"/>
        </w:rPr>
        <w:t xml:space="preserve">Goja exposes host-settable time and random sources.[9] Production worlds should make </w:t>
      </w:r>
      <w:r>
        <w:rPr>
          <w:rFonts w:ascii="DejaVu Sans Mono" w:hAnsi="DejaVu Sans Mono" w:eastAsia="DejaVu Sans Mono" w:cs="DejaVu Sans Mono"/>
          <w:b w:val="0"/>
          <w:i w:val="0"/>
          <w:color w:val="202733"/>
          <w:sz w:val="16"/>
          <w:shd w:fill="EDF1F4" w:val="clear"/>
        </w:rPr>
        <w:t>Date.now</w:t>
      </w:r>
      <w:r>
        <w:rPr>
          <w:rFonts w:ascii="Noto Serif" w:hAnsi="Noto Serif" w:eastAsia="Noto Serif" w:cs="Noto Serif"/>
          <w:b w:val="0"/>
          <w:i w:val="0"/>
          <w:color w:val="202733"/>
          <w:sz w:val="18"/>
        </w:rPr>
        <w:t xml:space="preserve">, zero-argument </w:t>
      </w:r>
      <w:r>
        <w:rPr>
          <w:rFonts w:ascii="DejaVu Sans Mono" w:hAnsi="DejaVu Sans Mono" w:eastAsia="DejaVu Sans Mono" w:cs="DejaVu Sans Mono"/>
          <w:b w:val="0"/>
          <w:i w:val="0"/>
          <w:color w:val="202733"/>
          <w:sz w:val="16"/>
          <w:shd w:fill="EDF1F4" w:val="clear"/>
        </w:rPr>
        <w:t>Date</w:t>
      </w:r>
      <w:r>
        <w:rPr>
          <w:rFonts w:ascii="Noto Serif" w:hAnsi="Noto Serif" w:eastAsia="Noto Serif" w:cs="Noto Serif"/>
          <w:b w:val="0"/>
          <w:i w:val="0"/>
          <w:color w:val="202733"/>
          <w:sz w:val="18"/>
        </w:rPr>
        <w:t xml:space="preserve">, and </w:t>
      </w:r>
      <w:r>
        <w:rPr>
          <w:rFonts w:ascii="DejaVu Sans Mono" w:hAnsi="DejaVu Sans Mono" w:eastAsia="DejaVu Sans Mono" w:cs="DejaVu Sans Mono"/>
          <w:b w:val="0"/>
          <w:i w:val="0"/>
          <w:color w:val="202733"/>
          <w:sz w:val="16"/>
          <w:shd w:fill="EDF1F4" w:val="clear"/>
        </w:rPr>
        <w:t>Math.random</w:t>
      </w:r>
      <w:r>
        <w:rPr>
          <w:rFonts w:ascii="Noto Serif" w:hAnsi="Noto Serif" w:eastAsia="Noto Serif" w:cs="Noto Serif"/>
          <w:b w:val="0"/>
          <w:i w:val="0"/>
          <w:color w:val="202733"/>
          <w:sz w:val="18"/>
        </w:rPr>
        <w:t xml:space="preserve"> unavailable or route them to explicit effects. Tests can supply virtual clocks and seeded random streams. Durable workflows must journal any nondeterministic result that influences future control flow.</w:t>
      </w:r>
    </w:p>
    <w:p>
      <w:bookmarkStart w:id="47" w:name="sec_038"/>
      <w:pPr>
        <w:pStyle w:val="Heading3"/>
      </w:pPr>
      <w:r>
        <w:rPr>
          <w:rFonts w:ascii="Lato" w:hAnsi="Lato" w:eastAsia="Lato" w:cs="Lato"/>
          <w:b/>
          <w:i w:val="0"/>
          <w:color w:val="202733"/>
          <w:sz w:val="21"/>
        </w:rPr>
        <w:t>7.4 Module state policy</w:t>
      </w:r>
      <w:bookmarkEnd w:id="47"/>
    </w:p>
    <w:p>
      <w:r>
        <w:rPr>
          <w:rFonts w:ascii="Noto Serif" w:hAnsi="Noto Serif" w:eastAsia="Noto Serif" w:cs="Noto Serif"/>
          <w:b w:val="0"/>
          <w:i w:val="0"/>
          <w:color w:val="202733"/>
          <w:sz w:val="18"/>
        </w:rPr>
        <w:t>Worker reuse means top-level mutable module state can survive between invocations. That may be intentional for caches, but it complicates determinism, tenant isolation, and testing. Worlds should choose one of three policies:</w:t>
      </w:r>
    </w:p>
    <w:p>
      <w:pPr>
        <w:spacing w:after="30"/>
        <w:ind w:left="432" w:hanging="317"/>
      </w:pPr>
      <w:r>
        <w:rPr>
          <w:rFonts w:ascii="Noto Serif" w:hAnsi="Noto Serif" w:eastAsia="Noto Serif" w:cs="Noto Serif"/>
          <w:color w:val="202733"/>
          <w:sz w:val="18"/>
        </w:rPr>
        <w:t xml:space="preserve">1. </w:t>
      </w:r>
      <w:r>
        <w:rPr>
          <w:rFonts w:ascii="Noto Serif" w:hAnsi="Noto Serif" w:eastAsia="Noto Serif" w:cs="Noto Serif"/>
          <w:b w:val="0"/>
          <w:i w:val="0"/>
          <w:color w:val="202733"/>
          <w:sz w:val="18"/>
        </w:rPr>
      </w:r>
      <w:r>
        <w:rPr>
          <w:rFonts w:ascii="Noto Serif" w:hAnsi="Noto Serif" w:eastAsia="Noto Serif" w:cs="Noto Serif"/>
          <w:b/>
          <w:i w:val="0"/>
          <w:color w:val="202733"/>
          <w:sz w:val="18"/>
        </w:rPr>
        <w:t>pure module</w:t>
      </w:r>
      <w:r>
        <w:rPr>
          <w:rFonts w:ascii="Noto Serif" w:hAnsi="Noto Serif" w:eastAsia="Noto Serif" w:cs="Noto Serif"/>
          <w:b w:val="0"/>
          <w:i w:val="0"/>
          <w:color w:val="202733"/>
          <w:sz w:val="18"/>
        </w:rPr>
        <w:t xml:space="preserve"> - top-level state freezes after activation;</w:t>
      </w:r>
    </w:p>
    <w:p>
      <w:pPr>
        <w:spacing w:after="30"/>
        <w:ind w:left="432" w:hanging="317"/>
      </w:pPr>
      <w:r>
        <w:rPr>
          <w:rFonts w:ascii="Noto Serif" w:hAnsi="Noto Serif" w:eastAsia="Noto Serif" w:cs="Noto Serif"/>
          <w:color w:val="202733"/>
          <w:sz w:val="18"/>
        </w:rPr>
        <w:t xml:space="preserve">2. </w:t>
      </w:r>
      <w:r>
        <w:rPr>
          <w:rFonts w:ascii="Noto Serif" w:hAnsi="Noto Serif" w:eastAsia="Noto Serif" w:cs="Noto Serif"/>
          <w:b w:val="0"/>
          <w:i w:val="0"/>
          <w:color w:val="202733"/>
          <w:sz w:val="18"/>
        </w:rPr>
      </w:r>
      <w:r>
        <w:rPr>
          <w:rFonts w:ascii="Noto Serif" w:hAnsi="Noto Serif" w:eastAsia="Noto Serif" w:cs="Noto Serif"/>
          <w:b/>
          <w:i w:val="0"/>
          <w:color w:val="202733"/>
          <w:sz w:val="18"/>
        </w:rPr>
        <w:t>ephemeral worker state</w:t>
      </w:r>
      <w:r>
        <w:rPr>
          <w:rFonts w:ascii="Noto Serif" w:hAnsi="Noto Serif" w:eastAsia="Noto Serif" w:cs="Noto Serif"/>
          <w:b w:val="0"/>
          <w:i w:val="0"/>
          <w:color w:val="202733"/>
          <w:sz w:val="18"/>
        </w:rPr>
        <w:t xml:space="preserve"> - mutation allowed but not observable as a semantic dependency; workers may be replaced at any time;</w:t>
      </w:r>
    </w:p>
    <w:p>
      <w:pPr>
        <w:spacing w:after="30"/>
        <w:ind w:left="432" w:hanging="317"/>
      </w:pPr>
      <w:r>
        <w:rPr>
          <w:rFonts w:ascii="Noto Serif" w:hAnsi="Noto Serif" w:eastAsia="Noto Serif" w:cs="Noto Serif"/>
          <w:color w:val="202733"/>
          <w:sz w:val="18"/>
        </w:rPr>
        <w:t xml:space="preserve">3. </w:t>
      </w:r>
      <w:r>
        <w:rPr>
          <w:rFonts w:ascii="Noto Serif" w:hAnsi="Noto Serif" w:eastAsia="Noto Serif" w:cs="Noto Serif"/>
          <w:b w:val="0"/>
          <w:i w:val="0"/>
          <w:color w:val="202733"/>
          <w:sz w:val="18"/>
        </w:rPr>
      </w:r>
      <w:r>
        <w:rPr>
          <w:rFonts w:ascii="Noto Serif" w:hAnsi="Noto Serif" w:eastAsia="Noto Serif" w:cs="Noto Serif"/>
          <w:b/>
          <w:i w:val="0"/>
          <w:color w:val="202733"/>
          <w:sz w:val="18"/>
        </w:rPr>
        <w:t>declared state resource</w:t>
      </w:r>
      <w:r>
        <w:rPr>
          <w:rFonts w:ascii="Noto Serif" w:hAnsi="Noto Serif" w:eastAsia="Noto Serif" w:cs="Noto Serif"/>
          <w:b w:val="0"/>
          <w:i w:val="0"/>
          <w:color w:val="202733"/>
          <w:sz w:val="18"/>
        </w:rPr>
        <w:t xml:space="preserve"> - state is an explicit host resource with versioning, quotas, and reset semantics.</w:t>
      </w:r>
    </w:p>
    <w:p>
      <w:r>
        <w:rPr>
          <w:rFonts w:ascii="Noto Serif" w:hAnsi="Noto Serif" w:eastAsia="Noto Serif" w:cs="Noto Serif"/>
          <w:b w:val="0"/>
          <w:i w:val="0"/>
          <w:color w:val="202733"/>
          <w:sz w:val="18"/>
        </w:rPr>
        <w:t>The default for identity policy should be pure module state.</w:t>
      </w:r>
    </w:p>
    <w:p>
      <w:bookmarkStart w:id="48" w:name="sec_039"/>
      <w:pPr>
        <w:pStyle w:val="Heading1"/>
        <w:pageBreakBefore/>
      </w:pPr>
      <w:r>
        <w:rPr>
          <w:rFonts w:ascii="Lato" w:hAnsi="Lato" w:eastAsia="Lato" w:cs="Lato"/>
          <w:b/>
          <w:i w:val="0"/>
          <w:color w:val="17365D"/>
          <w:sz w:val="37"/>
        </w:rPr>
        <w:t>Part III - Compiler transformations and new programming models</w:t>
      </w:r>
      <w:bookmarkEnd w:id="48"/>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49" w:name="sec_040"/>
      <w:pPr>
        <w:pStyle w:val="Heading2"/>
      </w:pPr>
      <w:r>
        <w:rPr>
          <w:rFonts w:ascii="Lato" w:hAnsi="Lato" w:eastAsia="Lato" w:cs="Lato"/>
          <w:b/>
          <w:i w:val="0"/>
          <w:color w:val="17365D"/>
          <w:sz w:val="26"/>
        </w:rPr>
        <w:t xml:space="preserve">8. Durable </w:t>
      </w:r>
      <w:r>
        <w:rPr>
          <w:rFonts w:ascii="Lato" w:hAnsi="Lato" w:eastAsia="Lato" w:cs="Lato"/>
          <w:b/>
          <w:i w:val="0"/>
          <w:color w:val="17365D"/>
          <w:sz w:val="26"/>
          <w:shd w:fill="EDF1F4" w:val="clear"/>
        </w:rPr>
        <w:t>await</w:t>
      </w:r>
      <w:r>
        <w:rPr>
          <w:rFonts w:ascii="Lato" w:hAnsi="Lato" w:eastAsia="Lato" w:cs="Lato"/>
          <w:b/>
          <w:i w:val="0"/>
          <w:color w:val="17365D"/>
          <w:sz w:val="26"/>
        </w:rPr>
        <w:t xml:space="preserve"> as compiled syntax sugar</w:t>
      </w:r>
      <w:bookmarkEnd w:id="49"/>
    </w:p>
    <w:p>
      <w:r>
        <w:rPr>
          <w:rFonts w:ascii="Noto Serif" w:hAnsi="Noto Serif" w:eastAsia="Noto Serif" w:cs="Noto Serif"/>
          <w:b w:val="0"/>
          <w:i w:val="0"/>
          <w:color w:val="202733"/>
          <w:sz w:val="18"/>
        </w:rPr>
        <w:t xml:space="preserve">The Tiny-IDP design explicitly notes that a future source transform could offer browser-spanning </w:t>
      </w:r>
      <w:r>
        <w:rPr>
          <w:rFonts w:ascii="DejaVu Sans Mono" w:hAnsi="DejaVu Sans Mono" w:eastAsia="DejaVu Sans Mono" w:cs="DejaVu Sans Mono"/>
          <w:b w:val="0"/>
          <w:i w:val="0"/>
          <w:color w:val="202733"/>
          <w:sz w:val="16"/>
          <w:shd w:fill="EDF1F4" w:val="clear"/>
        </w:rPr>
        <w:t>await</w:t>
      </w:r>
      <w:r>
        <w:rPr>
          <w:rFonts w:ascii="Noto Serif" w:hAnsi="Noto Serif" w:eastAsia="Noto Serif" w:cs="Noto Serif"/>
          <w:b w:val="0"/>
          <w:i w:val="0"/>
          <w:color w:val="202733"/>
          <w:sz w:val="18"/>
        </w:rPr>
        <w:t>, provided it compiles to explicit continuations.[1] This is the highest-value compiler feature.</w:t>
      </w:r>
    </w:p>
    <w:p>
      <w:bookmarkStart w:id="50" w:name="sec_041"/>
      <w:pPr>
        <w:pStyle w:val="Heading3"/>
      </w:pPr>
      <w:r>
        <w:rPr>
          <w:rFonts w:ascii="Lato" w:hAnsi="Lato" w:eastAsia="Lato" w:cs="Lato"/>
          <w:b/>
          <w:i w:val="0"/>
          <w:color w:val="202733"/>
          <w:sz w:val="21"/>
        </w:rPr>
        <w:t>8.1 Two kinds of await</w:t>
      </w:r>
      <w:bookmarkEnd w:id="50"/>
    </w:p>
    <w:p>
      <w:r>
        <w:rPr>
          <w:rFonts w:ascii="Noto Serif" w:hAnsi="Noto Serif" w:eastAsia="Noto Serif" w:cs="Noto Serif"/>
          <w:b w:val="0"/>
          <w:i w:val="0"/>
          <w:color w:val="202733"/>
          <w:sz w:val="18"/>
        </w:rPr>
        <w:t>The compiler must distinguish:</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ephemeral await</w:t>
      </w:r>
      <w:r>
        <w:rPr>
          <w:rFonts w:ascii="Noto Serif" w:hAnsi="Noto Serif" w:eastAsia="Noto Serif" w:cs="Noto Serif"/>
          <w:b w:val="0"/>
          <w:i w:val="0"/>
          <w:color w:val="202733"/>
          <w:sz w:val="18"/>
        </w:rPr>
        <w:t>: waits for a bounded capability during one request and one leased runtime;</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durable await</w:t>
      </w:r>
      <w:r>
        <w:rPr>
          <w:rFonts w:ascii="Noto Serif" w:hAnsi="Noto Serif" w:eastAsia="Noto Serif" w:cs="Noto Serif"/>
          <w:b w:val="0"/>
          <w:i w:val="0"/>
          <w:color w:val="202733"/>
          <w:sz w:val="18"/>
        </w:rPr>
        <w:t>: ends the current request, persists a continuation, and resumes in a fresh invocation after an external event.</w:t>
      </w:r>
    </w:p>
    <w:p>
      <w:r>
        <w:rPr>
          <w:rFonts w:ascii="Noto Serif" w:hAnsi="Noto Serif" w:eastAsia="Noto Serif" w:cs="Noto Serif"/>
          <w:b w:val="0"/>
          <w:i w:val="0"/>
          <w:color w:val="202733"/>
          <w:sz w:val="18"/>
        </w:rPr>
        <w:t>A type/effect distinction makes the boundary visible: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Promise&lt;T&gt;            - ephemeral, invocation-scoped</w:t>
        <w:br/>
      </w:r>
      <w:r>
        <w:rPr>
          <w:rFonts w:ascii="DejaVu Sans Mono" w:hAnsi="DejaVu Sans Mono" w:eastAsia="DejaVu Sans Mono" w:cs="DejaVu Sans Mono"/>
          <w:color w:val="202733"/>
          <w:sz w:val="14"/>
        </w:rPr>
        <w:t>Durable&lt;T, ResumeTag&gt; - persistence boundary</w:t>
      </w:r>
    </w:p>
    <w:p>
      <w:r>
        <w:rPr>
          <w:rFonts w:ascii="Noto Serif" w:hAnsi="Noto Serif" w:eastAsia="Noto Serif" w:cs="Noto Serif"/>
          <w:b w:val="0"/>
          <w:i w:val="0"/>
          <w:color w:val="202733"/>
          <w:sz w:val="18"/>
        </w:rPr>
        <w:t xml:space="preserve">Only a </w:t>
      </w:r>
      <w:r>
        <w:rPr>
          <w:rFonts w:ascii="DejaVu Sans Mono" w:hAnsi="DejaVu Sans Mono" w:eastAsia="DejaVu Sans Mono" w:cs="DejaVu Sans Mono"/>
          <w:b w:val="0"/>
          <w:i w:val="0"/>
          <w:color w:val="202733"/>
          <w:sz w:val="16"/>
          <w:shd w:fill="EDF1F4" w:val="clear"/>
        </w:rPr>
        <w:t>durable.*</w:t>
      </w:r>
      <w:r>
        <w:rPr>
          <w:rFonts w:ascii="Noto Serif" w:hAnsi="Noto Serif" w:eastAsia="Noto Serif" w:cs="Noto Serif"/>
          <w:b w:val="0"/>
          <w:i w:val="0"/>
          <w:color w:val="202733"/>
          <w:sz w:val="18"/>
        </w:rPr>
        <w:t xml:space="preserve"> operation can produce the second form.</w:t>
      </w:r>
    </w:p>
    <w:p>
      <w:bookmarkStart w:id="51" w:name="sec_042"/>
      <w:pPr>
        <w:pStyle w:val="Heading3"/>
      </w:pPr>
      <w:r>
        <w:rPr>
          <w:rFonts w:ascii="Lato" w:hAnsi="Lato" w:eastAsia="Lato" w:cs="Lato"/>
          <w:b/>
          <w:i w:val="0"/>
          <w:color w:val="202733"/>
          <w:sz w:val="21"/>
        </w:rPr>
        <w:t>8.2 Source transformation</w:t>
      </w:r>
      <w:bookmarkEnd w:id="51"/>
    </w:p>
    <w:p>
      <w:r>
        <w:rPr>
          <w:rFonts w:ascii="Noto Serif" w:hAnsi="Noto Serif" w:eastAsia="Noto Serif" w:cs="Noto Serif"/>
          <w:b w:val="0"/>
          <w:i w:val="0"/>
          <w:color w:val="202733"/>
          <w:sz w:val="18"/>
        </w:rPr>
        <w:t>Consider:</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export async function signup(ctx) {</w:t>
        <w:br/>
      </w:r>
      <w:r>
        <w:rPr>
          <w:rFonts w:ascii="DejaVu Sans Mono" w:hAnsi="DejaVu Sans Mono" w:eastAsia="DejaVu Sans Mono" w:cs="DejaVu Sans Mono"/>
          <w:color w:val="202733"/>
          <w:sz w:val="14"/>
        </w:rPr>
        <w:t xml:space="preserve">  const invite = await ctx.cap.invites.inspect(ctx.input.code);</w:t>
        <w:br/>
      </w:r>
      <w:r>
        <w:rPr>
          <w:rFonts w:ascii="DejaVu Sans Mono" w:hAnsi="DejaVu Sans Mono" w:eastAsia="DejaVu Sans Mono" w:cs="DejaVu Sans Mono"/>
          <w:color w:val="202733"/>
          <w:sz w:val="14"/>
        </w:rPr>
        <w:t xml:space="preserve">  const form = await durable.form(SignupForm, { email: invite.email });</w:t>
        <w:br/>
      </w:r>
      <w:r>
        <w:rPr>
          <w:rFonts w:ascii="DejaVu Sans Mono" w:hAnsi="DejaVu Sans Mono" w:eastAsia="DejaVu Sans Mono" w:cs="DejaVu Sans Mono"/>
          <w:color w:val="202733"/>
          <w:sz w:val="14"/>
        </w:rPr>
        <w:t xml:space="preserve">  const proof = await durable.emailCode({ address: form.email });</w:t>
        <w:br/>
      </w:r>
      <w:r>
        <w:rPr>
          <w:rFonts w:ascii="DejaVu Sans Mono" w:hAnsi="DejaVu Sans Mono" w:eastAsia="DejaVu Sans Mono" w:cs="DejaVu Sans Mono"/>
          <w:color w:val="202733"/>
          <w:sz w:val="14"/>
        </w:rPr>
        <w:t xml:space="preserve">  return commit.signup({ email: form.email, proof });</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The compiler can perform continuation-passing transformation and defunctionalization:</w:t>
      </w:r>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handler signup.entry(input):</w:t>
        <w:br/>
      </w:r>
      <w:r>
        <w:rPr>
          <w:rFonts w:ascii="DejaVu Sans Mono" w:hAnsi="DejaVu Sans Mono" w:eastAsia="DejaVu Sans Mono" w:cs="DejaVu Sans Mono"/>
          <w:color w:val="202733"/>
          <w:sz w:val="14"/>
        </w:rPr>
        <w:t xml:space="preserve">  invite = effect invites.inspect(input.code)</w:t>
        <w:br/>
      </w:r>
      <w:r>
        <w:rPr>
          <w:rFonts w:ascii="DejaVu Sans Mono" w:hAnsi="DejaVu Sans Mono" w:eastAsia="DejaVu Sans Mono" w:cs="DejaVu Sans Mono"/>
          <w:color w:val="202733"/>
          <w:sz w:val="14"/>
        </w:rPr>
        <w:t xml:space="preserve">  return present SignupForm</w:t>
        <w:br/>
      </w:r>
      <w:r>
        <w:rPr>
          <w:rFonts w:ascii="DejaVu Sans Mono" w:hAnsi="DejaVu Sans Mono" w:eastAsia="DejaVu Sans Mono" w:cs="DejaVu Sans Mono"/>
          <w:color w:val="202733"/>
          <w:sz w:val="14"/>
        </w:rPr>
        <w:t xml:space="preserve">    resume signup.after_form</w:t>
        <w:br/>
      </w:r>
      <w:r>
        <w:rPr>
          <w:rFonts w:ascii="DejaVu Sans Mono" w:hAnsi="DejaVu Sans Mono" w:eastAsia="DejaVu Sans Mono" w:cs="DejaVu Sans Mono"/>
          <w:color w:val="202733"/>
          <w:sz w:val="14"/>
        </w:rPr>
        <w:t xml:space="preserve">    carry { inviteRef: invite.ref, suggestedEmail: invite.email }</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handler signup.after_form(event, carry):</w:t>
        <w:br/>
      </w:r>
      <w:r>
        <w:rPr>
          <w:rFonts w:ascii="DejaVu Sans Mono" w:hAnsi="DejaVu Sans Mono" w:eastAsia="DejaVu Sans Mono" w:cs="DejaVu Sans Mono"/>
          <w:color w:val="202733"/>
          <w:sz w:val="14"/>
        </w:rPr>
        <w:t xml:space="preserve">  form = decode SignupForm event</w:t>
        <w:br/>
      </w:r>
      <w:r>
        <w:rPr>
          <w:rFonts w:ascii="DejaVu Sans Mono" w:hAnsi="DejaVu Sans Mono" w:eastAsia="DejaVu Sans Mono" w:cs="DejaVu Sans Mono"/>
          <w:color w:val="202733"/>
          <w:sz w:val="14"/>
        </w:rPr>
        <w:t xml:space="preserve">  return challenge email_code(form.email)</w:t>
        <w:br/>
      </w:r>
      <w:r>
        <w:rPr>
          <w:rFonts w:ascii="DejaVu Sans Mono" w:hAnsi="DejaVu Sans Mono" w:eastAsia="DejaVu Sans Mono" w:cs="DejaVu Sans Mono"/>
          <w:color w:val="202733"/>
          <w:sz w:val="14"/>
        </w:rPr>
        <w:t xml:space="preserve">    resume signup.after_email</w:t>
        <w:br/>
      </w:r>
      <w:r>
        <w:rPr>
          <w:rFonts w:ascii="DejaVu Sans Mono" w:hAnsi="DejaVu Sans Mono" w:eastAsia="DejaVu Sans Mono" w:cs="DejaVu Sans Mono"/>
          <w:color w:val="202733"/>
          <w:sz w:val="14"/>
        </w:rPr>
        <w:t xml:space="preserve">    carry { email: form.email }</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handler signup.after_email(evidence, carry):</w:t>
        <w:br/>
      </w:r>
      <w:r>
        <w:rPr>
          <w:rFonts w:ascii="DejaVu Sans Mono" w:hAnsi="DejaVu Sans Mono" w:eastAsia="DejaVu Sans Mono" w:cs="DejaVu Sans Mono"/>
          <w:color w:val="202733"/>
          <w:sz w:val="14"/>
        </w:rPr>
        <w:t xml:space="preserve">  return commit signup(</w:t>
        <w:br/>
      </w:r>
      <w:r>
        <w:rPr>
          <w:rFonts w:ascii="DejaVu Sans Mono" w:hAnsi="DejaVu Sans Mono" w:eastAsia="DejaVu Sans Mono" w:cs="DejaVu Sans Mono"/>
          <w:color w:val="202733"/>
          <w:sz w:val="14"/>
        </w:rPr>
        <w:t xml:space="preserve">    email = carry.email,</w:t>
        <w:br/>
      </w:r>
      <w:r>
        <w:rPr>
          <w:rFonts w:ascii="DejaVu Sans Mono" w:hAnsi="DejaVu Sans Mono" w:eastAsia="DejaVu Sans Mono" w:cs="DejaVu Sans Mono"/>
          <w:color w:val="202733"/>
          <w:sz w:val="14"/>
        </w:rPr>
        <w:t xml:space="preserve">    proof = evidence.email_proof</w:t>
        <w:br/>
      </w:r>
      <w:r>
        <w:rPr>
          <w:rFonts w:ascii="DejaVu Sans Mono" w:hAnsi="DejaVu Sans Mono" w:eastAsia="DejaVu Sans Mono" w:cs="DejaVu Sans Mono"/>
          <w:color w:val="202733"/>
          <w:sz w:val="14"/>
        </w:rPr>
        <w:t xml:space="preserve">  )</w:t>
      </w:r>
    </w:p>
    <w:p>
      <w:r>
        <w:rPr>
          <w:rFonts w:ascii="Noto Serif" w:hAnsi="Noto Serif" w:eastAsia="Noto Serif" w:cs="Noto Serif"/>
          <w:b w:val="0"/>
          <w:i w:val="0"/>
          <w:color w:val="202733"/>
          <w:sz w:val="18"/>
        </w:rPr>
        <w:t xml:space="preserve">The output is compatible with the existing </w:t>
      </w:r>
      <w:r>
        <w:rPr>
          <w:rFonts w:ascii="DejaVu Sans Mono" w:hAnsi="DejaVu Sans Mono" w:eastAsia="DejaVu Sans Mono" w:cs="DejaVu Sans Mono"/>
          <w:b w:val="0"/>
          <w:i w:val="0"/>
          <w:color w:val="202733"/>
          <w:sz w:val="16"/>
          <w:shd w:fill="EDF1F4" w:val="clear"/>
        </w:rPr>
        <w:t>BrowserContinuation</w:t>
      </w:r>
      <w:r>
        <w:rPr>
          <w:rFonts w:ascii="Noto Serif" w:hAnsi="Noto Serif" w:eastAsia="Noto Serif" w:cs="Noto Serif"/>
          <w:b w:val="0"/>
          <w:i w:val="0"/>
          <w:color w:val="202733"/>
          <w:sz w:val="18"/>
        </w:rPr>
        <w:t xml:space="preserve"> and </w:t>
      </w:r>
      <w:r>
        <w:rPr>
          <w:rFonts w:ascii="DejaVu Sans Mono" w:hAnsi="DejaVu Sans Mono" w:eastAsia="DejaVu Sans Mono" w:cs="DejaVu Sans Mono"/>
          <w:b w:val="0"/>
          <w:i w:val="0"/>
          <w:color w:val="202733"/>
          <w:sz w:val="16"/>
          <w:shd w:fill="EDF1F4" w:val="clear"/>
        </w:rPr>
        <w:t>WorkflowContinuation</w:t>
      </w:r>
      <w:r>
        <w:rPr>
          <w:rFonts w:ascii="Noto Serif" w:hAnsi="Noto Serif" w:eastAsia="Noto Serif" w:cs="Noto Serif"/>
          <w:b w:val="0"/>
          <w:i w:val="0"/>
          <w:color w:val="202733"/>
          <w:sz w:val="18"/>
        </w:rPr>
        <w:t xml:space="preserve"> structures.[14]</w:t>
      </w:r>
    </w:p>
    <w:p>
      <w:bookmarkStart w:id="52" w:name="sec_043"/>
      <w:pPr>
        <w:pStyle w:val="Heading3"/>
      </w:pPr>
      <w:r>
        <w:rPr>
          <w:rFonts w:ascii="Lato" w:hAnsi="Lato" w:eastAsia="Lato" w:cs="Lato"/>
          <w:b/>
          <w:i w:val="0"/>
          <w:color w:val="202733"/>
          <w:sz w:val="21"/>
        </w:rPr>
        <w:t>8.3 Why this is better than serializing a Promise</w:t>
      </w:r>
      <w:bookmarkEnd w:id="52"/>
    </w:p>
    <w:p>
      <w:r>
        <w:rPr>
          <w:rFonts w:ascii="Noto Serif" w:hAnsi="Noto Serif" w:eastAsia="Noto Serif" w:cs="Noto Serif"/>
          <w:b w:val="0"/>
          <w:i w:val="0"/>
          <w:color w:val="202733"/>
          <w:sz w:val="18"/>
        </w:rPr>
        <w:t>The persisted record contains only stable labels and schema-checked data. It does not depend on:</w:t>
      </w:r>
    </w:p>
    <w:p>
      <w:pPr>
        <w:pStyle w:val="ListBullet"/>
      </w:pPr>
      <w:r>
        <w:rPr>
          <w:rFonts w:ascii="Noto Serif" w:hAnsi="Noto Serif" w:eastAsia="Noto Serif" w:cs="Noto Serif"/>
          <w:b w:val="0"/>
          <w:i w:val="0"/>
          <w:color w:val="202733"/>
          <w:sz w:val="18"/>
        </w:rPr>
        <w:t>the Goja heap layout;</w:t>
      </w:r>
    </w:p>
    <w:p>
      <w:pPr>
        <w:pStyle w:val="ListBullet"/>
      </w:pPr>
      <w:r>
        <w:rPr>
          <w:rFonts w:ascii="Noto Serif" w:hAnsi="Noto Serif" w:eastAsia="Noto Serif" w:cs="Noto Serif"/>
          <w:b w:val="0"/>
          <w:i w:val="0"/>
          <w:color w:val="202733"/>
          <w:sz w:val="18"/>
        </w:rPr>
        <w:t>closure representation;</w:t>
      </w:r>
    </w:p>
    <w:p>
      <w:pPr>
        <w:pStyle w:val="ListBullet"/>
      </w:pPr>
      <w:r>
        <w:rPr>
          <w:rFonts w:ascii="Noto Serif" w:hAnsi="Noto Serif" w:eastAsia="Noto Serif" w:cs="Noto Serif"/>
          <w:b w:val="0"/>
          <w:i w:val="0"/>
          <w:color w:val="202733"/>
          <w:sz w:val="18"/>
        </w:rPr>
        <w:t>lexical-environment pointers;</w:t>
      </w:r>
    </w:p>
    <w:p>
      <w:pPr>
        <w:pStyle w:val="ListBullet"/>
      </w:pPr>
      <w:r>
        <w:rPr>
          <w:rFonts w:ascii="Noto Serif" w:hAnsi="Noto Serif" w:eastAsia="Noto Serif" w:cs="Noto Serif"/>
          <w:b w:val="0"/>
          <w:i w:val="0"/>
          <w:color w:val="202733"/>
          <w:sz w:val="18"/>
        </w:rPr>
        <w:t>the Promise job queue;</w:t>
      </w:r>
    </w:p>
    <w:p>
      <w:pPr>
        <w:pStyle w:val="ListBullet"/>
      </w:pPr>
      <w:r>
        <w:rPr>
          <w:rFonts w:ascii="Noto Serif" w:hAnsi="Noto Serif" w:eastAsia="Noto Serif" w:cs="Noto Serif"/>
          <w:b w:val="0"/>
          <w:i w:val="0"/>
          <w:color w:val="202733"/>
          <w:sz w:val="18"/>
        </w:rPr>
        <w:t>goroutine identity;</w:t>
      </w:r>
    </w:p>
    <w:p>
      <w:pPr>
        <w:pStyle w:val="ListBullet"/>
      </w:pPr>
      <w:r>
        <w:rPr>
          <w:rFonts w:ascii="Noto Serif" w:hAnsi="Noto Serif" w:eastAsia="Noto Serif" w:cs="Noto Serif"/>
          <w:b w:val="0"/>
          <w:i w:val="0"/>
          <w:color w:val="202733"/>
          <w:sz w:val="18"/>
        </w:rPr>
        <w:t>a specific worker;</w:t>
      </w:r>
    </w:p>
    <w:p>
      <w:pPr>
        <w:pStyle w:val="ListBullet"/>
      </w:pPr>
      <w:r>
        <w:rPr>
          <w:rFonts w:ascii="Noto Serif" w:hAnsi="Noto Serif" w:eastAsia="Noto Serif" w:cs="Noto Serif"/>
          <w:b w:val="0"/>
          <w:i w:val="0"/>
          <w:color w:val="202733"/>
          <w:sz w:val="18"/>
        </w:rPr>
        <w:t>a specific VM version;</w:t>
      </w:r>
    </w:p>
    <w:p>
      <w:pPr>
        <w:pStyle w:val="ListBullet"/>
      </w:pPr>
      <w:r>
        <w:rPr>
          <w:rFonts w:ascii="Noto Serif" w:hAnsi="Noto Serif" w:eastAsia="Noto Serif" w:cs="Noto Serif"/>
          <w:b w:val="0"/>
          <w:i w:val="0"/>
          <w:color w:val="202733"/>
          <w:sz w:val="18"/>
        </w:rPr>
        <w:t>live secrets or native capability functions.</w:t>
      </w:r>
    </w:p>
    <w:p>
      <w:r>
        <w:rPr>
          <w:rFonts w:ascii="Noto Serif" w:hAnsi="Noto Serif" w:eastAsia="Noto Serif" w:cs="Noto Serif"/>
          <w:b w:val="0"/>
          <w:i w:val="0"/>
          <w:color w:val="202733"/>
          <w:sz w:val="18"/>
        </w:rPr>
        <w:t>It remains inspectable, migratable, revocable, and replay-protected by native code.</w:t>
      </w:r>
    </w:p>
    <w:p>
      <w:bookmarkStart w:id="53" w:name="sec_044"/>
      <w:pPr>
        <w:pStyle w:val="Heading2"/>
      </w:pPr>
      <w:r>
        <w:rPr>
          <w:rFonts w:ascii="Lato" w:hAnsi="Lato" w:eastAsia="Lato" w:cs="Lato"/>
          <w:b/>
          <w:i w:val="0"/>
          <w:color w:val="17365D"/>
          <w:sz w:val="26"/>
        </w:rPr>
        <w:t>9. Live-variable analysis defines continuation carry</w:t>
      </w:r>
      <w:bookmarkEnd w:id="53"/>
    </w:p>
    <w:p>
      <w:r>
        <w:rPr>
          <w:rFonts w:ascii="Noto Serif" w:hAnsi="Noto Serif" w:eastAsia="Noto Serif" w:cs="Noto Serif"/>
          <w:b w:val="0"/>
          <w:i w:val="0"/>
          <w:color w:val="202733"/>
          <w:sz w:val="18"/>
        </w:rPr>
        <w:t>At each durable suspension, the compiler computes which values may be used after resumption. This is a standard liveness problem with unusually important security consequences.</w:t>
      </w:r>
    </w:p>
    <w:p>
      <w:r>
        <w:rPr>
          <w:rFonts w:ascii="Noto Serif" w:hAnsi="Noto Serif" w:eastAsia="Noto Serif" w:cs="Noto Serif"/>
          <w:b w:val="0"/>
          <w:i w:val="0"/>
          <w:color w:val="202733"/>
          <w:sz w:val="18"/>
        </w:rPr>
        <w:t>For:</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const password = ctx.secret.password;</w:t>
        <w:br/>
      </w:r>
      <w:r>
        <w:rPr>
          <w:rFonts w:ascii="DejaVu Sans Mono" w:hAnsi="DejaVu Sans Mono" w:eastAsia="DejaVu Sans Mono" w:cs="DejaVu Sans Mono"/>
          <w:color w:val="202733"/>
          <w:sz w:val="14"/>
        </w:rPr>
        <w:t>const invite = await ctx.cap.invites.inspect(code);</w:t>
        <w:br/>
      </w:r>
      <w:r>
        <w:rPr>
          <w:rFonts w:ascii="DejaVu Sans Mono" w:hAnsi="DejaVu Sans Mono" w:eastAsia="DejaVu Sans Mono" w:cs="DejaVu Sans Mono"/>
          <w:color w:val="202733"/>
          <w:sz w:val="14"/>
        </w:rPr>
        <w:t>const form = await durable.form(Form, { email: invite.email });</w:t>
        <w:br/>
      </w:r>
      <w:r>
        <w:rPr>
          <w:rFonts w:ascii="DejaVu Sans Mono" w:hAnsi="DejaVu Sans Mono" w:eastAsia="DejaVu Sans Mono" w:cs="DejaVu Sans Mono"/>
          <w:color w:val="202733"/>
          <w:sz w:val="14"/>
        </w:rPr>
        <w:t>return commit({ password, form });</w:t>
      </w:r>
    </w:p>
    <w:p>
      <w:r>
        <w:rPr>
          <w:rFonts w:ascii="DejaVu Sans Mono" w:hAnsi="DejaVu Sans Mono" w:eastAsia="DejaVu Sans Mono" w:cs="DejaVu Sans Mono"/>
          <w:b w:val="0"/>
          <w:i w:val="0"/>
          <w:color w:val="202733"/>
          <w:sz w:val="16"/>
          <w:shd w:fill="EDF1F4" w:val="clear"/>
        </w:rPr>
        <w:t>password</w:t>
      </w:r>
      <w:r>
        <w:rPr>
          <w:rFonts w:ascii="Noto Serif" w:hAnsi="Noto Serif" w:eastAsia="Noto Serif" w:cs="Noto Serif"/>
          <w:b w:val="0"/>
          <w:i w:val="0"/>
          <w:color w:val="202733"/>
          <w:sz w:val="18"/>
        </w:rPr>
        <w:t xml:space="preserve"> is live across the durable form boundary. Its type is an invocation-scoped secret resource. The compiler must reject the program:</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TIDP-S312: invocation-scoped secret `password` is live across a durable suspension.</w:t>
        <w:br/>
      </w:r>
      <w:r>
        <w:rPr>
          <w:rFonts w:ascii="DejaVu Sans Mono" w:hAnsi="DejaVu Sans Mono" w:eastAsia="DejaVu Sans Mono" w:cs="DejaVu Sans Mono"/>
          <w:color w:val="202733"/>
          <w:sz w:val="14"/>
        </w:rPr>
        <w:t>Secret values and handles cannot be persisted or recreated after browser resume.</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12 | const form = await durable.form(Form, { email: invite.email });</w:t>
        <w:br/>
      </w:r>
      <w:r>
        <w:rPr>
          <w:rFonts w:ascii="DejaVu Sans Mono" w:hAnsi="DejaVu Sans Mono" w:eastAsia="DejaVu Sans Mono" w:cs="DejaVu Sans Mono"/>
          <w:color w:val="202733"/>
          <w:sz w:val="14"/>
        </w:rPr>
        <w:t xml:space="preserve">     |              ^^^^^^^^^^^^^^^^^^^^^^^^^^^^^^^^^^^^^^^^^^^^^^^^^^^</w:t>
        <w:br/>
      </w:r>
      <w:r>
        <w:rPr>
          <w:rFonts w:ascii="DejaVu Sans Mono" w:hAnsi="DejaVu Sans Mono" w:eastAsia="DejaVu Sans Mono" w:cs="DejaVu Sans Mono"/>
          <w:color w:val="202733"/>
          <w:sz w:val="14"/>
        </w:rPr>
        <w:t xml:space="preserve">  13 | return commit({ password, form });</w:t>
        <w:br/>
      </w:r>
      <w:r>
        <w:rPr>
          <w:rFonts w:ascii="DejaVu Sans Mono" w:hAnsi="DejaVu Sans Mono" w:eastAsia="DejaVu Sans Mono" w:cs="DejaVu Sans Mono"/>
          <w:color w:val="202733"/>
          <w:sz w:val="14"/>
        </w:rPr>
        <w:t xml:space="preserve">     |                 ^^^^^^^^ used after suspension</w:t>
      </w:r>
    </w:p>
    <w:p>
      <w:bookmarkStart w:id="54" w:name="sec_045"/>
      <w:pPr>
        <w:pStyle w:val="Heading3"/>
      </w:pPr>
      <w:r>
        <w:rPr>
          <w:rFonts w:ascii="Lato" w:hAnsi="Lato" w:eastAsia="Lato" w:cs="Lato"/>
          <w:b/>
          <w:i w:val="0"/>
          <w:color w:val="202733"/>
          <w:sz w:val="21"/>
        </w:rPr>
        <w:t>9.1 Continuation-safe types</w:t>
      </w:r>
      <w:bookmarkEnd w:id="54"/>
    </w:p>
    <w:p>
      <w:r>
        <w:rPr>
          <w:rFonts w:ascii="Noto Serif" w:hAnsi="Noto Serif" w:eastAsia="Noto Serif" w:cs="Noto Serif"/>
          <w:b w:val="0"/>
          <w:i w:val="0"/>
          <w:color w:val="202733"/>
          <w:sz w:val="18"/>
        </w:rPr>
        <w:t>Every type should have a persistence classification:</w:t>
      </w:r>
    </w:p>
    <w:tbl>
      <w:tblPr>
        <w:tblW w:type="auto" w:w="0"/>
        <w:jc w:val="center"/>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389"/>
        <w:gridCol w:w="3389"/>
        <w:gridCol w:w="3389"/>
      </w:tblGrid>
      <w:tr>
        <w:trPr>
          <w:trHeight w:hRule="atLeast"/>
          <w:tblHeader w:val="true"/>
        </w:trPr>
        <w:tc>
          <w:tcPr>
            <w:tcW w:type="dxa" w:w="2459"/>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Class</w:t>
            </w:r>
          </w:p>
        </w:tc>
        <w:tc>
          <w:tcPr>
            <w:tcW w:type="dxa" w:w="3825"/>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Examples</w:t>
            </w:r>
          </w:p>
        </w:tc>
        <w:tc>
          <w:tcPr>
            <w:tcW w:type="dxa" w:w="3825"/>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May cross durable suspension?</w:t>
            </w:r>
          </w:p>
        </w:tc>
      </w:tr>
      <w:tr>
        <w:trPr>
          <w:trHeight w:hRule="atLeast"/>
        </w:trPr>
        <w:tc>
          <w:tcPr>
            <w:tcW w:type="dxa" w:w="245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Public value</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bounded string, boolean, enum, public record</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Yes, under schema and size bound</w:t>
            </w:r>
          </w:p>
        </w:tc>
      </w:tr>
      <w:tr>
        <w:trPr>
          <w:trHeight w:hRule="atLeast"/>
        </w:trPr>
        <w:tc>
          <w:tcPr>
            <w:tcW w:type="dxa" w:w="245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Sensitive durable reference</w:t>
            </w:r>
          </w:p>
        </w:tc>
        <w:tc>
          <w:tcPr>
            <w:tcW w:type="dxa" w:w="38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invitation ID, challenge ID, encrypted blob reference</w:t>
            </w:r>
          </w:p>
        </w:tc>
        <w:tc>
          <w:tcPr>
            <w:tcW w:type="dxa" w:w="38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Yes, as opaque native reference</w:t>
            </w:r>
          </w:p>
        </w:tc>
      </w:tr>
      <w:tr>
        <w:trPr>
          <w:trHeight w:hRule="atLeast"/>
        </w:trPr>
        <w:tc>
          <w:tcPr>
            <w:tcW w:type="dxa" w:w="245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Evidence</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verified email evidence, WebAuthn assertion result</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Only by host-issued evidence reference or typed projection</w:t>
            </w:r>
          </w:p>
        </w:tc>
      </w:tr>
      <w:tr>
        <w:trPr>
          <w:trHeight w:hRule="atLeast"/>
        </w:trPr>
        <w:tc>
          <w:tcPr>
            <w:tcW w:type="dxa" w:w="245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Secret</w:t>
            </w:r>
          </w:p>
        </w:tc>
        <w:tc>
          <w:tcPr>
            <w:tcW w:type="dxa" w:w="38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password bytes, raw code, private key</w:t>
            </w:r>
          </w:p>
        </w:tc>
        <w:tc>
          <w:tcPr>
            <w:tcW w:type="dxa" w:w="38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No</w:t>
            </w:r>
          </w:p>
        </w:tc>
      </w:tr>
      <w:tr>
        <w:trPr>
          <w:trHeight w:hRule="atLeast"/>
        </w:trPr>
        <w:tc>
          <w:tcPr>
            <w:tcW w:type="dxa" w:w="245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Invocation resource</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capability function, transaction, HTTP request, logger span</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No</w:t>
            </w:r>
          </w:p>
        </w:tc>
      </w:tr>
      <w:tr>
        <w:trPr>
          <w:trHeight w:hRule="atLeast"/>
        </w:trPr>
        <w:tc>
          <w:tcPr>
            <w:tcW w:type="dxa" w:w="245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VM-local value</w:t>
            </w:r>
          </w:p>
        </w:tc>
        <w:tc>
          <w:tcPr>
            <w:tcW w:type="dxa" w:w="38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function, Promise, Proxy, Symbol, object with cycles</w:t>
            </w:r>
          </w:p>
        </w:tc>
        <w:tc>
          <w:tcPr>
            <w:tcW w:type="dxa" w:w="38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No</w:t>
            </w:r>
          </w:p>
        </w:tc>
      </w:tr>
      <w:tr>
        <w:trPr>
          <w:trHeight w:hRule="atLeast"/>
        </w:trPr>
        <w:tc>
          <w:tcPr>
            <w:tcW w:type="dxa" w:w="245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Recomputable pure value</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normalized display label</w:t>
            </w:r>
          </w:p>
        </w:tc>
        <w:tc>
          <w:tcPr>
            <w:tcW w:type="dxa" w:w="38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Prefer recomputation; may be carried if bounded</w:t>
            </w:r>
          </w:p>
        </w:tc>
      </w:tr>
    </w:tbl>
    <w:p>
      <w:pPr>
        <w:spacing w:after="20"/>
      </w:pPr>
    </w:p>
    <w:p>
      <w:bookmarkStart w:id="55" w:name="sec_046"/>
      <w:pPr>
        <w:pStyle w:val="Heading3"/>
      </w:pPr>
      <w:r>
        <w:rPr>
          <w:rFonts w:ascii="Lato" w:hAnsi="Lato" w:eastAsia="Lato" w:cs="Lato"/>
          <w:b/>
          <w:i w:val="0"/>
          <w:color w:val="202733"/>
          <w:sz w:val="21"/>
        </w:rPr>
        <w:t>9.2 Carry minimization</w:t>
      </w:r>
      <w:bookmarkEnd w:id="55"/>
    </w:p>
    <w:p>
      <w:r>
        <w:rPr>
          <w:rFonts w:ascii="Noto Serif" w:hAnsi="Noto Serif" w:eastAsia="Noto Serif" w:cs="Noto Serif"/>
          <w:b w:val="0"/>
          <w:i w:val="0"/>
          <w:color w:val="202733"/>
          <w:sz w:val="18"/>
        </w:rPr>
        <w:t>Even public values should not be persisted automatically without policy. The compiler can minimize carry to the exact live fields, then enforce a world-level size and sensitivity budget. This reduces data retention and migration burden.</w:t>
      </w:r>
    </w:p>
    <w:p>
      <w:bookmarkStart w:id="56" w:name="sec_047"/>
      <w:pPr>
        <w:pStyle w:val="Heading3"/>
      </w:pPr>
      <w:r>
        <w:rPr>
          <w:rFonts w:ascii="Lato" w:hAnsi="Lato" w:eastAsia="Lato" w:cs="Lato"/>
          <w:b/>
          <w:i w:val="0"/>
          <w:color w:val="202733"/>
          <w:sz w:val="21"/>
        </w:rPr>
        <w:t>9.3 Explicit escape hatches</w:t>
      </w:r>
      <w:bookmarkEnd w:id="56"/>
    </w:p>
    <w:p>
      <w:r>
        <w:rPr>
          <w:rFonts w:ascii="Noto Serif" w:hAnsi="Noto Serif" w:eastAsia="Noto Serif" w:cs="Noto Serif"/>
          <w:b w:val="0"/>
          <w:i w:val="0"/>
          <w:color w:val="202733"/>
          <w:sz w:val="18"/>
        </w:rPr>
        <w:t>Some values may be intentionally converted to durable references: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const reservation = await durable.storeRef(invite);</w:t>
      </w:r>
    </w:p>
    <w:p>
      <w:r>
        <w:rPr>
          <w:rFonts w:ascii="Noto Serif" w:hAnsi="Noto Serif" w:eastAsia="Noto Serif" w:cs="Noto Serif"/>
          <w:b w:val="0"/>
          <w:i w:val="0"/>
          <w:color w:val="202733"/>
          <w:sz w:val="18"/>
        </w:rPr>
        <w:t>That operation is an effect with a native implementation, audit trail, expiry, and access policy. It is not a generic object serializer.</w:t>
      </w:r>
    </w:p>
    <w:p>
      <w:bookmarkStart w:id="57" w:name="sec_048"/>
      <w:pPr>
        <w:pStyle w:val="Heading2"/>
      </w:pPr>
      <w:r>
        <w:rPr>
          <w:rFonts w:ascii="Lato" w:hAnsi="Lato" w:eastAsia="Lato" w:cs="Lato"/>
          <w:b/>
          <w:i w:val="0"/>
          <w:color w:val="17365D"/>
          <w:sz w:val="26"/>
        </w:rPr>
        <w:t>10. Structured concurrency for capabilities and Promises</w:t>
      </w:r>
      <w:bookmarkEnd w:id="57"/>
    </w:p>
    <w:p>
      <w:r>
        <w:rPr>
          <w:rFonts w:ascii="Noto Serif" w:hAnsi="Noto Serif" w:eastAsia="Noto Serif" w:cs="Noto Serif"/>
          <w:b w:val="0"/>
          <w:i w:val="0"/>
          <w:color w:val="202733"/>
          <w:sz w:val="18"/>
        </w:rPr>
        <w:t>The current runtime waits for capability settlements before declaring a worker safe.[12][13] A compiler can prevent most unsafe asynchronous shapes statically.</w:t>
      </w:r>
    </w:p>
    <w:p>
      <w:bookmarkStart w:id="58" w:name="sec_049"/>
      <w:pPr>
        <w:pStyle w:val="Heading3"/>
      </w:pPr>
      <w:r>
        <w:rPr>
          <w:rFonts w:ascii="Lato" w:hAnsi="Lato" w:eastAsia="Lato" w:cs="Lato"/>
          <w:b/>
          <w:i w:val="0"/>
          <w:color w:val="202733"/>
          <w:sz w:val="21"/>
        </w:rPr>
        <w:t>10.1 The problem of detached work</w:t>
      </w:r>
      <w:bookmarkEnd w:id="58"/>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export async function handler(ctx) {</w:t>
        <w:br/>
      </w:r>
      <w:r>
        <w:rPr>
          <w:rFonts w:ascii="DejaVu Sans Mono" w:hAnsi="DejaVu Sans Mono" w:eastAsia="DejaVu Sans Mono" w:cs="DejaVu Sans Mono"/>
          <w:color w:val="202733"/>
          <w:sz w:val="14"/>
        </w:rPr>
        <w:t xml:space="preserve">  ctx.cap.audit.write({ event: "started" }); // Promise ignored</w:t>
        <w:br/>
      </w:r>
      <w:r>
        <w:rPr>
          <w:rFonts w:ascii="DejaVu Sans Mono" w:hAnsi="DejaVu Sans Mono" w:eastAsia="DejaVu Sans Mono" w:cs="DejaVu Sans Mono"/>
          <w:color w:val="202733"/>
          <w:sz w:val="14"/>
        </w:rPr>
        <w:t xml:space="preserve">  return complete({ ok: true });</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Should the audit complete? May it reject after the worker is returned? Is it part of the result? The current runtime conservatively tracks pending native capability settlements, but arbitrary Promise chains and library tasks can still obscure intent.</w:t>
      </w:r>
    </w:p>
    <w:p>
      <w:bookmarkStart w:id="59" w:name="sec_050"/>
      <w:pPr>
        <w:pStyle w:val="Heading3"/>
      </w:pPr>
      <w:r>
        <w:rPr>
          <w:rFonts w:ascii="Lato" w:hAnsi="Lato" w:eastAsia="Lato" w:cs="Lato"/>
          <w:b/>
          <w:i w:val="0"/>
          <w:color w:val="202733"/>
          <w:sz w:val="21"/>
        </w:rPr>
        <w:t>10.2 Invocation task scopes</w:t>
      </w:r>
      <w:bookmarkEnd w:id="59"/>
    </w:p>
    <w:p>
      <w:r>
        <w:rPr>
          <w:rFonts w:ascii="Noto Serif" w:hAnsi="Noto Serif" w:eastAsia="Noto Serif" w:cs="Noto Serif"/>
          <w:b w:val="0"/>
          <w:i w:val="0"/>
          <w:color w:val="202733"/>
          <w:sz w:val="18"/>
        </w:rPr>
        <w:t>The language profile can require that every asynchronous operation belongs to an invocation task scope: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export async function handler(ctx) {</w:t>
        <w:br/>
      </w:r>
      <w:r>
        <w:rPr>
          <w:rFonts w:ascii="DejaVu Sans Mono" w:hAnsi="DejaVu Sans Mono" w:eastAsia="DejaVu Sans Mono" w:cs="DejaVu Sans Mono"/>
          <w:color w:val="202733"/>
          <w:sz w:val="14"/>
        </w:rPr>
        <w:t xml:space="preserve">  await scope.all([</w:t>
        <w:br/>
      </w:r>
      <w:r>
        <w:rPr>
          <w:rFonts w:ascii="DejaVu Sans Mono" w:hAnsi="DejaVu Sans Mono" w:eastAsia="DejaVu Sans Mono" w:cs="DejaVu Sans Mono"/>
          <w:color w:val="202733"/>
          <w:sz w:val="14"/>
        </w:rPr>
        <w:t xml:space="preserve">    ctx.cap.audit.write({ event: "started" }),</w:t>
        <w:br/>
      </w:r>
      <w:r>
        <w:rPr>
          <w:rFonts w:ascii="DejaVu Sans Mono" w:hAnsi="DejaVu Sans Mono" w:eastAsia="DejaVu Sans Mono" w:cs="DejaVu Sans Mono"/>
          <w:color w:val="202733"/>
          <w:sz w:val="14"/>
        </w:rPr>
        <w:t xml:space="preserve">    ctx.cap.metrics.increment({ name: "attempt" }),</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return complete({ ok: true });</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The compiler enforces one of:</w:t>
      </w:r>
    </w:p>
    <w:p>
      <w:pPr>
        <w:pStyle w:val="ListBullet"/>
      </w:pPr>
      <w:r>
        <w:rPr>
          <w:rFonts w:ascii="Noto Serif" w:hAnsi="Noto Serif" w:eastAsia="Noto Serif" w:cs="Noto Serif"/>
          <w:b w:val="0"/>
          <w:i w:val="0"/>
          <w:color w:val="202733"/>
          <w:sz w:val="18"/>
        </w:rPr>
        <w:t>awaited before return;</w:t>
      </w:r>
    </w:p>
    <w:p>
      <w:pPr>
        <w:pStyle w:val="ListBullet"/>
      </w:pPr>
      <w:r>
        <w:rPr>
          <w:rFonts w:ascii="Noto Serif" w:hAnsi="Noto Serif" w:eastAsia="Noto Serif" w:cs="Noto Serif"/>
          <w:b w:val="0"/>
          <w:i w:val="0"/>
          <w:color w:val="202733"/>
          <w:sz w:val="18"/>
        </w:rPr>
        <w:t>joined by a structured combinator;</w:t>
      </w:r>
    </w:p>
    <w:p>
      <w:pPr>
        <w:pStyle w:val="ListBullet"/>
      </w:pPr>
      <w:r>
        <w:rPr>
          <w:rFonts w:ascii="Noto Serif" w:hAnsi="Noto Serif" w:eastAsia="Noto Serif" w:cs="Noto Serif"/>
          <w:b w:val="0"/>
          <w:i w:val="0"/>
          <w:color w:val="202733"/>
          <w:sz w:val="18"/>
        </w:rPr>
        <w:t>explicitly cancelled;</w:t>
      </w:r>
    </w:p>
    <w:p>
      <w:pPr>
        <w:pStyle w:val="ListBullet"/>
      </w:pPr>
      <w:r>
        <w:rPr>
          <w:rFonts w:ascii="Noto Serif" w:hAnsi="Noto Serif" w:eastAsia="Noto Serif" w:cs="Noto Serif"/>
          <w:b w:val="0"/>
          <w:i w:val="0"/>
          <w:color w:val="202733"/>
          <w:sz w:val="18"/>
        </w:rPr>
        <w:t>declared as a host-owned fire-and-forget effect with independent delivery semantics.</w:t>
      </w:r>
    </w:p>
    <w:p>
      <w:r>
        <w:rPr>
          <w:rFonts w:ascii="Noto Serif" w:hAnsi="Noto Serif" w:eastAsia="Noto Serif" w:cs="Noto Serif"/>
          <w:b w:val="0"/>
          <w:i w:val="0"/>
          <w:color w:val="202733"/>
          <w:sz w:val="18"/>
        </w:rPr>
        <w:t>No ordinary Promise may outlive the invocation region.</w:t>
      </w:r>
    </w:p>
    <w:p>
      <w:bookmarkStart w:id="60" w:name="sec_051"/>
      <w:pPr>
        <w:pStyle w:val="Heading3"/>
      </w:pPr>
      <w:r>
        <w:rPr>
          <w:rFonts w:ascii="Lato" w:hAnsi="Lato" w:eastAsia="Lato" w:cs="Lato"/>
          <w:b/>
          <w:i w:val="0"/>
          <w:color w:val="202733"/>
          <w:sz w:val="21"/>
        </w:rPr>
        <w:t>10.3 Deterministic concurrency</w:t>
      </w:r>
      <w:bookmarkEnd w:id="60"/>
    </w:p>
    <w:p>
      <w:r>
        <w:rPr>
          <w:rFonts w:ascii="DejaVu Sans Mono" w:hAnsi="DejaVu Sans Mono" w:eastAsia="DejaVu Sans Mono" w:cs="DejaVu Sans Mono"/>
          <w:b w:val="0"/>
          <w:i w:val="0"/>
          <w:color w:val="202733"/>
          <w:sz w:val="16"/>
          <w:shd w:fill="EDF1F4" w:val="clear"/>
        </w:rPr>
        <w:t>Promise.race</w:t>
      </w:r>
      <w:r>
        <w:rPr>
          <w:rFonts w:ascii="Noto Serif" w:hAnsi="Noto Serif" w:eastAsia="Noto Serif" w:cs="Noto Serif"/>
          <w:b w:val="0"/>
          <w:i w:val="0"/>
          <w:color w:val="202733"/>
          <w:sz w:val="18"/>
        </w:rPr>
        <w:t xml:space="preserve"> and completion-order-sensitive logic are nondeterministic when capability timing varies. A durable or replayable world must either reject such use, record the winning order as a journal event, or require a deterministic selection rule independent of timing. Durable execution systems solve this by journaling completion order and replaying it.[19]</w:t>
      </w:r>
    </w:p>
    <w:p>
      <w:bookmarkStart w:id="61" w:name="sec_052"/>
      <w:pPr>
        <w:pStyle w:val="Heading3"/>
      </w:pPr>
      <w:r>
        <w:rPr>
          <w:rFonts w:ascii="Lato" w:hAnsi="Lato" w:eastAsia="Lato" w:cs="Lato"/>
          <w:b/>
          <w:i w:val="0"/>
          <w:color w:val="202733"/>
          <w:sz w:val="21"/>
        </w:rPr>
        <w:t>10.4 Cancellation semantics</w:t>
      </w:r>
      <w:bookmarkEnd w:id="61"/>
    </w:p>
    <w:p>
      <w:r>
        <w:rPr>
          <w:rFonts w:ascii="Noto Serif" w:hAnsi="Noto Serif" w:eastAsia="Noto Serif" w:cs="Noto Serif"/>
          <w:b w:val="0"/>
          <w:i w:val="0"/>
          <w:color w:val="202733"/>
          <w:sz w:val="18"/>
        </w:rPr>
        <w:t>Cancellation should be an explicit effect with structured propagation. A timeout cancels child capability calls, closes invocation regions, and marks the worker unsafe unless the VM and host prove quiescence. Compiler-generated task trees make this behavior observable and testable.</w:t>
      </w:r>
    </w:p>
    <w:p>
      <w:bookmarkStart w:id="62" w:name="sec_053"/>
      <w:pPr>
        <w:pStyle w:val="Heading2"/>
      </w:pPr>
      <w:r>
        <w:rPr>
          <w:rFonts w:ascii="Lato" w:hAnsi="Lato" w:eastAsia="Lato" w:cs="Lato"/>
          <w:b/>
          <w:i w:val="0"/>
          <w:color w:val="17365D"/>
          <w:sz w:val="26"/>
        </w:rPr>
        <w:t>11. Secret, evidence, and provenance analysis</w:t>
      </w:r>
      <w:bookmarkEnd w:id="62"/>
    </w:p>
    <w:p>
      <w:r>
        <w:rPr>
          <w:rFonts w:ascii="Noto Serif" w:hAnsi="Noto Serif" w:eastAsia="Noto Serif" w:cs="Noto Serif"/>
          <w:b w:val="0"/>
          <w:i w:val="0"/>
          <w:color w:val="202733"/>
          <w:sz w:val="18"/>
        </w:rPr>
        <w:t>Tiny-IDP uses opaque secret handles and native evidence projections. Compiler control can turn that runtime mechanism into a static information-flow discipline.</w:t>
      </w:r>
    </w:p>
    <w:p>
      <w:bookmarkStart w:id="63" w:name="sec_054"/>
      <w:pPr>
        <w:pStyle w:val="Heading3"/>
      </w:pPr>
      <w:r>
        <w:rPr>
          <w:rFonts w:ascii="Lato" w:hAnsi="Lato" w:eastAsia="Lato" w:cs="Lato"/>
          <w:b/>
          <w:i w:val="0"/>
          <w:color w:val="202733"/>
          <w:sz w:val="21"/>
        </w:rPr>
        <w:t>11.1 Security labels</w:t>
      </w:r>
      <w:bookmarkEnd w:id="63"/>
    </w:p>
    <w:p>
      <w:r>
        <w:rPr>
          <w:rFonts w:ascii="Noto Serif" w:hAnsi="Noto Serif" w:eastAsia="Noto Serif" w:cs="Noto Serif"/>
          <w:b w:val="0"/>
          <w:i w:val="0"/>
          <w:color w:val="202733"/>
          <w:sz w:val="18"/>
        </w:rPr>
        <w:t>Values can carry labels such as: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public</w:t>
        <w:br/>
      </w:r>
      <w:r>
        <w:rPr>
          <w:rFonts w:ascii="DejaVu Sans Mono" w:hAnsi="DejaVu Sans Mono" w:eastAsia="DejaVu Sans Mono" w:cs="DejaVu Sans Mono"/>
          <w:color w:val="202733"/>
          <w:sz w:val="14"/>
        </w:rPr>
        <w:t>pii.email</w:t>
        <w:br/>
      </w:r>
      <w:r>
        <w:rPr>
          <w:rFonts w:ascii="DejaVu Sans Mono" w:hAnsi="DejaVu Sans Mono" w:eastAsia="DejaVu Sans Mono" w:cs="DejaVu Sans Mono"/>
          <w:color w:val="202733"/>
          <w:sz w:val="14"/>
        </w:rPr>
        <w:t>sensitive.profile</w:t>
        <w:br/>
      </w:r>
      <w:r>
        <w:rPr>
          <w:rFonts w:ascii="DejaVu Sans Mono" w:hAnsi="DejaVu Sans Mono" w:eastAsia="DejaVu Sans Mono" w:cs="DejaVu Sans Mono"/>
          <w:color w:val="202733"/>
          <w:sz w:val="14"/>
        </w:rPr>
        <w:t>secret.password</w:t>
        <w:br/>
      </w:r>
      <w:r>
        <w:rPr>
          <w:rFonts w:ascii="DejaVu Sans Mono" w:hAnsi="DejaVu Sans Mono" w:eastAsia="DejaVu Sans Mono" w:cs="DejaVu Sans Mono"/>
          <w:color w:val="202733"/>
          <w:sz w:val="14"/>
        </w:rPr>
        <w:t>secret.otp</w:t>
        <w:br/>
      </w:r>
      <w:r>
        <w:rPr>
          <w:rFonts w:ascii="DejaVu Sans Mono" w:hAnsi="DejaVu Sans Mono" w:eastAsia="DejaVu Sans Mono" w:cs="DejaVu Sans Mono"/>
          <w:color w:val="202733"/>
          <w:sz w:val="14"/>
        </w:rPr>
        <w:t>proof.email_verified</w:t>
        <w:br/>
      </w:r>
      <w:r>
        <w:rPr>
          <w:rFonts w:ascii="DejaVu Sans Mono" w:hAnsi="DejaVu Sans Mono" w:eastAsia="DejaVu Sans Mono" w:cs="DejaVu Sans Mono"/>
          <w:color w:val="202733"/>
          <w:sz w:val="14"/>
        </w:rPr>
        <w:t>proof.webauthn</w:t>
        <w:br/>
      </w:r>
      <w:r>
        <w:rPr>
          <w:rFonts w:ascii="DejaVu Sans Mono" w:hAnsi="DejaVu Sans Mono" w:eastAsia="DejaVu Sans Mono" w:cs="DejaVu Sans Mono"/>
          <w:color w:val="202733"/>
          <w:sz w:val="14"/>
        </w:rPr>
        <w:t>continuation.safe</w:t>
        <w:br/>
      </w:r>
      <w:r>
        <w:rPr>
          <w:rFonts w:ascii="DejaVu Sans Mono" w:hAnsi="DejaVu Sans Mono" w:eastAsia="DejaVu Sans Mono" w:cs="DejaVu Sans Mono"/>
          <w:color w:val="202733"/>
          <w:sz w:val="14"/>
        </w:rPr>
        <w:t>log.redacted</w:t>
      </w:r>
    </w:p>
    <w:p>
      <w:r>
        <w:rPr>
          <w:rFonts w:ascii="Noto Serif" w:hAnsi="Noto Serif" w:eastAsia="Noto Serif" w:cs="Noto Serif"/>
          <w:b w:val="0"/>
          <w:i w:val="0"/>
          <w:color w:val="202733"/>
          <w:sz w:val="18"/>
        </w:rPr>
        <w:t>Labels flow through assignments, object construction, function calls, and returns. Dialect operations declare label transforms. For example: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normalizeEmail : pii.email -&gt; pii.email</w:t>
        <w:br/>
      </w:r>
      <w:r>
        <w:rPr>
          <w:rFonts w:ascii="DejaVu Sans Mono" w:hAnsi="DejaVu Sans Mono" w:eastAsia="DejaVu Sans Mono" w:cs="DejaVu Sans Mono"/>
          <w:color w:val="202733"/>
          <w:sz w:val="14"/>
        </w:rPr>
        <w:t>verifyPassword : secret.password x credential.ref -&gt; proof.password_valid</w:t>
        <w:br/>
      </w:r>
      <w:r>
        <w:rPr>
          <w:rFonts w:ascii="DejaVu Sans Mono" w:hAnsi="DejaVu Sans Mono" w:eastAsia="DejaVu Sans Mono" w:cs="DejaVu Sans Mono"/>
          <w:color w:val="202733"/>
          <w:sz w:val="14"/>
        </w:rPr>
        <w:t>redactEmail    : pii.email -&gt; log.redacted</w:t>
      </w:r>
    </w:p>
    <w:p>
      <w:bookmarkStart w:id="64" w:name="sec_055"/>
      <w:pPr>
        <w:pStyle w:val="Heading3"/>
      </w:pPr>
      <w:r>
        <w:rPr>
          <w:rFonts w:ascii="Lato" w:hAnsi="Lato" w:eastAsia="Lato" w:cs="Lato"/>
          <w:b/>
          <w:i w:val="0"/>
          <w:color w:val="202733"/>
          <w:sz w:val="21"/>
        </w:rPr>
        <w:t>11.2 Enforced sinks</w:t>
      </w:r>
      <w:bookmarkEnd w:id="64"/>
    </w:p>
    <w:p>
      <w:r>
        <w:rPr>
          <w:rFonts w:ascii="Noto Serif" w:hAnsi="Noto Serif" w:eastAsia="Noto Serif" w:cs="Noto Serif"/>
          <w:b w:val="0"/>
          <w:i w:val="0"/>
          <w:color w:val="202733"/>
          <w:sz w:val="18"/>
        </w:rPr>
        <w:t>The compiler checks sensitive sinks:</w:t>
      </w:r>
    </w:p>
    <w:p>
      <w:pPr>
        <w:pStyle w:val="ListBullet"/>
      </w:pPr>
      <w:r>
        <w:rPr>
          <w:rFonts w:ascii="Noto Serif" w:hAnsi="Noto Serif" w:eastAsia="Noto Serif" w:cs="Noto Serif"/>
          <w:b w:val="0"/>
          <w:i w:val="0"/>
          <w:color w:val="202733"/>
          <w:sz w:val="18"/>
        </w:rPr>
        <w:t>durable carry accepts only continuation-safe values;</w:t>
      </w:r>
    </w:p>
    <w:p>
      <w:pPr>
        <w:pStyle w:val="ListBullet"/>
      </w:pPr>
      <w:r>
        <w:rPr>
          <w:rFonts w:ascii="Noto Serif" w:hAnsi="Noto Serif" w:eastAsia="Noto Serif" w:cs="Noto Serif"/>
          <w:b w:val="0"/>
          <w:i w:val="0"/>
          <w:color w:val="202733"/>
          <w:sz w:val="18"/>
        </w:rPr>
        <w:t>logs accept public or redacted values;</w:t>
      </w:r>
    </w:p>
    <w:p>
      <w:pPr>
        <w:pStyle w:val="ListBullet"/>
      </w:pPr>
      <w:r>
        <w:rPr>
          <w:rFonts w:ascii="Noto Serif" w:hAnsi="Noto Serif" w:eastAsia="Noto Serif" w:cs="Noto Serif"/>
          <w:b w:val="0"/>
          <w:i w:val="0"/>
          <w:color w:val="202733"/>
          <w:sz w:val="18"/>
        </w:rPr>
        <w:t>presentation redisplay accepts fields whose UI descriptor permits redisplay;</w:t>
      </w:r>
    </w:p>
    <w:p>
      <w:pPr>
        <w:pStyle w:val="ListBullet"/>
      </w:pPr>
      <w:r>
        <w:rPr>
          <w:rFonts w:ascii="Noto Serif" w:hAnsi="Noto Serif" w:eastAsia="Noto Serif" w:cs="Noto Serif"/>
          <w:b w:val="0"/>
          <w:i w:val="0"/>
          <w:color w:val="202733"/>
          <w:sz w:val="18"/>
        </w:rPr>
        <w:t>capability inputs accept only their declared labels;</w:t>
      </w:r>
    </w:p>
    <w:p>
      <w:pPr>
        <w:pStyle w:val="ListBullet"/>
      </w:pPr>
      <w:r>
        <w:rPr>
          <w:rFonts w:ascii="Noto Serif" w:hAnsi="Noto Serif" w:eastAsia="Noto Serif" w:cs="Noto Serif"/>
          <w:b w:val="0"/>
          <w:i w:val="0"/>
          <w:color w:val="202733"/>
          <w:sz w:val="18"/>
        </w:rPr>
        <w:t>commit effects accept proof types, not user-manufactured booleans;</w:t>
      </w:r>
    </w:p>
    <w:p>
      <w:pPr>
        <w:pStyle w:val="ListBullet"/>
      </w:pPr>
      <w:r>
        <w:rPr>
          <w:rFonts w:ascii="Noto Serif" w:hAnsi="Noto Serif" w:eastAsia="Noto Serif" w:cs="Noto Serif"/>
          <w:b w:val="0"/>
          <w:i w:val="0"/>
          <w:color w:val="202733"/>
          <w:sz w:val="18"/>
        </w:rPr>
        <w:t>output schemas reject secret fields.</w:t>
      </w:r>
    </w:p>
    <w:p>
      <w:bookmarkStart w:id="65" w:name="sec_056"/>
      <w:pPr>
        <w:pStyle w:val="Heading3"/>
      </w:pPr>
      <w:r>
        <w:rPr>
          <w:rFonts w:ascii="Lato" w:hAnsi="Lato" w:eastAsia="Lato" w:cs="Lato"/>
          <w:b/>
          <w:i w:val="0"/>
          <w:color w:val="202733"/>
          <w:sz w:val="21"/>
        </w:rPr>
        <w:t>11.3 Nominal proof types</w:t>
      </w:r>
      <w:bookmarkEnd w:id="65"/>
    </w:p>
    <w:p>
      <w:r>
        <w:rPr>
          <w:rFonts w:ascii="Noto Serif" w:hAnsi="Noto Serif" w:eastAsia="Noto Serif" w:cs="Noto Serif"/>
          <w:b w:val="0"/>
          <w:i w:val="0"/>
          <w:color w:val="202733"/>
          <w:sz w:val="18"/>
        </w:rPr>
        <w:t xml:space="preserve">A JavaScript object </w:t>
      </w:r>
      <w:r>
        <w:rPr>
          <w:rFonts w:ascii="DejaVu Sans Mono" w:hAnsi="DejaVu Sans Mono" w:eastAsia="DejaVu Sans Mono" w:cs="DejaVu Sans Mono"/>
          <w:b w:val="0"/>
          <w:i w:val="0"/>
          <w:color w:val="202733"/>
          <w:sz w:val="16"/>
          <w:shd w:fill="EDF1F4" w:val="clear"/>
        </w:rPr>
        <w:t>{emailVerified: true}</w:t>
      </w:r>
      <w:r>
        <w:rPr>
          <w:rFonts w:ascii="Noto Serif" w:hAnsi="Noto Serif" w:eastAsia="Noto Serif" w:cs="Noto Serif"/>
          <w:b w:val="0"/>
          <w:i w:val="0"/>
          <w:color w:val="202733"/>
          <w:sz w:val="18"/>
        </w:rPr>
        <w:t xml:space="preserve"> must not be equivalent to native email evidence. The current object-identity branding pattern already creates unforgeable VM-local handles.[20] A compiler can represent these as nominal resource types: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EmailProof&lt;challenge_id, address&gt;</w:t>
        <w:br/>
      </w:r>
      <w:r>
        <w:rPr>
          <w:rFonts w:ascii="DejaVu Sans Mono" w:hAnsi="DejaVu Sans Mono" w:eastAsia="DejaVu Sans Mono" w:cs="DejaVu Sans Mono"/>
          <w:color w:val="202733"/>
          <w:sz w:val="14"/>
        </w:rPr>
        <w:t>PasswordSecret&lt;invocation_region&gt;</w:t>
        <w:br/>
      </w:r>
      <w:r>
        <w:rPr>
          <w:rFonts w:ascii="DejaVu Sans Mono" w:hAnsi="DejaVu Sans Mono" w:eastAsia="DejaVu Sans Mono" w:cs="DejaVu Sans Mono"/>
          <w:color w:val="202733"/>
          <w:sz w:val="14"/>
        </w:rPr>
        <w:t>InvitationRef&lt;provider_generation&gt;</w:t>
      </w:r>
    </w:p>
    <w:p>
      <w:r>
        <w:rPr>
          <w:rFonts w:ascii="Noto Serif" w:hAnsi="Noto Serif" w:eastAsia="Noto Serif" w:cs="Noto Serif"/>
          <w:b w:val="0"/>
          <w:i w:val="0"/>
          <w:color w:val="202733"/>
          <w:sz w:val="18"/>
        </w:rPr>
        <w:t>Only native operations can construct them. Their type parameters bind them to the relevant challenge, address, invocation, or provider generation.</w:t>
      </w:r>
    </w:p>
    <w:p>
      <w:bookmarkStart w:id="66" w:name="sec_057"/>
      <w:pPr>
        <w:pStyle w:val="Heading3"/>
      </w:pPr>
      <w:r>
        <w:rPr>
          <w:rFonts w:ascii="Lato" w:hAnsi="Lato" w:eastAsia="Lato" w:cs="Lato"/>
          <w:b/>
          <w:i w:val="0"/>
          <w:color w:val="202733"/>
          <w:sz w:val="21"/>
        </w:rPr>
        <w:t>11.4 Limits of taint analysis</w:t>
      </w:r>
      <w:bookmarkEnd w:id="66"/>
    </w:p>
    <w:p>
      <w:r>
        <w:rPr>
          <w:rFonts w:ascii="Noto Serif" w:hAnsi="Noto Serif" w:eastAsia="Noto Serif" w:cs="Noto Serif"/>
          <w:b w:val="0"/>
          <w:i w:val="0"/>
          <w:color w:val="202733"/>
          <w:sz w:val="18"/>
        </w:rPr>
        <w:t>Information-flow analysis is conservative and incomplete for full JavaScript, especially with reflection, dynamic property access, proxies, exceptions, and implicit flows. The assurance profile should restrict those features at sensitive boundaries. Passing the checker is evidence of compliance with its model, not a claim of side-channel resistance or complete noninterference.</w:t>
      </w:r>
    </w:p>
    <w:p>
      <w:bookmarkStart w:id="67" w:name="sec_058"/>
      <w:pPr>
        <w:pStyle w:val="Heading2"/>
      </w:pPr>
      <w:r>
        <w:rPr>
          <w:rFonts w:ascii="Lato" w:hAnsi="Lato" w:eastAsia="Lato" w:cs="Lato"/>
          <w:b/>
          <w:i w:val="0"/>
          <w:color w:val="17365D"/>
          <w:sz w:val="26"/>
        </w:rPr>
        <w:t>12. Compile effects instead of interpreting arbitrary result objects</w:t>
      </w:r>
      <w:bookmarkEnd w:id="67"/>
    </w:p>
    <w:p>
      <w:r>
        <w:rPr>
          <w:rFonts w:ascii="Noto Serif" w:hAnsi="Noto Serif" w:eastAsia="Noto Serif" w:cs="Noto Serif"/>
          <w:b w:val="0"/>
          <w:i w:val="0"/>
          <w:color w:val="202733"/>
          <w:sz w:val="18"/>
        </w:rPr>
        <w:t>Tiny-IDP already treats commit results as inert effect plans executed by Go.[21] A semantic compiler can make effect construction first-class.</w:t>
      </w:r>
    </w:p>
    <w:p>
      <w:bookmarkStart w:id="68" w:name="sec_059"/>
      <w:pPr>
        <w:pStyle w:val="Heading3"/>
      </w:pPr>
      <w:r>
        <w:rPr>
          <w:rFonts w:ascii="Lato" w:hAnsi="Lato" w:eastAsia="Lato" w:cs="Lato"/>
          <w:b/>
          <w:i w:val="0"/>
          <w:color w:val="202733"/>
          <w:sz w:val="21"/>
        </w:rPr>
        <w:t>12.1 Typed effect operations</w:t>
      </w:r>
      <w:bookmarkEnd w:id="68"/>
    </w:p>
    <w:p>
      <w:r>
        <w:rPr>
          <w:rFonts w:ascii="Noto Serif" w:hAnsi="Noto Serif" w:eastAsia="Noto Serif" w:cs="Noto Serif"/>
          <w:b w:val="0"/>
          <w:i w:val="0"/>
          <w:color w:val="202733"/>
          <w:sz w:val="18"/>
        </w:rPr>
        <w:t>Instead of an arbitrary JSON payload:</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return { kind: "commit", effects: [{ kind: "create_identity", payload: ... }] };</w:t>
      </w:r>
    </w:p>
    <w:p>
      <w:r>
        <w:rPr>
          <w:rFonts w:ascii="Noto Serif" w:hAnsi="Noto Serif" w:eastAsia="Noto Serif" w:cs="Noto Serif"/>
          <w:b w:val="0"/>
          <w:i w:val="0"/>
          <w:color w:val="202733"/>
          <w:sz w:val="18"/>
        </w:rPr>
        <w:t>source uses constructors whose signatures are defined by the Tiny-IDP dialect:</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return effects.commit([</w:t>
        <w:br/>
      </w:r>
      <w:r>
        <w:rPr>
          <w:rFonts w:ascii="DejaVu Sans Mono" w:hAnsi="DejaVu Sans Mono" w:eastAsia="DejaVu Sans Mono" w:cs="DejaVu Sans Mono"/>
          <w:color w:val="202733"/>
          <w:sz w:val="14"/>
        </w:rPr>
        <w:t xml:space="preserve">  identity.create({ subject, email }),</w:t>
        <w:br/>
      </w:r>
      <w:r>
        <w:rPr>
          <w:rFonts w:ascii="DejaVu Sans Mono" w:hAnsi="DejaVu Sans Mono" w:eastAsia="DejaVu Sans Mono" w:cs="DejaVu Sans Mono"/>
          <w:color w:val="202733"/>
          <w:sz w:val="14"/>
        </w:rPr>
        <w:t xml:space="preserve">  credential.bindPassword({ identity, password }),</w:t>
        <w:br/>
      </w:r>
      <w:r>
        <w:rPr>
          <w:rFonts w:ascii="DejaVu Sans Mono" w:hAnsi="DejaVu Sans Mono" w:eastAsia="DejaVu Sans Mono" w:cs="DejaVu Sans Mono"/>
          <w:color w:val="202733"/>
          <w:sz w:val="14"/>
        </w:rPr>
        <w:t xml:space="preserve">  invitation.consume(invite),</w:t>
        <w:br/>
      </w:r>
      <w:r>
        <w:rPr>
          <w:rFonts w:ascii="DejaVu Sans Mono" w:hAnsi="DejaVu Sans Mono" w:eastAsia="DejaVu Sans Mono" w:cs="DejaVu Sans Mono"/>
          <w:color w:val="202733"/>
          <w:sz w:val="14"/>
        </w:rPr>
        <w:t xml:space="preserve">  session.establish({ identity }),</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The compiler emits a typed effect AST. Unknown keys, illegal resources, or unsupported ordering are rejected before runtime.</w:t>
      </w:r>
    </w:p>
    <w:p>
      <w:bookmarkStart w:id="69" w:name="sec_060"/>
      <w:pPr>
        <w:pStyle w:val="Heading3"/>
      </w:pPr>
      <w:r>
        <w:rPr>
          <w:rFonts w:ascii="Lato" w:hAnsi="Lato" w:eastAsia="Lato" w:cs="Lato"/>
          <w:b/>
          <w:i w:val="0"/>
          <w:color w:val="202733"/>
          <w:sz w:val="21"/>
        </w:rPr>
        <w:t>12.2 Effect-sequence verification</w:t>
      </w:r>
      <w:bookmarkEnd w:id="69"/>
    </w:p>
    <w:p>
      <w:r>
        <w:rPr>
          <w:rFonts w:ascii="Noto Serif" w:hAnsi="Noto Serif" w:eastAsia="Noto Serif" w:cs="Noto Serif"/>
          <w:b w:val="0"/>
          <w:i w:val="0"/>
          <w:color w:val="202733"/>
          <w:sz w:val="18"/>
        </w:rPr>
        <w:t>A dialect verifier can encode rules such as:</w:t>
      </w:r>
    </w:p>
    <w:p>
      <w:pPr>
        <w:pStyle w:val="ListBullet"/>
      </w:pPr>
      <w:r>
        <w:rPr>
          <w:rFonts w:ascii="Noto Serif" w:hAnsi="Noto Serif" w:eastAsia="Noto Serif" w:cs="Noto Serif"/>
          <w:b w:val="0"/>
          <w:i w:val="0"/>
          <w:color w:val="202733"/>
          <w:sz w:val="18"/>
        </w:rPr>
        <w:t>an invitation must be validated before it is consumed;</w:t>
      </w:r>
    </w:p>
    <w:p>
      <w:pPr>
        <w:pStyle w:val="ListBullet"/>
      </w:pPr>
      <w:r>
        <w:rPr>
          <w:rFonts w:ascii="Noto Serif" w:hAnsi="Noto Serif" w:eastAsia="Noto Serif" w:cs="Noto Serif"/>
          <w:b w:val="0"/>
          <w:i w:val="0"/>
          <w:color w:val="202733"/>
          <w:sz w:val="18"/>
        </w:rPr>
        <w:t>a credential binding must target the identity created or loaded in the same commit context;</w:t>
      </w:r>
    </w:p>
    <w:p>
      <w:pPr>
        <w:pStyle w:val="ListBullet"/>
      </w:pPr>
      <w:r>
        <w:rPr>
          <w:rFonts w:ascii="Noto Serif" w:hAnsi="Noto Serif" w:eastAsia="Noto Serif" w:cs="Noto Serif"/>
          <w:b w:val="0"/>
          <w:i w:val="0"/>
          <w:color w:val="202733"/>
          <w:sz w:val="18"/>
        </w:rPr>
        <w:t>a session can be established only after a successful identity effect;</w:t>
      </w:r>
    </w:p>
    <w:p>
      <w:pPr>
        <w:pStyle w:val="ListBullet"/>
      </w:pPr>
      <w:r>
        <w:rPr>
          <w:rFonts w:ascii="Noto Serif" w:hAnsi="Noto Serif" w:eastAsia="Noto Serif" w:cs="Noto Serif"/>
          <w:b w:val="0"/>
          <w:i w:val="0"/>
          <w:color w:val="202733"/>
          <w:sz w:val="18"/>
        </w:rPr>
        <w:t>one-time evidence cannot be consumed twice;</w:t>
      </w:r>
    </w:p>
    <w:p>
      <w:pPr>
        <w:pStyle w:val="ListBullet"/>
      </w:pPr>
      <w:r>
        <w:rPr>
          <w:rFonts w:ascii="Noto Serif" w:hAnsi="Noto Serif" w:eastAsia="Noto Serif" w:cs="Noto Serif"/>
          <w:b w:val="0"/>
          <w:i w:val="0"/>
          <w:color w:val="202733"/>
          <w:sz w:val="18"/>
        </w:rPr>
        <w:t>authorization-code issuance cannot occur in a signup plugin;</w:t>
      </w:r>
    </w:p>
    <w:p>
      <w:pPr>
        <w:pStyle w:val="ListBullet"/>
      </w:pPr>
      <w:r>
        <w:rPr>
          <w:rFonts w:ascii="Noto Serif" w:hAnsi="Noto Serif" w:eastAsia="Noto Serif" w:cs="Noto Serif"/>
          <w:b w:val="0"/>
          <w:i w:val="0"/>
          <w:color w:val="202733"/>
          <w:sz w:val="18"/>
        </w:rPr>
        <w:t>compensatable and non-compensatable effects cannot be mixed without an explicit transaction boundary.</w:t>
      </w:r>
    </w:p>
    <w:p>
      <w:r>
        <w:rPr>
          <w:rFonts w:ascii="Noto Serif" w:hAnsi="Noto Serif" w:eastAsia="Noto Serif" w:cs="Noto Serif"/>
          <w:b w:val="0"/>
          <w:i w:val="0"/>
          <w:color w:val="202733"/>
          <w:sz w:val="18"/>
        </w:rPr>
        <w:t>The native committer still revalidates the plan and applies it atomically. Compiler verification reduces the dynamic error surface; it does not replace transaction-time checks.</w:t>
      </w:r>
    </w:p>
    <w:p>
      <w:bookmarkStart w:id="70" w:name="sec_061"/>
      <w:pPr>
        <w:pStyle w:val="Heading3"/>
      </w:pPr>
      <w:r>
        <w:rPr>
          <w:rFonts w:ascii="Lato" w:hAnsi="Lato" w:eastAsia="Lato" w:cs="Lato"/>
          <w:b/>
          <w:i w:val="0"/>
          <w:color w:val="202733"/>
          <w:sz w:val="21"/>
        </w:rPr>
        <w:t>12.3 Algebraic effect handlers as project composition</w:t>
      </w:r>
      <w:bookmarkEnd w:id="70"/>
    </w:p>
    <w:p>
      <w:r>
        <w:rPr>
          <w:rFonts w:ascii="Noto Serif" w:hAnsi="Noto Serif" w:eastAsia="Noto Serif" w:cs="Noto Serif"/>
          <w:b w:val="0"/>
          <w:i w:val="0"/>
          <w:color w:val="202733"/>
          <w:sz w:val="18"/>
        </w:rPr>
        <w:t xml:space="preserve">At the MIR level, </w:t>
      </w:r>
      <w:r>
        <w:rPr>
          <w:rFonts w:ascii="DejaVu Sans Mono" w:hAnsi="DejaVu Sans Mono" w:eastAsia="DejaVu Sans Mono" w:cs="DejaVu Sans Mono"/>
          <w:b w:val="0"/>
          <w:i w:val="0"/>
          <w:color w:val="202733"/>
          <w:sz w:val="16"/>
          <w:shd w:fill="EDF1F4" w:val="clear"/>
        </w:rPr>
        <w:t>identity.create</w:t>
      </w:r>
      <w:r>
        <w:rPr>
          <w:rFonts w:ascii="Noto Serif" w:hAnsi="Noto Serif" w:eastAsia="Noto Serif" w:cs="Noto Serif"/>
          <w:b w:val="0"/>
          <w:i w:val="0"/>
          <w:color w:val="202733"/>
          <w:sz w:val="18"/>
        </w:rPr>
        <w:t xml:space="preserve"> is an abstract effect. Different worlds can install different handlers:</w:t>
      </w:r>
    </w:p>
    <w:p>
      <w:pPr>
        <w:pStyle w:val="ListBullet"/>
      </w:pPr>
      <w:r>
        <w:rPr>
          <w:rFonts w:ascii="Noto Serif" w:hAnsi="Noto Serif" w:eastAsia="Noto Serif" w:cs="Noto Serif"/>
          <w:b w:val="0"/>
          <w:i w:val="0"/>
          <w:color w:val="202733"/>
          <w:sz w:val="18"/>
        </w:rPr>
        <w:t>production handler: SQLite or remote identity service;</w:t>
      </w:r>
    </w:p>
    <w:p>
      <w:pPr>
        <w:pStyle w:val="ListBullet"/>
      </w:pPr>
      <w:r>
        <w:rPr>
          <w:rFonts w:ascii="Noto Serif" w:hAnsi="Noto Serif" w:eastAsia="Noto Serif" w:cs="Noto Serif"/>
          <w:b w:val="0"/>
          <w:i w:val="0"/>
          <w:color w:val="202733"/>
          <w:sz w:val="18"/>
        </w:rPr>
        <w:t>test handler: deterministic in-memory model;</w:t>
      </w:r>
    </w:p>
    <w:p>
      <w:pPr>
        <w:pStyle w:val="ListBullet"/>
      </w:pPr>
      <w:r>
        <w:rPr>
          <w:rFonts w:ascii="Noto Serif" w:hAnsi="Noto Serif" w:eastAsia="Noto Serif" w:cs="Noto Serif"/>
          <w:b w:val="0"/>
          <w:i w:val="0"/>
          <w:color w:val="202733"/>
          <w:sz w:val="18"/>
        </w:rPr>
        <w:t>simulation handler: records an effect trace without applying it;</w:t>
      </w:r>
    </w:p>
    <w:p>
      <w:pPr>
        <w:pStyle w:val="ListBullet"/>
      </w:pPr>
      <w:r>
        <w:rPr>
          <w:rFonts w:ascii="Noto Serif" w:hAnsi="Noto Serif" w:eastAsia="Noto Serif" w:cs="Noto Serif"/>
          <w:b w:val="0"/>
          <w:i w:val="0"/>
          <w:color w:val="202733"/>
          <w:sz w:val="18"/>
        </w:rPr>
        <w:t>migration handler: translates an older effect version;</w:t>
      </w:r>
    </w:p>
    <w:p>
      <w:pPr>
        <w:pStyle w:val="ListBullet"/>
      </w:pPr>
      <w:r>
        <w:rPr>
          <w:rFonts w:ascii="Noto Serif" w:hAnsi="Noto Serif" w:eastAsia="Noto Serif" w:cs="Noto Serif"/>
          <w:b w:val="0"/>
          <w:i w:val="0"/>
          <w:color w:val="202733"/>
          <w:sz w:val="18"/>
        </w:rPr>
        <w:t>model-checking handler: explores success, denial, conflict, and infrastructure failure.</w:t>
      </w:r>
    </w:p>
    <w:p>
      <w:r>
        <w:rPr>
          <w:rFonts w:ascii="Noto Serif" w:hAnsi="Noto Serif" w:eastAsia="Noto Serif" w:cs="Noto Serif"/>
          <w:b w:val="0"/>
          <w:i w:val="0"/>
          <w:color w:val="202733"/>
          <w:sz w:val="18"/>
        </w:rPr>
        <w:t>This is a substantial software-design improvement. Application logic becomes independent of the concrete storage and protocol adapters while authority remains explicit.</w:t>
      </w:r>
    </w:p>
    <w:p>
      <w:bookmarkStart w:id="71" w:name="sec_062"/>
      <w:pPr>
        <w:pStyle w:val="Heading2"/>
      </w:pPr>
      <w:r>
        <w:rPr>
          <w:rFonts w:ascii="Lato" w:hAnsi="Lato" w:eastAsia="Lato" w:cs="Lato"/>
          <w:b/>
          <w:i w:val="0"/>
          <w:color w:val="17365D"/>
          <w:sz w:val="26"/>
        </w:rPr>
        <w:t>13. Extract state machines and properties automatically</w:t>
      </w:r>
      <w:bookmarkEnd w:id="71"/>
    </w:p>
    <w:p>
      <w:r>
        <w:rPr>
          <w:rFonts w:ascii="Noto Serif" w:hAnsi="Noto Serif" w:eastAsia="Noto Serif" w:cs="Noto Serif"/>
          <w:b w:val="0"/>
          <w:i w:val="0"/>
          <w:color w:val="202733"/>
          <w:sz w:val="18"/>
        </w:rPr>
        <w:t>Once durable suspension points, effects, and outcomes are explicit in MIR, the compiler can produce a finite control graph.</w:t>
      </w:r>
    </w:p>
    <w:p>
      <w:bookmarkStart w:id="72" w:name="sec_063"/>
      <w:pPr>
        <w:pStyle w:val="Heading3"/>
      </w:pPr>
      <w:r>
        <w:rPr>
          <w:rFonts w:ascii="Lato" w:hAnsi="Lato" w:eastAsia="Lato" w:cs="Lato"/>
          <w:b/>
          <w:i w:val="0"/>
          <w:color w:val="202733"/>
          <w:sz w:val="21"/>
        </w:rPr>
        <w:t>13.1 Static graph</w:t>
      </w:r>
      <w:bookmarkEnd w:id="72"/>
    </w:p>
    <w:p>
      <w:r>
        <w:rPr>
          <w:rFonts w:ascii="Noto Serif" w:hAnsi="Noto Serif" w:eastAsia="Noto Serif" w:cs="Noto Serif"/>
          <w:b w:val="0"/>
          <w:i w:val="0"/>
          <w:color w:val="202733"/>
          <w:sz w:val="18"/>
        </w:rPr>
        <w:t>Nodes represent handler blocks and host transitions. Edges carry outcome, schema, evidence, and effect labels. Analyses can check:</w:t>
      </w:r>
    </w:p>
    <w:p>
      <w:pPr>
        <w:pStyle w:val="ListBullet"/>
      </w:pPr>
      <w:r>
        <w:rPr>
          <w:rFonts w:ascii="Noto Serif" w:hAnsi="Noto Serif" w:eastAsia="Noto Serif" w:cs="Noto Serif"/>
          <w:b w:val="0"/>
          <w:i w:val="0"/>
          <w:color w:val="202733"/>
          <w:sz w:val="18"/>
        </w:rPr>
        <w:t>reachability and dead handlers;</w:t>
      </w:r>
    </w:p>
    <w:p>
      <w:pPr>
        <w:pStyle w:val="ListBullet"/>
      </w:pPr>
      <w:r>
        <w:rPr>
          <w:rFonts w:ascii="Noto Serif" w:hAnsi="Noto Serif" w:eastAsia="Noto Serif" w:cs="Noto Serif"/>
          <w:b w:val="0"/>
          <w:i w:val="0"/>
          <w:color w:val="202733"/>
          <w:sz w:val="18"/>
        </w:rPr>
        <w:t>terminal-state coverage;</w:t>
      </w:r>
    </w:p>
    <w:p>
      <w:pPr>
        <w:pStyle w:val="ListBullet"/>
      </w:pPr>
      <w:r>
        <w:rPr>
          <w:rFonts w:ascii="Noto Serif" w:hAnsi="Noto Serif" w:eastAsia="Noto Serif" w:cs="Noto Serif"/>
          <w:b w:val="0"/>
          <w:i w:val="0"/>
          <w:color w:val="202733"/>
          <w:sz w:val="18"/>
        </w:rPr>
        <w:t>cycles without progress or expiry;</w:t>
      </w:r>
    </w:p>
    <w:p>
      <w:pPr>
        <w:pStyle w:val="ListBullet"/>
      </w:pPr>
      <w:r>
        <w:rPr>
          <w:rFonts w:ascii="Noto Serif" w:hAnsi="Noto Serif" w:eastAsia="Noto Serif" w:cs="Noto Serif"/>
          <w:b w:val="0"/>
          <w:i w:val="0"/>
          <w:color w:val="202733"/>
          <w:sz w:val="18"/>
        </w:rPr>
        <w:t>paths that present a form without CSRF-capable native projection;</w:t>
      </w:r>
    </w:p>
    <w:p>
      <w:pPr>
        <w:pStyle w:val="ListBullet"/>
      </w:pPr>
      <w:r>
        <w:rPr>
          <w:rFonts w:ascii="Noto Serif" w:hAnsi="Noto Serif" w:eastAsia="Noto Serif" w:cs="Noto Serif"/>
          <w:b w:val="0"/>
          <w:i w:val="0"/>
          <w:color w:val="202733"/>
          <w:sz w:val="18"/>
        </w:rPr>
        <w:t>paths that commit without required proof evidence;</w:t>
      </w:r>
    </w:p>
    <w:p>
      <w:pPr>
        <w:pStyle w:val="ListBullet"/>
      </w:pPr>
      <w:r>
        <w:rPr>
          <w:rFonts w:ascii="Noto Serif" w:hAnsi="Noto Serif" w:eastAsia="Noto Serif" w:cs="Noto Serif"/>
          <w:b w:val="0"/>
          <w:i w:val="0"/>
          <w:color w:val="202733"/>
          <w:sz w:val="18"/>
        </w:rPr>
        <w:t>replay-sensitive effects after non-idempotent capability calls;</w:t>
      </w:r>
    </w:p>
    <w:p>
      <w:pPr>
        <w:pStyle w:val="ListBullet"/>
      </w:pPr>
      <w:r>
        <w:rPr>
          <w:rFonts w:ascii="Noto Serif" w:hAnsi="Noto Serif" w:eastAsia="Noto Serif" w:cs="Noto Serif"/>
          <w:b w:val="0"/>
          <w:i w:val="0"/>
          <w:color w:val="202733"/>
          <w:sz w:val="18"/>
        </w:rPr>
        <w:t>continuation schemas that grow across loops;</w:t>
      </w:r>
    </w:p>
    <w:p>
      <w:pPr>
        <w:pStyle w:val="ListBullet"/>
      </w:pPr>
      <w:r>
        <w:rPr>
          <w:rFonts w:ascii="Noto Serif" w:hAnsi="Noto Serif" w:eastAsia="Noto Serif" w:cs="Noto Serif"/>
          <w:b w:val="0"/>
          <w:i w:val="0"/>
          <w:color w:val="202733"/>
          <w:sz w:val="18"/>
        </w:rPr>
        <w:t>unavailable generation migrations.</w:t>
      </w:r>
    </w:p>
    <w:p>
      <w:bookmarkStart w:id="73" w:name="sec_064"/>
      <w:pPr>
        <w:pStyle w:val="Heading3"/>
      </w:pPr>
      <w:r>
        <w:rPr>
          <w:rFonts w:ascii="Lato" w:hAnsi="Lato" w:eastAsia="Lato" w:cs="Lato"/>
          <w:b/>
          <w:i w:val="0"/>
          <w:color w:val="202733"/>
          <w:sz w:val="21"/>
        </w:rPr>
        <w:t>13.2 Abstract interpretation of opaque compute</w:t>
      </w:r>
      <w:bookmarkEnd w:id="73"/>
    </w:p>
    <w:p>
      <w:r>
        <w:rPr>
          <w:rFonts w:ascii="Noto Serif" w:hAnsi="Noto Serif" w:eastAsia="Noto Serif" w:cs="Noto Serif"/>
          <w:b w:val="0"/>
          <w:i w:val="0"/>
          <w:color w:val="202733"/>
          <w:sz w:val="18"/>
        </w:rPr>
        <w:t>Ordinary arithmetic and string manipulation need not be exhaustively modeled. The compiler can summarize a function by its possible outcomes, effects, and predicates. More precise domains can be added for enums, booleans, finite strings, nullability, and schema refinements.</w:t>
      </w:r>
    </w:p>
    <w:p>
      <w:bookmarkStart w:id="74" w:name="sec_065"/>
      <w:pPr>
        <w:pStyle w:val="Heading3"/>
      </w:pPr>
      <w:r>
        <w:rPr>
          <w:rFonts w:ascii="Lato" w:hAnsi="Lato" w:eastAsia="Lato" w:cs="Lato"/>
          <w:b/>
          <w:i w:val="0"/>
          <w:color w:val="202733"/>
          <w:sz w:val="21"/>
        </w:rPr>
        <w:t>13.3 Property-based test generation</w:t>
      </w:r>
      <w:bookmarkEnd w:id="74"/>
    </w:p>
    <w:p>
      <w:r>
        <w:rPr>
          <w:rFonts w:ascii="Noto Serif" w:hAnsi="Noto Serif" w:eastAsia="Noto Serif" w:cs="Noto Serif"/>
          <w:b w:val="0"/>
          <w:i w:val="0"/>
          <w:color w:val="202733"/>
          <w:sz w:val="18"/>
        </w:rPr>
        <w:t>Closed schemas and operation definitions can generate:</w:t>
      </w:r>
    </w:p>
    <w:p>
      <w:pPr>
        <w:pStyle w:val="ListBullet"/>
      </w:pPr>
      <w:r>
        <w:rPr>
          <w:rFonts w:ascii="Noto Serif" w:hAnsi="Noto Serif" w:eastAsia="Noto Serif" w:cs="Noto Serif"/>
          <w:b w:val="0"/>
          <w:i w:val="0"/>
          <w:color w:val="202733"/>
          <w:sz w:val="18"/>
        </w:rPr>
        <w:t>valid and invalid inputs;</w:t>
      </w:r>
    </w:p>
    <w:p>
      <w:pPr>
        <w:pStyle w:val="ListBullet"/>
      </w:pPr>
      <w:r>
        <w:rPr>
          <w:rFonts w:ascii="Noto Serif" w:hAnsi="Noto Serif" w:eastAsia="Noto Serif" w:cs="Noto Serif"/>
          <w:b w:val="0"/>
          <w:i w:val="0"/>
          <w:color w:val="202733"/>
          <w:sz w:val="18"/>
        </w:rPr>
        <w:t>boundary-length strings and byte arrays;</w:t>
      </w:r>
    </w:p>
    <w:p>
      <w:pPr>
        <w:pStyle w:val="ListBullet"/>
      </w:pPr>
      <w:r>
        <w:rPr>
          <w:rFonts w:ascii="Noto Serif" w:hAnsi="Noto Serif" w:eastAsia="Noto Serif" w:cs="Noto Serif"/>
          <w:b w:val="0"/>
          <w:i w:val="0"/>
          <w:color w:val="202733"/>
          <w:sz w:val="18"/>
        </w:rPr>
        <w:t>every enum and outcome case;</w:t>
      </w:r>
    </w:p>
    <w:p>
      <w:pPr>
        <w:pStyle w:val="ListBullet"/>
      </w:pPr>
      <w:r>
        <w:rPr>
          <w:rFonts w:ascii="Noto Serif" w:hAnsi="Noto Serif" w:eastAsia="Noto Serif" w:cs="Noto Serif"/>
          <w:b w:val="0"/>
          <w:i w:val="0"/>
          <w:color w:val="202733"/>
          <w:sz w:val="18"/>
        </w:rPr>
        <w:t>capability failures, timeouts, and malformed results;</w:t>
      </w:r>
    </w:p>
    <w:p>
      <w:pPr>
        <w:pStyle w:val="ListBullet"/>
      </w:pPr>
      <w:r>
        <w:rPr>
          <w:rFonts w:ascii="Noto Serif" w:hAnsi="Noto Serif" w:eastAsia="Noto Serif" w:cs="Noto Serif"/>
          <w:b w:val="0"/>
          <w:i w:val="0"/>
          <w:color w:val="202733"/>
          <w:sz w:val="18"/>
        </w:rPr>
        <w:t>replay and revision conflicts;</w:t>
      </w:r>
    </w:p>
    <w:p>
      <w:pPr>
        <w:pStyle w:val="ListBullet"/>
      </w:pPr>
      <w:r>
        <w:rPr>
          <w:rFonts w:ascii="Noto Serif" w:hAnsi="Noto Serif" w:eastAsia="Noto Serif" w:cs="Noto Serif"/>
          <w:b w:val="0"/>
          <w:i w:val="0"/>
          <w:color w:val="202733"/>
          <w:sz w:val="18"/>
        </w:rPr>
        <w:t>crash injection before and after every effect;</w:t>
      </w:r>
    </w:p>
    <w:p>
      <w:pPr>
        <w:pStyle w:val="ListBullet"/>
      </w:pPr>
      <w:r>
        <w:rPr>
          <w:rFonts w:ascii="Noto Serif" w:hAnsi="Noto Serif" w:eastAsia="Noto Serif" w:cs="Noto Serif"/>
          <w:b w:val="0"/>
          <w:i w:val="0"/>
          <w:color w:val="202733"/>
          <w:sz w:val="18"/>
        </w:rPr>
        <w:t>continuation reload under compatible and incompatible generations.</w:t>
      </w:r>
    </w:p>
    <w:p>
      <w:r>
        <w:rPr>
          <w:rFonts w:ascii="Noto Serif" w:hAnsi="Noto Serif" w:eastAsia="Noto Serif" w:cs="Noto Serif"/>
          <w:b w:val="0"/>
          <w:i w:val="0"/>
          <w:color w:val="202733"/>
          <w:sz w:val="18"/>
        </w:rPr>
        <w:t>This resembles IRDL's observation that declarative verifier definitions can generate valid fuzz inputs and can be lowered to analysis systems such as SMT.[6]</w:t>
      </w:r>
    </w:p>
    <w:p>
      <w:bookmarkStart w:id="75" w:name="sec_066"/>
      <w:pPr>
        <w:pStyle w:val="Heading1"/>
        <w:pageBreakBefore/>
      </w:pPr>
      <w:r>
        <w:rPr>
          <w:rFonts w:ascii="Lato" w:hAnsi="Lato" w:eastAsia="Lato" w:cs="Lato"/>
          <w:b/>
          <w:i w:val="0"/>
          <w:color w:val="17365D"/>
          <w:sz w:val="37"/>
        </w:rPr>
        <w:t>Part IV - What direct VM access would enable</w:t>
      </w:r>
      <w:bookmarkEnd w:id="75"/>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76" w:name="sec_067"/>
      <w:pPr>
        <w:pStyle w:val="Heading2"/>
      </w:pPr>
      <w:r>
        <w:rPr>
          <w:rFonts w:ascii="Lato" w:hAnsi="Lato" w:eastAsia="Lato" w:cs="Lato"/>
          <w:b/>
          <w:i w:val="0"/>
          <w:color w:val="17365D"/>
          <w:sz w:val="26"/>
        </w:rPr>
        <w:t>14. Deterministic instruction fuel</w:t>
      </w:r>
      <w:bookmarkEnd w:id="76"/>
    </w:p>
    <w:p>
      <w:r>
        <w:rPr>
          <w:rFonts w:ascii="Noto Serif" w:hAnsi="Noto Serif" w:eastAsia="Noto Serif" w:cs="Noto Serif"/>
          <w:b w:val="0"/>
          <w:i w:val="0"/>
          <w:color w:val="202733"/>
          <w:sz w:val="18"/>
        </w:rPr>
        <w:t>Tiny-IDP currently bounds an invocation with a wall-clock timeout and discards a worker after an uncertain interruption.[12] This is correct fail-stop engineering, but wall time is a noisy resource metric. It varies with machine load, garbage collection, capability latency, and host scheduling.</w:t>
      </w:r>
    </w:p>
    <w:p>
      <w:r>
        <w:rPr>
          <w:rFonts w:ascii="Noto Serif" w:hAnsi="Noto Serif" w:eastAsia="Noto Serif" w:cs="Noto Serif"/>
          <w:b w:val="0"/>
          <w:i w:val="0"/>
          <w:color w:val="202733"/>
          <w:sz w:val="18"/>
        </w:rPr>
        <w:t>A VM fork could charge deterministic fuel for executed operations: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fuel -= cost(opcode, operands, allocation_size)</w:t>
        <w:br/>
      </w:r>
      <w:r>
        <w:rPr>
          <w:rFonts w:ascii="DejaVu Sans Mono" w:hAnsi="DejaVu Sans Mono" w:eastAsia="DejaVu Sans Mono" w:cs="DejaVu Sans Mono"/>
          <w:color w:val="202733"/>
          <w:sz w:val="14"/>
        </w:rPr>
        <w:t>if fuel &lt; 0:</w:t>
        <w:br/>
      </w:r>
      <w:r>
        <w:rPr>
          <w:rFonts w:ascii="DejaVu Sans Mono" w:hAnsi="DejaVu Sans Mono" w:eastAsia="DejaVu Sans Mono" w:cs="DejaVu Sans Mono"/>
          <w:color w:val="202733"/>
          <w:sz w:val="14"/>
        </w:rPr>
        <w:t xml:space="preserve">    raise ResourceExhausted</w:t>
      </w:r>
    </w:p>
    <w:p>
      <w:bookmarkStart w:id="77" w:name="sec_068"/>
      <w:pPr>
        <w:pStyle w:val="Heading3"/>
      </w:pPr>
      <w:r>
        <w:rPr>
          <w:rFonts w:ascii="Lato" w:hAnsi="Lato" w:eastAsia="Lato" w:cs="Lato"/>
          <w:b/>
          <w:i w:val="0"/>
          <w:color w:val="202733"/>
          <w:sz w:val="21"/>
        </w:rPr>
        <w:t>14.1 What fuel improves</w:t>
      </w:r>
      <w:bookmarkEnd w:id="77"/>
    </w:p>
    <w:p>
      <w:pPr>
        <w:pStyle w:val="ListBullet"/>
      </w:pPr>
      <w:r>
        <w:rPr>
          <w:rFonts w:ascii="Noto Serif" w:hAnsi="Noto Serif" w:eastAsia="Noto Serif" w:cs="Noto Serif"/>
          <w:b w:val="0"/>
          <w:i w:val="0"/>
          <w:color w:val="202733"/>
          <w:sz w:val="18"/>
        </w:rPr>
        <w:t>reproducible test behavior;</w:t>
      </w:r>
    </w:p>
    <w:p>
      <w:pPr>
        <w:pStyle w:val="ListBullet"/>
      </w:pPr>
      <w:r>
        <w:rPr>
          <w:rFonts w:ascii="Noto Serif" w:hAnsi="Noto Serif" w:eastAsia="Noto Serif" w:cs="Noto Serif"/>
          <w:b w:val="0"/>
          <w:i w:val="0"/>
          <w:color w:val="202733"/>
          <w:sz w:val="18"/>
        </w:rPr>
        <w:t>tenant-independent CPU budgets;</w:t>
      </w:r>
    </w:p>
    <w:p>
      <w:pPr>
        <w:pStyle w:val="ListBullet"/>
      </w:pPr>
      <w:r>
        <w:rPr>
          <w:rFonts w:ascii="Noto Serif" w:hAnsi="Noto Serif" w:eastAsia="Noto Serif" w:cs="Noto Serif"/>
          <w:b w:val="0"/>
          <w:i w:val="0"/>
          <w:color w:val="202733"/>
          <w:sz w:val="18"/>
        </w:rPr>
        <w:t>precise attribution of expensive handlers;</w:t>
      </w:r>
    </w:p>
    <w:p>
      <w:pPr>
        <w:pStyle w:val="ListBullet"/>
      </w:pPr>
      <w:r>
        <w:rPr>
          <w:rFonts w:ascii="Noto Serif" w:hAnsi="Noto Serif" w:eastAsia="Noto Serif" w:cs="Noto Serif"/>
          <w:b w:val="0"/>
          <w:i w:val="0"/>
          <w:color w:val="202733"/>
          <w:sz w:val="18"/>
        </w:rPr>
        <w:t>earlier rejection of loops even on fast machines;</w:t>
      </w:r>
    </w:p>
    <w:p>
      <w:pPr>
        <w:pStyle w:val="ListBullet"/>
      </w:pPr>
      <w:r>
        <w:rPr>
          <w:rFonts w:ascii="Noto Serif" w:hAnsi="Noto Serif" w:eastAsia="Noto Serif" w:cs="Noto Serif"/>
          <w:b w:val="0"/>
          <w:i w:val="0"/>
          <w:color w:val="202733"/>
          <w:sz w:val="18"/>
        </w:rPr>
        <w:t>model-based cost estimation;</w:t>
      </w:r>
    </w:p>
    <w:p>
      <w:pPr>
        <w:pStyle w:val="ListBullet"/>
      </w:pPr>
      <w:r>
        <w:rPr>
          <w:rFonts w:ascii="Noto Serif" w:hAnsi="Noto Serif" w:eastAsia="Noto Serif" w:cs="Noto Serif"/>
          <w:b w:val="0"/>
          <w:i w:val="0"/>
          <w:color w:val="202733"/>
          <w:sz w:val="18"/>
        </w:rPr>
        <w:t>safer fuzzing and symbolic exploration;</w:t>
      </w:r>
    </w:p>
    <w:p>
      <w:pPr>
        <w:pStyle w:val="ListBullet"/>
      </w:pPr>
      <w:r>
        <w:rPr>
          <w:rFonts w:ascii="Noto Serif" w:hAnsi="Noto Serif" w:eastAsia="Noto Serif" w:cs="Noto Serif"/>
          <w:b w:val="0"/>
          <w:i w:val="0"/>
          <w:color w:val="202733"/>
          <w:sz w:val="18"/>
        </w:rPr>
        <w:t>an activation certificate stating a configured execution bound.</w:t>
      </w:r>
    </w:p>
    <w:p>
      <w:r>
        <w:rPr>
          <w:rFonts w:ascii="Noto Serif" w:hAnsi="Noto Serif" w:eastAsia="Noto Serif" w:cs="Noto Serif"/>
          <w:b w:val="0"/>
          <w:i w:val="0"/>
          <w:color w:val="202733"/>
          <w:sz w:val="18"/>
        </w:rPr>
        <w:t>Wasmtime exposes a comparable distinction between fuel and epoch interruption: fuel provides deterministic instrumentation, while epoch interruption is a lower-overhead asynchronous deadline mechanism.[22] A Goja fork could use both: fuel for policy and testing, context interruption as the outer emergency brake.</w:t>
      </w:r>
    </w:p>
    <w:p>
      <w:bookmarkStart w:id="78" w:name="sec_069"/>
      <w:pPr>
        <w:pStyle w:val="Heading3"/>
      </w:pPr>
      <w:r>
        <w:rPr>
          <w:rFonts w:ascii="Lato" w:hAnsi="Lato" w:eastAsia="Lato" w:cs="Lato"/>
          <w:b/>
          <w:i w:val="0"/>
          <w:color w:val="202733"/>
          <w:sz w:val="21"/>
        </w:rPr>
        <w:t>14.2 Cost model design</w:t>
      </w:r>
      <w:bookmarkEnd w:id="78"/>
    </w:p>
    <w:p>
      <w:r>
        <w:rPr>
          <w:rFonts w:ascii="Noto Serif" w:hAnsi="Noto Serif" w:eastAsia="Noto Serif" w:cs="Noto Serif"/>
          <w:b w:val="0"/>
          <w:i w:val="0"/>
          <w:color w:val="202733"/>
          <w:sz w:val="18"/>
        </w:rPr>
        <w:t>Charging one unit per bytecode instruction is simple but incomplete. Property lookup, regular expressions, string concatenation, sorting, JSON conversion, and BigInt operations can have input-dependent cost. A useful model needs:</w:t>
      </w:r>
    </w:p>
    <w:p>
      <w:pPr>
        <w:pStyle w:val="ListBullet"/>
      </w:pPr>
      <w:r>
        <w:rPr>
          <w:rFonts w:ascii="Noto Serif" w:hAnsi="Noto Serif" w:eastAsia="Noto Serif" w:cs="Noto Serif"/>
          <w:b w:val="0"/>
          <w:i w:val="0"/>
          <w:color w:val="202733"/>
          <w:sz w:val="18"/>
        </w:rPr>
        <w:t>a base cost per instruction;</w:t>
      </w:r>
    </w:p>
    <w:p>
      <w:pPr>
        <w:pStyle w:val="ListBullet"/>
      </w:pPr>
      <w:r>
        <w:rPr>
          <w:rFonts w:ascii="Noto Serif" w:hAnsi="Noto Serif" w:eastAsia="Noto Serif" w:cs="Noto Serif"/>
          <w:b w:val="0"/>
          <w:i w:val="0"/>
          <w:color w:val="202733"/>
          <w:sz w:val="18"/>
        </w:rPr>
        <w:t>size-sensitive costs for strings, arrays, maps, regex input, and JSON;</w:t>
      </w:r>
    </w:p>
    <w:p>
      <w:pPr>
        <w:pStyle w:val="ListBullet"/>
      </w:pPr>
      <w:r>
        <w:rPr>
          <w:rFonts w:ascii="Noto Serif" w:hAnsi="Noto Serif" w:eastAsia="Noto Serif" w:cs="Noto Serif"/>
          <w:b w:val="0"/>
          <w:i w:val="0"/>
          <w:color w:val="202733"/>
          <w:sz w:val="18"/>
        </w:rPr>
        <w:t>allocation cost;</w:t>
      </w:r>
    </w:p>
    <w:p>
      <w:pPr>
        <w:pStyle w:val="ListBullet"/>
      </w:pPr>
      <w:r>
        <w:rPr>
          <w:rFonts w:ascii="Noto Serif" w:hAnsi="Noto Serif" w:eastAsia="Noto Serif" w:cs="Noto Serif"/>
          <w:b w:val="0"/>
          <w:i w:val="0"/>
          <w:color w:val="202733"/>
          <w:sz w:val="18"/>
        </w:rPr>
        <w:t>host-call cost charged separately by capability policy;</w:t>
      </w:r>
    </w:p>
    <w:p>
      <w:pPr>
        <w:pStyle w:val="ListBullet"/>
      </w:pPr>
      <w:r>
        <w:rPr>
          <w:rFonts w:ascii="Noto Serif" w:hAnsi="Noto Serif" w:eastAsia="Noto Serif" w:cs="Noto Serif"/>
          <w:b w:val="0"/>
          <w:i w:val="0"/>
          <w:color w:val="202733"/>
          <w:sz w:val="18"/>
        </w:rPr>
        <w:t>periodic deadline checks independent of fuel.</w:t>
      </w:r>
    </w:p>
    <w:p>
      <w:r>
        <w:rPr>
          <w:rFonts w:ascii="Noto Serif" w:hAnsi="Noto Serif" w:eastAsia="Noto Serif" w:cs="Noto Serif"/>
          <w:b w:val="0"/>
          <w:i w:val="0"/>
          <w:color w:val="202733"/>
          <w:sz w:val="18"/>
        </w:rPr>
        <w:t>The model should be deterministic and conservative, not a promise of exact CPU cycles.</w:t>
      </w:r>
    </w:p>
    <w:p>
      <w:bookmarkStart w:id="79" w:name="sec_070"/>
      <w:pPr>
        <w:pStyle w:val="Heading3"/>
      </w:pPr>
      <w:r>
        <w:rPr>
          <w:rFonts w:ascii="Lato" w:hAnsi="Lato" w:eastAsia="Lato" w:cs="Lato"/>
          <w:b/>
          <w:i w:val="0"/>
          <w:color w:val="202733"/>
          <w:sz w:val="21"/>
        </w:rPr>
        <w:t>14.3 Static and dynamic bounds</w:t>
      </w:r>
      <w:bookmarkEnd w:id="79"/>
    </w:p>
    <w:p>
      <w:r>
        <w:rPr>
          <w:rFonts w:ascii="Noto Serif" w:hAnsi="Noto Serif" w:eastAsia="Noto Serif" w:cs="Noto Serif"/>
          <w:b w:val="0"/>
          <w:i w:val="0"/>
          <w:color w:val="202733"/>
          <w:sz w:val="18"/>
        </w:rPr>
        <w:t>A restricted profile can statically prove bounds for loops over bounded schema collections. Full JavaScript cannot generally provide a useful static termination bound. The design should combine:</w:t>
      </w:r>
    </w:p>
    <w:p>
      <w:pPr>
        <w:pStyle w:val="ListBullet"/>
      </w:pPr>
      <w:r>
        <w:rPr>
          <w:rFonts w:ascii="Noto Serif" w:hAnsi="Noto Serif" w:eastAsia="Noto Serif" w:cs="Noto Serif"/>
          <w:b w:val="0"/>
          <w:i w:val="0"/>
          <w:color w:val="202733"/>
          <w:sz w:val="18"/>
        </w:rPr>
        <w:t>admission-time rejection of obviously unbounded constructs in high-assurance handlers;</w:t>
      </w:r>
    </w:p>
    <w:p>
      <w:pPr>
        <w:pStyle w:val="ListBullet"/>
      </w:pPr>
      <w:r>
        <w:rPr>
          <w:rFonts w:ascii="Noto Serif" w:hAnsi="Noto Serif" w:eastAsia="Noto Serif" w:cs="Noto Serif"/>
          <w:b w:val="0"/>
          <w:i w:val="0"/>
          <w:color w:val="202733"/>
          <w:sz w:val="18"/>
        </w:rPr>
        <w:t>compiler estimates for bounded loops;</w:t>
      </w:r>
    </w:p>
    <w:p>
      <w:pPr>
        <w:pStyle w:val="ListBullet"/>
      </w:pPr>
      <w:r>
        <w:rPr>
          <w:rFonts w:ascii="Noto Serif" w:hAnsi="Noto Serif" w:eastAsia="Noto Serif" w:cs="Noto Serif"/>
          <w:b w:val="0"/>
          <w:i w:val="0"/>
          <w:color w:val="202733"/>
          <w:sz w:val="18"/>
        </w:rPr>
        <w:t>runtime fuel for dynamic paths;</w:t>
      </w:r>
    </w:p>
    <w:p>
      <w:pPr>
        <w:pStyle w:val="ListBullet"/>
      </w:pPr>
      <w:r>
        <w:rPr>
          <w:rFonts w:ascii="Noto Serif" w:hAnsi="Noto Serif" w:eastAsia="Noto Serif" w:cs="Noto Serif"/>
          <w:b w:val="0"/>
          <w:i w:val="0"/>
          <w:color w:val="202733"/>
          <w:sz w:val="18"/>
        </w:rPr>
        <w:t>wall-clock interruption for engine and host anomalies.</w:t>
      </w:r>
    </w:p>
    <w:p>
      <w:r>
        <w:rPr>
          <w:rFonts w:ascii="Noto Serif" w:hAnsi="Noto Serif" w:eastAsia="Noto Serif" w:cs="Noto Serif"/>
          <w:b w:val="0"/>
          <w:i w:val="0"/>
          <w:color w:val="202733"/>
          <w:sz w:val="18"/>
        </w:rPr>
        <w:t>This resembles the eBPF model: programs are admitted only after verification under finite complexity limits, while the runtime remains simple.[23]</w:t>
      </w:r>
    </w:p>
    <w:p>
      <w:bookmarkStart w:id="80" w:name="sec_071"/>
      <w:pPr>
        <w:pStyle w:val="Heading2"/>
      </w:pPr>
      <w:r>
        <w:rPr>
          <w:rFonts w:ascii="Lato" w:hAnsi="Lato" w:eastAsia="Lato" w:cs="Lato"/>
          <w:b/>
          <w:i w:val="0"/>
          <w:color w:val="17365D"/>
          <w:sz w:val="26"/>
        </w:rPr>
        <w:t>15. Allocation and retained-heap accounting</w:t>
      </w:r>
      <w:bookmarkEnd w:id="80"/>
    </w:p>
    <w:p>
      <w:r>
        <w:rPr>
          <w:rFonts w:ascii="Noto Serif" w:hAnsi="Noto Serif" w:eastAsia="Noto Serif" w:cs="Noto Serif"/>
          <w:b w:val="0"/>
          <w:i w:val="0"/>
          <w:color w:val="202733"/>
          <w:sz w:val="18"/>
        </w:rPr>
        <w:t>A timeout does not prevent a script from allocating a large object graph quickly. A custom VM can account for:</w:t>
      </w:r>
    </w:p>
    <w:p>
      <w:pPr>
        <w:pStyle w:val="ListBullet"/>
      </w:pPr>
      <w:r>
        <w:rPr>
          <w:rFonts w:ascii="Noto Serif" w:hAnsi="Noto Serif" w:eastAsia="Noto Serif" w:cs="Noto Serif"/>
          <w:b w:val="0"/>
          <w:i w:val="0"/>
          <w:color w:val="202733"/>
          <w:sz w:val="18"/>
        </w:rPr>
        <w:t>object, array, string, symbol, and buffer allocations;</w:t>
      </w:r>
    </w:p>
    <w:p>
      <w:pPr>
        <w:pStyle w:val="ListBullet"/>
      </w:pPr>
      <w:r>
        <w:rPr>
          <w:rFonts w:ascii="Noto Serif" w:hAnsi="Noto Serif" w:eastAsia="Noto Serif" w:cs="Noto Serif"/>
          <w:b w:val="0"/>
          <w:i w:val="0"/>
          <w:color w:val="202733"/>
          <w:sz w:val="18"/>
        </w:rPr>
        <w:t>backing-store growth;</w:t>
      </w:r>
    </w:p>
    <w:p>
      <w:pPr>
        <w:pStyle w:val="ListBullet"/>
      </w:pPr>
      <w:r>
        <w:rPr>
          <w:rFonts w:ascii="Noto Serif" w:hAnsi="Noto Serif" w:eastAsia="Noto Serif" w:cs="Noto Serif"/>
          <w:b w:val="0"/>
          <w:i w:val="0"/>
          <w:color w:val="202733"/>
          <w:sz w:val="18"/>
        </w:rPr>
        <w:t>compiled-code and source-map memory;</w:t>
      </w:r>
    </w:p>
    <w:p>
      <w:pPr>
        <w:pStyle w:val="ListBullet"/>
      </w:pPr>
      <w:r>
        <w:rPr>
          <w:rFonts w:ascii="Noto Serif" w:hAnsi="Noto Serif" w:eastAsia="Noto Serif" w:cs="Noto Serif"/>
          <w:b w:val="0"/>
          <w:i w:val="0"/>
          <w:color w:val="202733"/>
          <w:sz w:val="18"/>
        </w:rPr>
        <w:t>Promise jobs and reaction records;</w:t>
      </w:r>
    </w:p>
    <w:p>
      <w:pPr>
        <w:pStyle w:val="ListBullet"/>
      </w:pPr>
      <w:r>
        <w:rPr>
          <w:rFonts w:ascii="Noto Serif" w:hAnsi="Noto Serif" w:eastAsia="Noto Serif" w:cs="Noto Serif"/>
          <w:b w:val="0"/>
          <w:i w:val="0"/>
          <w:color w:val="202733"/>
          <w:sz w:val="18"/>
        </w:rPr>
        <w:t>retained heap after invocation;</w:t>
      </w:r>
    </w:p>
    <w:p>
      <w:pPr>
        <w:pStyle w:val="ListBullet"/>
      </w:pPr>
      <w:r>
        <w:rPr>
          <w:rFonts w:ascii="Noto Serif" w:hAnsi="Noto Serif" w:eastAsia="Noto Serif" w:cs="Noto Serif"/>
          <w:b w:val="0"/>
          <w:i w:val="0"/>
          <w:color w:val="202733"/>
          <w:sz w:val="18"/>
        </w:rPr>
        <w:t>host wrappers and native handles.</w:t>
      </w:r>
    </w:p>
    <w:p>
      <w:r>
        <w:rPr>
          <w:rFonts w:ascii="Noto Serif" w:hAnsi="Noto Serif" w:eastAsia="Noto Serif" w:cs="Noto Serif"/>
          <w:b w:val="0"/>
          <w:i w:val="0"/>
          <w:color w:val="202733"/>
          <w:sz w:val="18"/>
        </w:rPr>
        <w:t>QuickJS exposes explicit runtime memory limits, custom allocation hooks, maximum stack size, and an interrupt handler.[24] These are useful reference capabilities even though its C implementation and bytecode format are not directly transferable to Goja.</w:t>
      </w:r>
    </w:p>
    <w:p>
      <w:bookmarkStart w:id="81" w:name="sec_072"/>
      <w:pPr>
        <w:pStyle w:val="Heading3"/>
      </w:pPr>
      <w:r>
        <w:rPr>
          <w:rFonts w:ascii="Lato" w:hAnsi="Lato" w:eastAsia="Lato" w:cs="Lato"/>
          <w:b/>
          <w:i w:val="0"/>
          <w:color w:val="202733"/>
          <w:sz w:val="21"/>
        </w:rPr>
        <w:t>15.1 Region accounting</w:t>
      </w:r>
      <w:bookmarkEnd w:id="81"/>
    </w:p>
    <w:p>
      <w:r>
        <w:rPr>
          <w:rFonts w:ascii="Noto Serif" w:hAnsi="Noto Serif" w:eastAsia="Noto Serif" w:cs="Noto Serif"/>
          <w:b w:val="0"/>
          <w:i w:val="0"/>
          <w:color w:val="202733"/>
          <w:sz w:val="18"/>
        </w:rPr>
        <w:t>The most useful model is not one global byte counter but regions: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runtime region     - shared frozen intrinsics and module code</w:t>
        <w:br/>
      </w:r>
      <w:r>
        <w:rPr>
          <w:rFonts w:ascii="DejaVu Sans Mono" w:hAnsi="DejaVu Sans Mono" w:eastAsia="DejaVu Sans Mono" w:cs="DejaVu Sans Mono"/>
          <w:color w:val="202733"/>
          <w:sz w:val="14"/>
        </w:rPr>
        <w:t>module region      - top-level immutable plugin data</w:t>
        <w:br/>
      </w:r>
      <w:r>
        <w:rPr>
          <w:rFonts w:ascii="DejaVu Sans Mono" w:hAnsi="DejaVu Sans Mono" w:eastAsia="DejaVu Sans Mono" w:cs="DejaVu Sans Mono"/>
          <w:color w:val="202733"/>
          <w:sz w:val="14"/>
        </w:rPr>
        <w:t>invocation region  - ordinary transient JS allocations</w:t>
        <w:br/>
      </w:r>
      <w:r>
        <w:rPr>
          <w:rFonts w:ascii="DejaVu Sans Mono" w:hAnsi="DejaVu Sans Mono" w:eastAsia="DejaVu Sans Mono" w:cs="DejaVu Sans Mono"/>
          <w:color w:val="202733"/>
          <w:sz w:val="14"/>
        </w:rPr>
        <w:t>secret region      - opaque native buffers and handles</w:t>
        <w:br/>
      </w:r>
      <w:r>
        <w:rPr>
          <w:rFonts w:ascii="DejaVu Sans Mono" w:hAnsi="DejaVu Sans Mono" w:eastAsia="DejaVu Sans Mono" w:cs="DejaVu Sans Mono"/>
          <w:color w:val="202733"/>
          <w:sz w:val="14"/>
        </w:rPr>
        <w:t>continuation region- serialized, schema-checked public carry</w:t>
      </w:r>
    </w:p>
    <w:p>
      <w:r>
        <w:rPr>
          <w:rFonts w:ascii="Noto Serif" w:hAnsi="Noto Serif" w:eastAsia="Noto Serif" w:cs="Noto Serif"/>
          <w:b w:val="0"/>
          <w:i w:val="0"/>
          <w:color w:val="202733"/>
          <w:sz w:val="18"/>
        </w:rPr>
        <w:t>At invocation completion, the runtime can require the invocation region to become unreachable except for explicitly permitted cache objects. If not, the worker is discarded or the retained bytes are charged to a module-state quota.</w:t>
      </w:r>
    </w:p>
    <w:p>
      <w:bookmarkStart w:id="82" w:name="sec_073"/>
      <w:pPr>
        <w:pStyle w:val="Heading3"/>
      </w:pPr>
      <w:r>
        <w:rPr>
          <w:rFonts w:ascii="Lato" w:hAnsi="Lato" w:eastAsia="Lato" w:cs="Lato"/>
          <w:b/>
          <w:i w:val="0"/>
          <w:color w:val="202733"/>
          <w:sz w:val="21"/>
        </w:rPr>
        <w:t>15.2 Why Go heap accounting is difficult</w:t>
      </w:r>
      <w:bookmarkEnd w:id="82"/>
    </w:p>
    <w:p>
      <w:r>
        <w:rPr>
          <w:rFonts w:ascii="Noto Serif" w:hAnsi="Noto Serif" w:eastAsia="Noto Serif" w:cs="Noto Serif"/>
          <w:b w:val="0"/>
          <w:i w:val="0"/>
          <w:color w:val="202733"/>
          <w:sz w:val="18"/>
        </w:rPr>
        <w:t>Goja objects live on the Go heap, where exact object size and liveness are controlled by Go's garbage collector. Instrumentation can count logical allocation sizes but cannot cheaply know exact retained physical memory at every point. A practical implementation should document that quotas are semantic approximations, use periodic heap sampling for operations, and retain process-level memory limits as an outer boundary.</w:t>
      </w:r>
    </w:p>
    <w:p>
      <w:bookmarkStart w:id="83" w:name="sec_074"/>
      <w:pPr>
        <w:pStyle w:val="Heading2"/>
      </w:pPr>
      <w:r>
        <w:rPr>
          <w:rFonts w:ascii="Lato" w:hAnsi="Lato" w:eastAsia="Lato" w:cs="Lato"/>
          <w:b/>
          <w:i w:val="0"/>
          <w:color w:val="17365D"/>
          <w:sz w:val="26"/>
        </w:rPr>
        <w:t>16. Job-queue control and deterministic Promise semantics</w:t>
      </w:r>
      <w:bookmarkEnd w:id="83"/>
    </w:p>
    <w:p>
      <w:r>
        <w:rPr>
          <w:rFonts w:ascii="Noto Serif" w:hAnsi="Noto Serif" w:eastAsia="Noto Serif" w:cs="Noto Serif"/>
          <w:b w:val="0"/>
          <w:i w:val="0"/>
          <w:color w:val="202733"/>
          <w:sz w:val="18"/>
        </w:rPr>
        <w:t>ECMAScript defines Jobs and leaves scheduling to the host, subject to ordering and run-to-completion constraints.[3] Goja deliberately expects the embedding application to own the event loop.[9] Tiny-IDP already routes native capability settlement through the runtime owner.</w:t>
      </w:r>
    </w:p>
    <w:p>
      <w:r>
        <w:rPr>
          <w:rFonts w:ascii="Noto Serif" w:hAnsi="Noto Serif" w:eastAsia="Noto Serif" w:cs="Noto Serif"/>
          <w:b w:val="0"/>
          <w:i w:val="0"/>
          <w:color w:val="202733"/>
          <w:sz w:val="18"/>
        </w:rPr>
        <w:t>Direct VM access could expose a first-class job queue with:</w:t>
      </w:r>
    </w:p>
    <w:p>
      <w:pPr>
        <w:pStyle w:val="ListBullet"/>
      </w:pPr>
      <w:r>
        <w:rPr>
          <w:rFonts w:ascii="Noto Serif" w:hAnsi="Noto Serif" w:eastAsia="Noto Serif" w:cs="Noto Serif"/>
          <w:b w:val="0"/>
          <w:i w:val="0"/>
          <w:color w:val="202733"/>
          <w:sz w:val="18"/>
        </w:rPr>
        <w:t>job IDs and source locations;</w:t>
      </w:r>
    </w:p>
    <w:p>
      <w:pPr>
        <w:pStyle w:val="ListBullet"/>
      </w:pPr>
      <w:r>
        <w:rPr>
          <w:rFonts w:ascii="Noto Serif" w:hAnsi="Noto Serif" w:eastAsia="Noto Serif" w:cs="Noto Serif"/>
          <w:b w:val="0"/>
          <w:i w:val="0"/>
          <w:color w:val="202733"/>
          <w:sz w:val="18"/>
        </w:rPr>
        <w:t>parent task and invocation region;</w:t>
      </w:r>
    </w:p>
    <w:p>
      <w:pPr>
        <w:pStyle w:val="ListBullet"/>
      </w:pPr>
      <w:r>
        <w:rPr>
          <w:rFonts w:ascii="Noto Serif" w:hAnsi="Noto Serif" w:eastAsia="Noto Serif" w:cs="Noto Serif"/>
          <w:b w:val="0"/>
          <w:i w:val="0"/>
          <w:color w:val="202733"/>
          <w:sz w:val="18"/>
        </w:rPr>
        <w:t>deterministic sequence numbers;</w:t>
      </w:r>
    </w:p>
    <w:p>
      <w:pPr>
        <w:pStyle w:val="ListBullet"/>
      </w:pPr>
      <w:r>
        <w:rPr>
          <w:rFonts w:ascii="Noto Serif" w:hAnsi="Noto Serif" w:eastAsia="Noto Serif" w:cs="Noto Serif"/>
          <w:b w:val="0"/>
          <w:i w:val="0"/>
          <w:color w:val="202733"/>
          <w:sz w:val="18"/>
        </w:rPr>
        <w:t>pending-job count and quiescence proof;</w:t>
      </w:r>
    </w:p>
    <w:p>
      <w:pPr>
        <w:pStyle w:val="ListBullet"/>
      </w:pPr>
      <w:r>
        <w:rPr>
          <w:rFonts w:ascii="Noto Serif" w:hAnsi="Noto Serif" w:eastAsia="Noto Serif" w:cs="Noto Serif"/>
          <w:b w:val="0"/>
          <w:i w:val="0"/>
          <w:color w:val="202733"/>
          <w:sz w:val="18"/>
        </w:rPr>
        <w:t>rejection tracking as an activation/runtime error;</w:t>
      </w:r>
    </w:p>
    <w:p>
      <w:pPr>
        <w:pStyle w:val="ListBullet"/>
      </w:pPr>
      <w:r>
        <w:rPr>
          <w:rFonts w:ascii="Noto Serif" w:hAnsi="Noto Serif" w:eastAsia="Noto Serif" w:cs="Noto Serif"/>
          <w:b w:val="0"/>
          <w:i w:val="0"/>
          <w:color w:val="202733"/>
          <w:sz w:val="18"/>
        </w:rPr>
        <w:t>cancellation propagation;</w:t>
      </w:r>
    </w:p>
    <w:p>
      <w:pPr>
        <w:pStyle w:val="ListBullet"/>
      </w:pPr>
      <w:r>
        <w:rPr>
          <w:rFonts w:ascii="Noto Serif" w:hAnsi="Noto Serif" w:eastAsia="Noto Serif" w:cs="Noto Serif"/>
          <w:b w:val="0"/>
          <w:i w:val="0"/>
          <w:color w:val="202733"/>
          <w:sz w:val="18"/>
        </w:rPr>
        <w:t>a policy hook before enqueue and before execution;</w:t>
      </w:r>
    </w:p>
    <w:p>
      <w:pPr>
        <w:pStyle w:val="ListBullet"/>
      </w:pPr>
      <w:r>
        <w:rPr>
          <w:rFonts w:ascii="Noto Serif" w:hAnsi="Noto Serif" w:eastAsia="Noto Serif" w:cs="Noto Serif"/>
          <w:b w:val="0"/>
          <w:i w:val="0"/>
          <w:color w:val="202733"/>
          <w:sz w:val="18"/>
        </w:rPr>
        <w:t>journal integration for durable concurrency.</w:t>
      </w:r>
    </w:p>
    <w:p>
      <w:bookmarkStart w:id="84" w:name="sec_075"/>
      <w:pPr>
        <w:pStyle w:val="Heading3"/>
      </w:pPr>
      <w:r>
        <w:rPr>
          <w:rFonts w:ascii="Lato" w:hAnsi="Lato" w:eastAsia="Lato" w:cs="Lato"/>
          <w:b/>
          <w:i w:val="0"/>
          <w:color w:val="202733"/>
          <w:sz w:val="21"/>
        </w:rPr>
        <w:t>16.1 Quiescence as a worker-safety theorem</w:t>
      </w:r>
      <w:bookmarkEnd w:id="84"/>
    </w:p>
    <w:p>
      <w:r>
        <w:rPr>
          <w:rFonts w:ascii="Noto Serif" w:hAnsi="Noto Serif" w:eastAsia="Noto Serif" w:cs="Noto Serif"/>
          <w:b w:val="0"/>
          <w:i w:val="0"/>
          <w:color w:val="202733"/>
          <w:sz w:val="18"/>
        </w:rPr>
        <w:t>A worker should be reusable only if:</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no active invocation capability</w:t>
        <w:br/>
      </w:r>
      <w:r>
        <w:rPr>
          <w:rFonts w:ascii="DejaVu Sans Mono" w:hAnsi="DejaVu Sans Mono" w:eastAsia="DejaVu Sans Mono" w:cs="DejaVu Sans Mono"/>
          <w:color w:val="202733"/>
          <w:sz w:val="14"/>
        </w:rPr>
        <w:t>and no pending invocation job</w:t>
        <w:br/>
      </w:r>
      <w:r>
        <w:rPr>
          <w:rFonts w:ascii="DejaVu Sans Mono" w:hAnsi="DejaVu Sans Mono" w:eastAsia="DejaVu Sans Mono" w:cs="DejaVu Sans Mono"/>
          <w:color w:val="202733"/>
          <w:sz w:val="14"/>
        </w:rPr>
        <w:t>and no unresolved invocation Promise</w:t>
        <w:br/>
      </w:r>
      <w:r>
        <w:rPr>
          <w:rFonts w:ascii="DejaVu Sans Mono" w:hAnsi="DejaVu Sans Mono" w:eastAsia="DejaVu Sans Mono" w:cs="DejaVu Sans Mono"/>
          <w:color w:val="202733"/>
          <w:sz w:val="14"/>
        </w:rPr>
        <w:t>and no live invocation-scoped host resource</w:t>
        <w:br/>
      </w:r>
      <w:r>
        <w:rPr>
          <w:rFonts w:ascii="DejaVu Sans Mono" w:hAnsi="DejaVu Sans Mono" w:eastAsia="DejaVu Sans Mono" w:cs="DejaVu Sans Mono"/>
          <w:color w:val="202733"/>
          <w:sz w:val="14"/>
        </w:rPr>
        <w:t>and interrupt flag is clear</w:t>
        <w:br/>
      </w:r>
      <w:r>
        <w:rPr>
          <w:rFonts w:ascii="DejaVu Sans Mono" w:hAnsi="DejaVu Sans Mono" w:eastAsia="DejaVu Sans Mono" w:cs="DejaVu Sans Mono"/>
          <w:color w:val="202733"/>
          <w:sz w:val="14"/>
        </w:rPr>
        <w:t>and result passed its contract</w:t>
      </w:r>
    </w:p>
    <w:p>
      <w:r>
        <w:rPr>
          <w:rFonts w:ascii="Noto Serif" w:hAnsi="Noto Serif" w:eastAsia="Noto Serif" w:cs="Noto Serif"/>
          <w:b w:val="0"/>
          <w:i w:val="0"/>
          <w:color w:val="202733"/>
          <w:sz w:val="18"/>
        </w:rPr>
        <w:t>The current implementation approximates this with capability settlement tracking and fail-stop disposal.[12][13] A VM-level queue can make the proof complete for JavaScript-created microtasks as well.</w:t>
      </w:r>
    </w:p>
    <w:p>
      <w:bookmarkStart w:id="85" w:name="sec_076"/>
      <w:pPr>
        <w:pStyle w:val="Heading3"/>
      </w:pPr>
      <w:r>
        <w:rPr>
          <w:rFonts w:ascii="Lato" w:hAnsi="Lato" w:eastAsia="Lato" w:cs="Lato"/>
          <w:b/>
          <w:i w:val="0"/>
          <w:color w:val="202733"/>
          <w:sz w:val="21"/>
        </w:rPr>
        <w:t>16.2 Replayable scheduling</w:t>
      </w:r>
      <w:bookmarkEnd w:id="85"/>
    </w:p>
    <w:p>
      <w:r>
        <w:rPr>
          <w:rFonts w:ascii="Noto Serif" w:hAnsi="Noto Serif" w:eastAsia="Noto Serif" w:cs="Noto Serif"/>
          <w:b w:val="0"/>
          <w:i w:val="0"/>
          <w:color w:val="202733"/>
          <w:sz w:val="18"/>
        </w:rPr>
        <w:t>For deterministic tests, the host can execute jobs in a controlled order. For durable workflows, any result whose meaning depends on external completion order must be journaled. A trace could record:</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job 17 enqueued by cap.community.lookup</w:t>
        <w:br/>
      </w:r>
      <w:r>
        <w:rPr>
          <w:rFonts w:ascii="DejaVu Sans Mono" w:hAnsi="DejaVu Sans Mono" w:eastAsia="DejaVu Sans Mono" w:cs="DejaVu Sans Mono"/>
          <w:color w:val="202733"/>
          <w:sz w:val="14"/>
        </w:rPr>
        <w:t>job 18 enqueued by timer.deadline</w:t>
        <w:br/>
      </w:r>
      <w:r>
        <w:rPr>
          <w:rFonts w:ascii="DejaVu Sans Mono" w:hAnsi="DejaVu Sans Mono" w:eastAsia="DejaVu Sans Mono" w:cs="DejaVu Sans Mono"/>
          <w:color w:val="202733"/>
          <w:sz w:val="14"/>
        </w:rPr>
        <w:t>job 18 selected first</w:t>
        <w:br/>
      </w:r>
      <w:r>
        <w:rPr>
          <w:rFonts w:ascii="DejaVu Sans Mono" w:hAnsi="DejaVu Sans Mono" w:eastAsia="DejaVu Sans Mono" w:cs="DejaVu Sans Mono"/>
          <w:color w:val="202733"/>
          <w:sz w:val="14"/>
        </w:rPr>
        <w:t>job 17 cancelled</w:t>
      </w:r>
    </w:p>
    <w:p>
      <w:r>
        <w:rPr>
          <w:rFonts w:ascii="Noto Serif" w:hAnsi="Noto Serif" w:eastAsia="Noto Serif" w:cs="Noto Serif"/>
          <w:b w:val="0"/>
          <w:i w:val="0"/>
          <w:color w:val="202733"/>
          <w:sz w:val="18"/>
        </w:rPr>
        <w:t>Replay consumes the same selection record rather than racing live operations.</w:t>
      </w:r>
    </w:p>
    <w:p>
      <w:bookmarkStart w:id="86" w:name="sec_077"/>
      <w:pPr>
        <w:pStyle w:val="Heading2"/>
      </w:pPr>
      <w:r>
        <w:rPr>
          <w:rFonts w:ascii="Lato" w:hAnsi="Lato" w:eastAsia="Lato" w:cs="Lato"/>
          <w:b/>
          <w:i w:val="0"/>
          <w:color w:val="17365D"/>
          <w:sz w:val="26"/>
        </w:rPr>
        <w:t>17. Internal provenance and unforgeable value classes</w:t>
      </w:r>
      <w:bookmarkEnd w:id="86"/>
    </w:p>
    <w:p>
      <w:r>
        <w:rPr>
          <w:rFonts w:ascii="Noto Serif" w:hAnsi="Noto Serif" w:eastAsia="Noto Serif" w:cs="Noto Serif"/>
          <w:b w:val="0"/>
          <w:i w:val="0"/>
          <w:color w:val="202733"/>
          <w:sz w:val="18"/>
        </w:rPr>
        <w:t>Tiny-IDP currently brands blank Goja objects by pointer identity in host maps.[20] That pattern is strong but localized. VM access could add an internal, non-enumerable provenance slot to values or objects.</w:t>
      </w:r>
    </w:p>
    <w:p>
      <w:r>
        <w:rPr>
          <w:rFonts w:ascii="Noto Serif" w:hAnsi="Noto Serif" w:eastAsia="Noto Serif" w:cs="Noto Serif"/>
          <w:b w:val="0"/>
          <w:i w:val="0"/>
          <w:color w:val="202733"/>
          <w:sz w:val="18"/>
        </w:rPr>
        <w:t>Possible tags include: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Origin.NativeEvidence(type, id, generation)</w:t>
        <w:br/>
      </w:r>
      <w:r>
        <w:rPr>
          <w:rFonts w:ascii="DejaVu Sans Mono" w:hAnsi="DejaVu Sans Mono" w:eastAsia="DejaVu Sans Mono" w:cs="DejaVu Sans Mono"/>
          <w:color w:val="202733"/>
          <w:sz w:val="14"/>
        </w:rPr>
        <w:t>Origin.Secret(region, kind)</w:t>
        <w:br/>
      </w:r>
      <w:r>
        <w:rPr>
          <w:rFonts w:ascii="DejaVu Sans Mono" w:hAnsi="DejaVu Sans Mono" w:eastAsia="DejaVu Sans Mono" w:cs="DejaVu Sans Mono"/>
          <w:color w:val="202733"/>
          <w:sz w:val="14"/>
        </w:rPr>
        <w:t>Origin.Capability(invocation, id, version)</w:t>
        <w:br/>
      </w:r>
      <w:r>
        <w:rPr>
          <w:rFonts w:ascii="DejaVu Sans Mono" w:hAnsi="DejaVu Sans Mono" w:eastAsia="DejaVu Sans Mono" w:cs="DejaVu Sans Mono"/>
          <w:color w:val="202733"/>
          <w:sz w:val="14"/>
        </w:rPr>
        <w:t>Origin.SchemaValidated(schema, version)</w:t>
        <w:br/>
      </w:r>
      <w:r>
        <w:rPr>
          <w:rFonts w:ascii="DejaVu Sans Mono" w:hAnsi="DejaVu Sans Mono" w:eastAsia="DejaVu Sans Mono" w:cs="DejaVu Sans Mono"/>
          <w:color w:val="202733"/>
          <w:sz w:val="14"/>
        </w:rPr>
        <w:t>Origin.DurableReference(kind, id)</w:t>
      </w:r>
    </w:p>
    <w:p>
      <w:r>
        <w:rPr>
          <w:rFonts w:ascii="Noto Serif" w:hAnsi="Noto Serif" w:eastAsia="Noto Serif" w:cs="Noto Serif"/>
          <w:b w:val="0"/>
          <w:i w:val="0"/>
          <w:color w:val="202733"/>
          <w:sz w:val="18"/>
        </w:rPr>
        <w:t>JavaScript reflection cannot observe, copy, or synthesize these tags. VM operations define how provenance propagates or is erased.</w:t>
      </w:r>
    </w:p>
    <w:p>
      <w:bookmarkStart w:id="87" w:name="sec_078"/>
      <w:pPr>
        <w:pStyle w:val="Heading3"/>
      </w:pPr>
      <w:r>
        <w:rPr>
          <w:rFonts w:ascii="Lato" w:hAnsi="Lato" w:eastAsia="Lato" w:cs="Lato"/>
          <w:b/>
          <w:i w:val="0"/>
          <w:color w:val="202733"/>
          <w:sz w:val="21"/>
        </w:rPr>
        <w:t>17.1 Benefits</w:t>
      </w:r>
      <w:bookmarkEnd w:id="87"/>
    </w:p>
    <w:p>
      <w:pPr>
        <w:pStyle w:val="ListBullet"/>
      </w:pPr>
      <w:r>
        <w:rPr>
          <w:rFonts w:ascii="Noto Serif" w:hAnsi="Noto Serif" w:eastAsia="Noto Serif" w:cs="Noto Serif"/>
          <w:b w:val="0"/>
          <w:i w:val="0"/>
          <w:color w:val="202733"/>
          <w:sz w:val="18"/>
        </w:rPr>
        <w:t>native proof values remain nominal even through wrapper objects;</w:t>
      </w:r>
    </w:p>
    <w:p>
      <w:pPr>
        <w:pStyle w:val="ListBullet"/>
      </w:pPr>
      <w:r>
        <w:rPr>
          <w:rFonts w:ascii="Noto Serif" w:hAnsi="Noto Serif" w:eastAsia="Noto Serif" w:cs="Noto Serif"/>
          <w:b w:val="0"/>
          <w:i w:val="0"/>
          <w:color w:val="202733"/>
          <w:sz w:val="18"/>
        </w:rPr>
        <w:t>the encoder can reject any value transitively containing a secret tag;</w:t>
      </w:r>
    </w:p>
    <w:p>
      <w:pPr>
        <w:pStyle w:val="ListBullet"/>
      </w:pPr>
      <w:r>
        <w:rPr>
          <w:rFonts w:ascii="Noto Serif" w:hAnsi="Noto Serif" w:eastAsia="Noto Serif" w:cs="Noto Serif"/>
          <w:b w:val="0"/>
          <w:i w:val="0"/>
          <w:color w:val="202733"/>
          <w:sz w:val="18"/>
        </w:rPr>
        <w:t>logs can automatically redact tagged values;</w:t>
      </w:r>
    </w:p>
    <w:p>
      <w:pPr>
        <w:pStyle w:val="ListBullet"/>
      </w:pPr>
      <w:r>
        <w:rPr>
          <w:rFonts w:ascii="Noto Serif" w:hAnsi="Noto Serif" w:eastAsia="Noto Serif" w:cs="Noto Serif"/>
          <w:b w:val="0"/>
          <w:i w:val="0"/>
          <w:color w:val="202733"/>
          <w:sz w:val="18"/>
        </w:rPr>
        <w:t>capability functions can verify invocation epoch without a Go-side closure map lookup;</w:t>
      </w:r>
    </w:p>
    <w:p>
      <w:pPr>
        <w:pStyle w:val="ListBullet"/>
      </w:pPr>
      <w:r>
        <w:rPr>
          <w:rFonts w:ascii="Noto Serif" w:hAnsi="Noto Serif" w:eastAsia="Noto Serif" w:cs="Noto Serif"/>
          <w:b w:val="0"/>
          <w:i w:val="0"/>
          <w:color w:val="202733"/>
          <w:sz w:val="18"/>
        </w:rPr>
        <w:t>cross-realm and cross-worker transfers can be rejected precisely;</w:t>
      </w:r>
    </w:p>
    <w:p>
      <w:pPr>
        <w:pStyle w:val="ListBullet"/>
      </w:pPr>
      <w:r>
        <w:rPr>
          <w:rFonts w:ascii="Noto Serif" w:hAnsi="Noto Serif" w:eastAsia="Noto Serif" w:cs="Noto Serif"/>
          <w:b w:val="0"/>
          <w:i w:val="0"/>
          <w:color w:val="202733"/>
          <w:sz w:val="18"/>
        </w:rPr>
        <w:t>traces can attribute data origins without exposing payloads.</w:t>
      </w:r>
    </w:p>
    <w:p>
      <w:bookmarkStart w:id="88" w:name="sec_079"/>
      <w:pPr>
        <w:pStyle w:val="Heading3"/>
      </w:pPr>
      <w:r>
        <w:rPr>
          <w:rFonts w:ascii="Lato" w:hAnsi="Lato" w:eastAsia="Lato" w:cs="Lato"/>
          <w:b/>
          <w:i w:val="0"/>
          <w:color w:val="202733"/>
          <w:sz w:val="21"/>
        </w:rPr>
        <w:t>17.2 Risks</w:t>
      </w:r>
      <w:bookmarkEnd w:id="88"/>
    </w:p>
    <w:p>
      <w:r>
        <w:rPr>
          <w:rFonts w:ascii="Noto Serif" w:hAnsi="Noto Serif" w:eastAsia="Noto Serif" w:cs="Noto Serif"/>
          <w:b w:val="0"/>
          <w:i w:val="0"/>
          <w:color w:val="202733"/>
          <w:sz w:val="18"/>
        </w:rPr>
        <w:t>A provenance system inserted into a dynamic object model can become complex and expensive. Tags do not automatically follow all implicit information flows. The implementation must avoid suggesting stronger confidentiality guarantees than it proves. Start with nominal resource classes and sink checks, not universal taint propagation.</w:t>
      </w:r>
    </w:p>
    <w:p>
      <w:bookmarkStart w:id="89" w:name="sec_080"/>
      <w:pPr>
        <w:pStyle w:val="Heading2"/>
      </w:pPr>
      <w:r>
        <w:rPr>
          <w:rFonts w:ascii="Lato" w:hAnsi="Lato" w:eastAsia="Lato" w:cs="Lato"/>
          <w:b/>
          <w:i w:val="0"/>
          <w:color w:val="17365D"/>
          <w:sz w:val="26"/>
        </w:rPr>
        <w:t>18. Semantic tracing, debugging, and explainability</w:t>
      </w:r>
      <w:bookmarkEnd w:id="89"/>
    </w:p>
    <w:p>
      <w:r>
        <w:rPr>
          <w:rFonts w:ascii="Noto Serif" w:hAnsi="Noto Serif" w:eastAsia="Noto Serif" w:cs="Noto Serif"/>
          <w:b w:val="0"/>
          <w:i w:val="0"/>
          <w:color w:val="202733"/>
          <w:sz w:val="18"/>
        </w:rPr>
        <w:t>Interpreter access makes traces precise and cheap enough to become part of the platform contract.</w:t>
      </w:r>
    </w:p>
    <w:p>
      <w:r>
        <w:rPr>
          <w:rFonts w:ascii="Noto Serif" w:hAnsi="Noto Serif" w:eastAsia="Noto Serif" w:cs="Noto Serif"/>
          <w:b w:val="0"/>
          <w:i w:val="0"/>
          <w:color w:val="202733"/>
          <w:sz w:val="18"/>
        </w:rPr>
        <w:t>A semantic trace event can contain:</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artifact, world, handler, source span, IR operation,</w:t>
        <w:br/>
      </w:r>
      <w:r>
        <w:rPr>
          <w:rFonts w:ascii="DejaVu Sans Mono" w:hAnsi="DejaVu Sans Mono" w:eastAsia="DejaVu Sans Mono" w:cs="DejaVu Sans Mono"/>
          <w:color w:val="202733"/>
          <w:sz w:val="14"/>
        </w:rPr>
        <w:t>capability/effect ID, outcome kind, fuel delta,</w:t>
        <w:br/>
      </w:r>
      <w:r>
        <w:rPr>
          <w:rFonts w:ascii="DejaVu Sans Mono" w:hAnsi="DejaVu Sans Mono" w:eastAsia="DejaVu Sans Mono" w:cs="DejaVu Sans Mono"/>
          <w:color w:val="202733"/>
          <w:sz w:val="14"/>
        </w:rPr>
        <w:t>allocation delta, task ID, continuation revision,</w:t>
        <w:br/>
      </w:r>
      <w:r>
        <w:rPr>
          <w:rFonts w:ascii="DejaVu Sans Mono" w:hAnsi="DejaVu Sans Mono" w:eastAsia="DejaVu Sans Mono" w:cs="DejaVu Sans Mono"/>
          <w:color w:val="202733"/>
          <w:sz w:val="14"/>
        </w:rPr>
        <w:t>redacted value shape, diagnostic correlation ID</w:t>
      </w:r>
    </w:p>
    <w:p>
      <w:bookmarkStart w:id="90" w:name="sec_081"/>
      <w:pPr>
        <w:pStyle w:val="Heading3"/>
      </w:pPr>
      <w:r>
        <w:rPr>
          <w:rFonts w:ascii="Lato" w:hAnsi="Lato" w:eastAsia="Lato" w:cs="Lato"/>
          <w:b/>
          <w:i w:val="0"/>
          <w:color w:val="202733"/>
          <w:sz w:val="21"/>
        </w:rPr>
        <w:t>18.1 Trace levels</w:t>
      </w:r>
      <w:bookmarkEnd w:id="90"/>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audit trace</w:t>
      </w:r>
      <w:r>
        <w:rPr>
          <w:rFonts w:ascii="Noto Serif" w:hAnsi="Noto Serif" w:eastAsia="Noto Serif" w:cs="Noto Serif"/>
          <w:b w:val="0"/>
          <w:i w:val="0"/>
          <w:color w:val="202733"/>
          <w:sz w:val="18"/>
        </w:rPr>
        <w:t>: capability calls, native evidence use, presentations, challenges, effects, outcomes, generation and revision changes;</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debug trace</w:t>
      </w:r>
      <w:r>
        <w:rPr>
          <w:rFonts w:ascii="Noto Serif" w:hAnsi="Noto Serif" w:eastAsia="Noto Serif" w:cs="Noto Serif"/>
          <w:b w:val="0"/>
          <w:i w:val="0"/>
          <w:color w:val="202733"/>
          <w:sz w:val="18"/>
        </w:rPr>
        <w:t>: control-flow blocks, selected branches, Promise jobs, catches, and source spans;</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profile trace</w:t>
      </w:r>
      <w:r>
        <w:rPr>
          <w:rFonts w:ascii="Noto Serif" w:hAnsi="Noto Serif" w:eastAsia="Noto Serif" w:cs="Noto Serif"/>
          <w:b w:val="0"/>
          <w:i w:val="0"/>
          <w:color w:val="202733"/>
          <w:sz w:val="18"/>
        </w:rPr>
        <w:t>: instruction and allocation counters;</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verification trace</w:t>
      </w:r>
      <w:r>
        <w:rPr>
          <w:rFonts w:ascii="Noto Serif" w:hAnsi="Noto Serif" w:eastAsia="Noto Serif" w:cs="Noto Serif"/>
          <w:b w:val="0"/>
          <w:i w:val="0"/>
          <w:color w:val="202733"/>
          <w:sz w:val="18"/>
        </w:rPr>
        <w:t>: abstract-state transitions and assertion checks.</w:t>
      </w:r>
    </w:p>
    <w:p>
      <w:r>
        <w:rPr>
          <w:rFonts w:ascii="Noto Serif" w:hAnsi="Noto Serif" w:eastAsia="Noto Serif" w:cs="Noto Serif"/>
          <w:b w:val="0"/>
          <w:i w:val="0"/>
          <w:color w:val="202733"/>
          <w:sz w:val="18"/>
        </w:rPr>
        <w:t>Payload values should be absent by default. Schema and provenance metadata determines whether a value may be sampled, hashed, or redacted.</w:t>
      </w:r>
    </w:p>
    <w:p>
      <w:bookmarkStart w:id="91" w:name="sec_082"/>
      <w:pPr>
        <w:pStyle w:val="Heading3"/>
      </w:pPr>
      <w:r>
        <w:rPr>
          <w:rFonts w:ascii="Lato" w:hAnsi="Lato" w:eastAsia="Lato" w:cs="Lato"/>
          <w:b/>
          <w:i w:val="0"/>
          <w:color w:val="202733"/>
          <w:sz w:val="21"/>
        </w:rPr>
        <w:t>18.2 Deterministic replay debugger</w:t>
      </w:r>
      <w:bookmarkEnd w:id="91"/>
    </w:p>
    <w:p>
      <w:r>
        <w:rPr>
          <w:rFonts w:ascii="Noto Serif" w:hAnsi="Noto Serif" w:eastAsia="Noto Serif" w:cs="Noto Serif"/>
          <w:b w:val="0"/>
          <w:i w:val="0"/>
          <w:color w:val="202733"/>
          <w:sz w:val="18"/>
        </w:rPr>
        <w:t>Given a signed artifact, input, fake capability transcript, virtual clock, random seed, and scheduling journal, a developer can replay an invocation step by step. This is substantially more useful than a raw Goja stack trace because it shows domain operations and effect boundaries.</w:t>
      </w:r>
    </w:p>
    <w:p>
      <w:bookmarkStart w:id="92" w:name="sec_083"/>
      <w:pPr>
        <w:pStyle w:val="Heading3"/>
      </w:pPr>
      <w:r>
        <w:rPr>
          <w:rFonts w:ascii="Lato" w:hAnsi="Lato" w:eastAsia="Lato" w:cs="Lato"/>
          <w:b/>
          <w:i w:val="0"/>
          <w:color w:val="202733"/>
          <w:sz w:val="21"/>
        </w:rPr>
        <w:t>18.3 Source mapping through transformations</w:t>
      </w:r>
      <w:bookmarkEnd w:id="92"/>
    </w:p>
    <w:p>
      <w:r>
        <w:rPr>
          <w:rFonts w:ascii="Noto Serif" w:hAnsi="Noto Serif" w:eastAsia="Noto Serif" w:cs="Noto Serif"/>
          <w:b w:val="0"/>
          <w:i w:val="0"/>
          <w:color w:val="202733"/>
          <w:sz w:val="18"/>
        </w:rPr>
        <w:t>Every MIR operation must preserve a source span and transformation provenance. Diagnostics should be able to explain:</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source signup.js:31:16</w:t>
        <w:br/>
      </w:r>
      <w:r>
        <w:rPr>
          <w:rFonts w:ascii="DejaVu Sans Mono" w:hAnsi="DejaVu Sans Mono" w:eastAsia="DejaVu Sans Mono" w:cs="DejaVu Sans Mono"/>
          <w:color w:val="202733"/>
          <w:sz w:val="14"/>
        </w:rPr>
        <w:t xml:space="preserve">  lowered by durable-await@1.2</w:t>
        <w:br/>
      </w:r>
      <w:r>
        <w:rPr>
          <w:rFonts w:ascii="DejaVu Sans Mono" w:hAnsi="DejaVu Sans Mono" w:eastAsia="DejaVu Sans Mono" w:cs="DejaVu Sans Mono"/>
          <w:color w:val="202733"/>
          <w:sz w:val="14"/>
        </w:rPr>
        <w:t xml:space="preserve">  to handler community.signup.after_form@2 block 4</w:t>
        <w:br/>
      </w:r>
      <w:r>
        <w:rPr>
          <w:rFonts w:ascii="DejaVu Sans Mono" w:hAnsi="DejaVu Sans Mono" w:eastAsia="DejaVu Sans Mono" w:cs="DejaVu Sans Mono"/>
          <w:color w:val="202733"/>
          <w:sz w:val="14"/>
        </w:rPr>
        <w:t xml:space="preserve">  which emitted continuation schema sha256:...</w:t>
      </w:r>
    </w:p>
    <w:p>
      <w:r>
        <w:rPr>
          <w:rFonts w:ascii="Noto Serif" w:hAnsi="Noto Serif" w:eastAsia="Noto Serif" w:cs="Noto Serif"/>
          <w:b w:val="0"/>
          <w:i w:val="0"/>
          <w:color w:val="202733"/>
          <w:sz w:val="18"/>
        </w:rPr>
        <w:t>Without this, compiler-generated handlers become operationally opaque.</w:t>
      </w:r>
    </w:p>
    <w:p>
      <w:bookmarkStart w:id="93" w:name="sec_084"/>
      <w:pPr>
        <w:pStyle w:val="Heading2"/>
      </w:pPr>
      <w:r>
        <w:rPr>
          <w:rFonts w:ascii="Lato" w:hAnsi="Lato" w:eastAsia="Lato" w:cs="Lato"/>
          <w:b/>
          <w:i w:val="0"/>
          <w:color w:val="17365D"/>
          <w:sz w:val="26"/>
        </w:rPr>
        <w:t>19. Runtime snapshots and reset: useful, but not durable control flow</w:t>
      </w:r>
      <w:bookmarkEnd w:id="93"/>
    </w:p>
    <w:p>
      <w:r>
        <w:rPr>
          <w:rFonts w:ascii="Noto Serif" w:hAnsi="Noto Serif" w:eastAsia="Noto Serif" w:cs="Noto Serif"/>
          <w:b w:val="0"/>
          <w:i w:val="0"/>
          <w:color w:val="202733"/>
          <w:sz w:val="18"/>
        </w:rPr>
        <w:t>A custom VM might support a frozen activation snapshot: initialize intrinsics and module definitions once, then clone or restore the runtime for each worker. This could reduce startup cost and eliminate state leakage.</w:t>
      </w:r>
    </w:p>
    <w:p>
      <w:bookmarkStart w:id="94" w:name="sec_085"/>
      <w:pPr>
        <w:pStyle w:val="Heading3"/>
      </w:pPr>
      <w:r>
        <w:rPr>
          <w:rFonts w:ascii="Lato" w:hAnsi="Lato" w:eastAsia="Lato" w:cs="Lato"/>
          <w:b/>
          <w:i w:val="0"/>
          <w:color w:val="202733"/>
          <w:sz w:val="21"/>
        </w:rPr>
        <w:t>19.1 Safe snapshot candidates</w:t>
      </w:r>
      <w:bookmarkEnd w:id="94"/>
    </w:p>
    <w:p>
      <w:pPr>
        <w:pStyle w:val="ListBullet"/>
      </w:pPr>
      <w:r>
        <w:rPr>
          <w:rFonts w:ascii="Noto Serif" w:hAnsi="Noto Serif" w:eastAsia="Noto Serif" w:cs="Noto Serif"/>
          <w:b w:val="0"/>
          <w:i w:val="0"/>
          <w:color w:val="202733"/>
          <w:sz w:val="18"/>
        </w:rPr>
        <w:t>parsed or compiled program;</w:t>
      </w:r>
    </w:p>
    <w:p>
      <w:pPr>
        <w:pStyle w:val="ListBullet"/>
      </w:pPr>
      <w:r>
        <w:rPr>
          <w:rFonts w:ascii="Noto Serif" w:hAnsi="Noto Serif" w:eastAsia="Noto Serif" w:cs="Noto Serif"/>
          <w:b w:val="0"/>
          <w:i w:val="0"/>
          <w:color w:val="202733"/>
          <w:sz w:val="18"/>
        </w:rPr>
        <w:t>immutable strings and constants;</w:t>
      </w:r>
    </w:p>
    <w:p>
      <w:pPr>
        <w:pStyle w:val="ListBullet"/>
      </w:pPr>
      <w:r>
        <w:rPr>
          <w:rFonts w:ascii="Noto Serif" w:hAnsi="Noto Serif" w:eastAsia="Noto Serif" w:cs="Noto Serif"/>
          <w:b w:val="0"/>
          <w:i w:val="0"/>
          <w:color w:val="202733"/>
          <w:sz w:val="18"/>
        </w:rPr>
        <w:t>frozen intrinsic graph;</w:t>
      </w:r>
    </w:p>
    <w:p>
      <w:pPr>
        <w:pStyle w:val="ListBullet"/>
      </w:pPr>
      <w:r>
        <w:rPr>
          <w:rFonts w:ascii="Noto Serif" w:hAnsi="Noto Serif" w:eastAsia="Noto Serif" w:cs="Noto Serif"/>
          <w:b w:val="0"/>
          <w:i w:val="0"/>
          <w:color w:val="202733"/>
          <w:sz w:val="18"/>
        </w:rPr>
        <w:t>frozen module exports;</w:t>
      </w:r>
    </w:p>
    <w:p>
      <w:pPr>
        <w:pStyle w:val="ListBullet"/>
      </w:pPr>
      <w:r>
        <w:rPr>
          <w:rFonts w:ascii="Noto Serif" w:hAnsi="Noto Serif" w:eastAsia="Noto Serif" w:cs="Noto Serif"/>
          <w:b w:val="0"/>
          <w:i w:val="0"/>
          <w:color w:val="202733"/>
          <w:sz w:val="18"/>
        </w:rPr>
        <w:t>callback registry identity metadata.</w:t>
      </w:r>
    </w:p>
    <w:p>
      <w:bookmarkStart w:id="95" w:name="sec_086"/>
      <w:pPr>
        <w:pStyle w:val="Heading3"/>
      </w:pPr>
      <w:r>
        <w:rPr>
          <w:rFonts w:ascii="Lato" w:hAnsi="Lato" w:eastAsia="Lato" w:cs="Lato"/>
          <w:b/>
          <w:i w:val="0"/>
          <w:color w:val="202733"/>
          <w:sz w:val="21"/>
        </w:rPr>
        <w:t>19.2 Unsafe snapshot candidates</w:t>
      </w:r>
      <w:bookmarkEnd w:id="95"/>
    </w:p>
    <w:p>
      <w:pPr>
        <w:pStyle w:val="ListBullet"/>
      </w:pPr>
      <w:r>
        <w:rPr>
          <w:rFonts w:ascii="Noto Serif" w:hAnsi="Noto Serif" w:eastAsia="Noto Serif" w:cs="Noto Serif"/>
          <w:b w:val="0"/>
          <w:i w:val="0"/>
          <w:color w:val="202733"/>
          <w:sz w:val="18"/>
        </w:rPr>
        <w:t>native file/network/store handles;</w:t>
      </w:r>
    </w:p>
    <w:p>
      <w:pPr>
        <w:pStyle w:val="ListBullet"/>
      </w:pPr>
      <w:r>
        <w:rPr>
          <w:rFonts w:ascii="Noto Serif" w:hAnsi="Noto Serif" w:eastAsia="Noto Serif" w:cs="Noto Serif"/>
          <w:b w:val="0"/>
          <w:i w:val="0"/>
          <w:color w:val="202733"/>
          <w:sz w:val="18"/>
        </w:rPr>
        <w:t>event-loop state;</w:t>
      </w:r>
    </w:p>
    <w:p>
      <w:pPr>
        <w:pStyle w:val="ListBullet"/>
      </w:pPr>
      <w:r>
        <w:rPr>
          <w:rFonts w:ascii="Noto Serif" w:hAnsi="Noto Serif" w:eastAsia="Noto Serif" w:cs="Noto Serif"/>
          <w:b w:val="0"/>
          <w:i w:val="0"/>
          <w:color w:val="202733"/>
          <w:sz w:val="18"/>
        </w:rPr>
        <w:t>pending Promises;</w:t>
      </w:r>
    </w:p>
    <w:p>
      <w:pPr>
        <w:pStyle w:val="ListBullet"/>
      </w:pPr>
      <w:r>
        <w:rPr>
          <w:rFonts w:ascii="Noto Serif" w:hAnsi="Noto Serif" w:eastAsia="Noto Serif" w:cs="Noto Serif"/>
          <w:b w:val="0"/>
          <w:i w:val="0"/>
          <w:color w:val="202733"/>
          <w:sz w:val="18"/>
        </w:rPr>
        <w:t>invocation capabilities;</w:t>
      </w:r>
    </w:p>
    <w:p>
      <w:pPr>
        <w:pStyle w:val="ListBullet"/>
      </w:pPr>
      <w:r>
        <w:rPr>
          <w:rFonts w:ascii="Noto Serif" w:hAnsi="Noto Serif" w:eastAsia="Noto Serif" w:cs="Noto Serif"/>
          <w:b w:val="0"/>
          <w:i w:val="0"/>
          <w:color w:val="202733"/>
          <w:sz w:val="18"/>
        </w:rPr>
        <w:t>secret buffers;</w:t>
      </w:r>
    </w:p>
    <w:p>
      <w:pPr>
        <w:pStyle w:val="ListBullet"/>
      </w:pPr>
      <w:r>
        <w:rPr>
          <w:rFonts w:ascii="Noto Serif" w:hAnsi="Noto Serif" w:eastAsia="Noto Serif" w:cs="Noto Serif"/>
          <w:b w:val="0"/>
          <w:i w:val="0"/>
          <w:color w:val="202733"/>
          <w:sz w:val="18"/>
        </w:rPr>
        <w:t>goroutine synchronization objects;</w:t>
      </w:r>
    </w:p>
    <w:p>
      <w:pPr>
        <w:pStyle w:val="ListBullet"/>
      </w:pPr>
      <w:r>
        <w:rPr>
          <w:rFonts w:ascii="Noto Serif" w:hAnsi="Noto Serif" w:eastAsia="Noto Serif" w:cs="Noto Serif"/>
          <w:b w:val="0"/>
          <w:i w:val="0"/>
          <w:color w:val="202733"/>
          <w:sz w:val="18"/>
        </w:rPr>
        <w:t>pointers into external Go objects;</w:t>
      </w:r>
    </w:p>
    <w:p>
      <w:pPr>
        <w:pStyle w:val="ListBullet"/>
      </w:pPr>
      <w:r>
        <w:rPr>
          <w:rFonts w:ascii="Noto Serif" w:hAnsi="Noto Serif" w:eastAsia="Noto Serif" w:cs="Noto Serif"/>
          <w:b w:val="0"/>
          <w:i w:val="0"/>
          <w:color w:val="202733"/>
          <w:sz w:val="18"/>
        </w:rPr>
        <w:t>active stacks or exception frames.</w:t>
      </w:r>
    </w:p>
    <w:p>
      <w:bookmarkStart w:id="96" w:name="sec_087"/>
      <w:pPr>
        <w:pStyle w:val="Heading3"/>
      </w:pPr>
      <w:r>
        <w:rPr>
          <w:rFonts w:ascii="Lato" w:hAnsi="Lato" w:eastAsia="Lato" w:cs="Lato"/>
          <w:b/>
          <w:i w:val="0"/>
          <w:color w:val="202733"/>
          <w:sz w:val="21"/>
        </w:rPr>
        <w:t>19.3 Reset versus clone</w:t>
      </w:r>
      <w:bookmarkEnd w:id="96"/>
    </w:p>
    <w:p>
      <w:r>
        <w:rPr>
          <w:rFonts w:ascii="Noto Serif" w:hAnsi="Noto Serif" w:eastAsia="Noto Serif" w:cs="Noto Serif"/>
          <w:b w:val="0"/>
          <w:i w:val="0"/>
          <w:color w:val="202733"/>
          <w:sz w:val="18"/>
        </w:rPr>
        <w:t xml:space="preserve">A practical initial feature is </w:t>
      </w:r>
      <w:r>
        <w:rPr>
          <w:rFonts w:ascii="Noto Serif" w:hAnsi="Noto Serif" w:eastAsia="Noto Serif" w:cs="Noto Serif"/>
          <w:b/>
          <w:i w:val="0"/>
          <w:color w:val="202733"/>
          <w:sz w:val="18"/>
        </w:rPr>
        <w:t>hard reset</w:t>
      </w:r>
      <w:r>
        <w:rPr>
          <w:rFonts w:ascii="Noto Serif" w:hAnsi="Noto Serif" w:eastAsia="Noto Serif" w:cs="Noto Serif"/>
          <w:b w:val="0"/>
          <w:i w:val="0"/>
          <w:color w:val="202733"/>
          <w:sz w:val="18"/>
        </w:rPr>
        <w:t>: discard the runtime and recreate it from a compiled artifact. Tiny-IDP already does this after unsafe invocation.[25] A later snapshot implementation must prove that cloned values do not retain native pointers or hidden mutable state.</w:t>
      </w:r>
    </w:p>
    <w:p>
      <w:bookmarkStart w:id="97" w:name="sec_088"/>
      <w:pPr>
        <w:pStyle w:val="Heading2"/>
      </w:pPr>
      <w:r>
        <w:rPr>
          <w:rFonts w:ascii="Lato" w:hAnsi="Lato" w:eastAsia="Lato" w:cs="Lato"/>
          <w:b/>
          <w:i w:val="0"/>
          <w:color w:val="17365D"/>
          <w:sz w:val="26"/>
        </w:rPr>
        <w:t>20. Why VM-frame persistence is the wrong continuation model</w:t>
      </w:r>
      <w:bookmarkEnd w:id="97"/>
    </w:p>
    <w:p>
      <w:r>
        <w:rPr>
          <w:rFonts w:ascii="Noto Serif" w:hAnsi="Noto Serif" w:eastAsia="Noto Serif" w:cs="Noto Serif"/>
          <w:b w:val="0"/>
          <w:i w:val="0"/>
          <w:color w:val="202733"/>
          <w:sz w:val="18"/>
        </w:rPr>
        <w:t xml:space="preserve">Goja internally has suspension and resumption machinery. The pinned </w:t>
      </w:r>
      <w:r>
        <w:rPr>
          <w:rFonts w:ascii="DejaVu Sans Mono" w:hAnsi="DejaVu Sans Mono" w:eastAsia="DejaVu Sans Mono" w:cs="DejaVu Sans Mono"/>
          <w:b w:val="0"/>
          <w:i w:val="0"/>
          <w:color w:val="202733"/>
          <w:sz w:val="16"/>
          <w:shd w:fill="EDF1F4" w:val="clear"/>
        </w:rPr>
        <w:t>vm.go</w:t>
      </w:r>
      <w:r>
        <w:rPr>
          <w:rFonts w:ascii="Noto Serif" w:hAnsi="Noto Serif" w:eastAsia="Noto Serif" w:cs="Noto Serif"/>
          <w:b w:val="0"/>
          <w:i w:val="0"/>
          <w:color w:val="202733"/>
          <w:sz w:val="18"/>
        </w:rPr>
        <w:t xml:space="preserve"> shows an execution context containing a program pointer, lexical stash, private environment, result, program counter, stack base, arguments, and related stacks. Suspension copies stack values and portions of try, iterator, and reference stacks; resumption restores them into the VM.[26]</w:t>
      </w:r>
    </w:p>
    <w:p>
      <w:r>
        <w:rPr>
          <w:rFonts w:ascii="Noto Serif" w:hAnsi="Noto Serif" w:eastAsia="Noto Serif" w:cs="Noto Serif"/>
          <w:b w:val="0"/>
          <w:i w:val="0"/>
          <w:color w:val="202733"/>
          <w:sz w:val="18"/>
        </w:rPr>
        <w:t>This is appropriate for an in-memory generator or async function. It is not a durable serialization format.</w:t>
      </w:r>
    </w:p>
    <w:p>
      <w:bookmarkStart w:id="98" w:name="sec_089"/>
      <w:pPr>
        <w:pStyle w:val="Heading3"/>
      </w:pPr>
      <w:r>
        <w:rPr>
          <w:rFonts w:ascii="Lato" w:hAnsi="Lato" w:eastAsia="Lato" w:cs="Lato"/>
          <w:b/>
          <w:i w:val="0"/>
          <w:color w:val="202733"/>
          <w:sz w:val="21"/>
        </w:rPr>
        <w:t>20.1 Persistence hazards</w:t>
      </w:r>
      <w:bookmarkEnd w:id="98"/>
    </w:p>
    <w:p>
      <w:pPr>
        <w:spacing w:after="30"/>
        <w:ind w:left="432" w:hanging="317"/>
      </w:pPr>
      <w:r>
        <w:rPr>
          <w:rFonts w:ascii="Noto Serif" w:hAnsi="Noto Serif" w:eastAsia="Noto Serif" w:cs="Noto Serif"/>
          <w:color w:val="202733"/>
          <w:sz w:val="18"/>
        </w:rPr>
        <w:t xml:space="preserve">1. </w:t>
      </w:r>
      <w:r>
        <w:rPr>
          <w:rFonts w:ascii="Noto Serif" w:hAnsi="Noto Serif" w:eastAsia="Noto Serif" w:cs="Noto Serif"/>
          <w:b w:val="0"/>
          <w:i w:val="0"/>
          <w:color w:val="202733"/>
          <w:sz w:val="18"/>
        </w:rPr>
      </w:r>
      <w:r>
        <w:rPr>
          <w:rFonts w:ascii="Noto Serif" w:hAnsi="Noto Serif" w:eastAsia="Noto Serif" w:cs="Noto Serif"/>
          <w:b/>
          <w:i w:val="0"/>
          <w:color w:val="202733"/>
          <w:sz w:val="18"/>
        </w:rPr>
        <w:t>Engine coupling.</w:t>
      </w:r>
      <w:r>
        <w:rPr>
          <w:rFonts w:ascii="Noto Serif" w:hAnsi="Noto Serif" w:eastAsia="Noto Serif" w:cs="Noto Serif"/>
          <w:b w:val="0"/>
          <w:i w:val="0"/>
          <w:color w:val="202733"/>
          <w:sz w:val="18"/>
        </w:rPr>
        <w:t xml:space="preserve"> A field layout or opcode change invalidates all records.</w:t>
      </w:r>
    </w:p>
    <w:p>
      <w:pPr>
        <w:spacing w:after="30"/>
        <w:ind w:left="432" w:hanging="317"/>
      </w:pPr>
      <w:r>
        <w:rPr>
          <w:rFonts w:ascii="Noto Serif" w:hAnsi="Noto Serif" w:eastAsia="Noto Serif" w:cs="Noto Serif"/>
          <w:color w:val="202733"/>
          <w:sz w:val="18"/>
        </w:rPr>
        <w:t xml:space="preserve">2. </w:t>
      </w:r>
      <w:r>
        <w:rPr>
          <w:rFonts w:ascii="Noto Serif" w:hAnsi="Noto Serif" w:eastAsia="Noto Serif" w:cs="Noto Serif"/>
          <w:b w:val="0"/>
          <w:i w:val="0"/>
          <w:color w:val="202733"/>
          <w:sz w:val="18"/>
        </w:rPr>
      </w:r>
      <w:r>
        <w:rPr>
          <w:rFonts w:ascii="Noto Serif" w:hAnsi="Noto Serif" w:eastAsia="Noto Serif" w:cs="Noto Serif"/>
          <w:b/>
          <w:i w:val="0"/>
          <w:color w:val="202733"/>
          <w:sz w:val="18"/>
        </w:rPr>
        <w:t>Heap closure.</w:t>
      </w:r>
      <w:r>
        <w:rPr>
          <w:rFonts w:ascii="Noto Serif" w:hAnsi="Noto Serif" w:eastAsia="Noto Serif" w:cs="Noto Serif"/>
          <w:b w:val="0"/>
          <w:i w:val="0"/>
          <w:color w:val="202733"/>
          <w:sz w:val="18"/>
        </w:rPr>
        <w:t xml:space="preserve"> Stack values point into a potentially large cyclic object graph.</w:t>
      </w:r>
    </w:p>
    <w:p>
      <w:pPr>
        <w:spacing w:after="30"/>
        <w:ind w:left="432" w:hanging="317"/>
      </w:pPr>
      <w:r>
        <w:rPr>
          <w:rFonts w:ascii="Noto Serif" w:hAnsi="Noto Serif" w:eastAsia="Noto Serif" w:cs="Noto Serif"/>
          <w:color w:val="202733"/>
          <w:sz w:val="18"/>
        </w:rPr>
        <w:t xml:space="preserve">3. </w:t>
      </w:r>
      <w:r>
        <w:rPr>
          <w:rFonts w:ascii="Noto Serif" w:hAnsi="Noto Serif" w:eastAsia="Noto Serif" w:cs="Noto Serif"/>
          <w:b w:val="0"/>
          <w:i w:val="0"/>
          <w:color w:val="202733"/>
          <w:sz w:val="18"/>
        </w:rPr>
      </w:r>
      <w:r>
        <w:rPr>
          <w:rFonts w:ascii="Noto Serif" w:hAnsi="Noto Serif" w:eastAsia="Noto Serif" w:cs="Noto Serif"/>
          <w:b/>
          <w:i w:val="0"/>
          <w:color w:val="202733"/>
          <w:sz w:val="18"/>
        </w:rPr>
        <w:t>Native pointers.</w:t>
      </w:r>
      <w:r>
        <w:rPr>
          <w:rFonts w:ascii="Noto Serif" w:hAnsi="Noto Serif" w:eastAsia="Noto Serif" w:cs="Noto Serif"/>
          <w:b w:val="0"/>
          <w:i w:val="0"/>
          <w:color w:val="202733"/>
          <w:sz w:val="18"/>
        </w:rPr>
        <w:t xml:space="preserve"> Host objects and functions may reference Go memory, stores, requests, or secrets.</w:t>
      </w:r>
    </w:p>
    <w:p>
      <w:pPr>
        <w:spacing w:after="30"/>
        <w:ind w:left="432" w:hanging="317"/>
      </w:pPr>
      <w:r>
        <w:rPr>
          <w:rFonts w:ascii="Noto Serif" w:hAnsi="Noto Serif" w:eastAsia="Noto Serif" w:cs="Noto Serif"/>
          <w:color w:val="202733"/>
          <w:sz w:val="18"/>
        </w:rPr>
        <w:t xml:space="preserve">4. </w:t>
      </w:r>
      <w:r>
        <w:rPr>
          <w:rFonts w:ascii="Noto Serif" w:hAnsi="Noto Serif" w:eastAsia="Noto Serif" w:cs="Noto Serif"/>
          <w:b w:val="0"/>
          <w:i w:val="0"/>
          <w:color w:val="202733"/>
          <w:sz w:val="18"/>
        </w:rPr>
      </w:r>
      <w:r>
        <w:rPr>
          <w:rFonts w:ascii="Noto Serif" w:hAnsi="Noto Serif" w:eastAsia="Noto Serif" w:cs="Noto Serif"/>
          <w:b/>
          <w:i w:val="0"/>
          <w:color w:val="202733"/>
          <w:sz w:val="18"/>
        </w:rPr>
        <w:t>Garbage-collector invariants.</w:t>
      </w:r>
      <w:r>
        <w:rPr>
          <w:rFonts w:ascii="Noto Serif" w:hAnsi="Noto Serif" w:eastAsia="Noto Serif" w:cs="Noto Serif"/>
          <w:b w:val="0"/>
          <w:i w:val="0"/>
          <w:color w:val="202733"/>
          <w:sz w:val="18"/>
        </w:rPr>
        <w:t xml:space="preserve"> Restoring arbitrary graphs must cooperate with Go and Goja object lifecycles.</w:t>
      </w:r>
    </w:p>
    <w:p>
      <w:pPr>
        <w:spacing w:after="30"/>
        <w:ind w:left="432" w:hanging="317"/>
      </w:pPr>
      <w:r>
        <w:rPr>
          <w:rFonts w:ascii="Noto Serif" w:hAnsi="Noto Serif" w:eastAsia="Noto Serif" w:cs="Noto Serif"/>
          <w:color w:val="202733"/>
          <w:sz w:val="18"/>
        </w:rPr>
        <w:t xml:space="preserve">5. </w:t>
      </w:r>
      <w:r>
        <w:rPr>
          <w:rFonts w:ascii="Noto Serif" w:hAnsi="Noto Serif" w:eastAsia="Noto Serif" w:cs="Noto Serif"/>
          <w:b w:val="0"/>
          <w:i w:val="0"/>
          <w:color w:val="202733"/>
          <w:sz w:val="18"/>
        </w:rPr>
      </w:r>
      <w:r>
        <w:rPr>
          <w:rFonts w:ascii="Noto Serif" w:hAnsi="Noto Serif" w:eastAsia="Noto Serif" w:cs="Noto Serif"/>
          <w:b/>
          <w:i w:val="0"/>
          <w:color w:val="202733"/>
          <w:sz w:val="18"/>
        </w:rPr>
        <w:t>Security review.</w:t>
      </w:r>
      <w:r>
        <w:rPr>
          <w:rFonts w:ascii="Noto Serif" w:hAnsi="Noto Serif" w:eastAsia="Noto Serif" w:cs="Noto Serif"/>
          <w:b w:val="0"/>
          <w:i w:val="0"/>
          <w:color w:val="202733"/>
          <w:sz w:val="18"/>
        </w:rPr>
        <w:t xml:space="preserve"> A serialized heap is difficult to schema-check, redact, bind, or migrate.</w:t>
      </w:r>
    </w:p>
    <w:p>
      <w:pPr>
        <w:spacing w:after="30"/>
        <w:ind w:left="432" w:hanging="317"/>
      </w:pPr>
      <w:r>
        <w:rPr>
          <w:rFonts w:ascii="Noto Serif" w:hAnsi="Noto Serif" w:eastAsia="Noto Serif" w:cs="Noto Serif"/>
          <w:color w:val="202733"/>
          <w:sz w:val="18"/>
        </w:rPr>
        <w:t xml:space="preserve">6. </w:t>
      </w:r>
      <w:r>
        <w:rPr>
          <w:rFonts w:ascii="Noto Serif" w:hAnsi="Noto Serif" w:eastAsia="Noto Serif" w:cs="Noto Serif"/>
          <w:b w:val="0"/>
          <w:i w:val="0"/>
          <w:color w:val="202733"/>
          <w:sz w:val="18"/>
        </w:rPr>
      </w:r>
      <w:r>
        <w:rPr>
          <w:rFonts w:ascii="Noto Serif" w:hAnsi="Noto Serif" w:eastAsia="Noto Serif" w:cs="Noto Serif"/>
          <w:b/>
          <w:i w:val="0"/>
          <w:color w:val="202733"/>
          <w:sz w:val="18"/>
        </w:rPr>
        <w:t>Replay ambiguity.</w:t>
      </w:r>
      <w:r>
        <w:rPr>
          <w:rFonts w:ascii="Noto Serif" w:hAnsi="Noto Serif" w:eastAsia="Noto Serif" w:cs="Noto Serif"/>
          <w:b w:val="0"/>
          <w:i w:val="0"/>
          <w:color w:val="202733"/>
          <w:sz w:val="18"/>
        </w:rPr>
        <w:t xml:space="preserve"> Pending jobs and external calls may have partially completed.</w:t>
      </w:r>
    </w:p>
    <w:p>
      <w:pPr>
        <w:spacing w:after="30"/>
        <w:ind w:left="432" w:hanging="317"/>
      </w:pPr>
      <w:r>
        <w:rPr>
          <w:rFonts w:ascii="Noto Serif" w:hAnsi="Noto Serif" w:eastAsia="Noto Serif" w:cs="Noto Serif"/>
          <w:color w:val="202733"/>
          <w:sz w:val="18"/>
        </w:rPr>
        <w:t xml:space="preserve">7. </w:t>
      </w:r>
      <w:r>
        <w:rPr>
          <w:rFonts w:ascii="Noto Serif" w:hAnsi="Noto Serif" w:eastAsia="Noto Serif" w:cs="Noto Serif"/>
          <w:b w:val="0"/>
          <w:i w:val="0"/>
          <w:color w:val="202733"/>
          <w:sz w:val="18"/>
        </w:rPr>
      </w:r>
      <w:r>
        <w:rPr>
          <w:rFonts w:ascii="Noto Serif" w:hAnsi="Noto Serif" w:eastAsia="Noto Serif" w:cs="Noto Serif"/>
          <w:b/>
          <w:i w:val="0"/>
          <w:color w:val="202733"/>
          <w:sz w:val="18"/>
        </w:rPr>
        <w:t>Hot reload.</w:t>
      </w:r>
      <w:r>
        <w:rPr>
          <w:rFonts w:ascii="Noto Serif" w:hAnsi="Noto Serif" w:eastAsia="Noto Serif" w:cs="Noto Serif"/>
          <w:b w:val="0"/>
          <w:i w:val="0"/>
          <w:color w:val="202733"/>
          <w:sz w:val="18"/>
        </w:rPr>
        <w:t xml:space="preserve"> Program counters have meaning only for the exact compiled instruction stream.</w:t>
      </w:r>
    </w:p>
    <w:p>
      <w:pPr>
        <w:spacing w:after="30"/>
        <w:ind w:left="432" w:hanging="317"/>
      </w:pPr>
      <w:r>
        <w:rPr>
          <w:rFonts w:ascii="Noto Serif" w:hAnsi="Noto Serif" w:eastAsia="Noto Serif" w:cs="Noto Serif"/>
          <w:color w:val="202733"/>
          <w:sz w:val="18"/>
        </w:rPr>
        <w:t xml:space="preserve">8. </w:t>
      </w:r>
      <w:r>
        <w:rPr>
          <w:rFonts w:ascii="Noto Serif" w:hAnsi="Noto Serif" w:eastAsia="Noto Serif" w:cs="Noto Serif"/>
          <w:b w:val="0"/>
          <w:i w:val="0"/>
          <w:color w:val="202733"/>
          <w:sz w:val="18"/>
        </w:rPr>
      </w:r>
      <w:r>
        <w:rPr>
          <w:rFonts w:ascii="Noto Serif" w:hAnsi="Noto Serif" w:eastAsia="Noto Serif" w:cs="Noto Serif"/>
          <w:b/>
          <w:i w:val="0"/>
          <w:color w:val="202733"/>
          <w:sz w:val="18"/>
        </w:rPr>
        <w:t>Cryptographic binding.</w:t>
      </w:r>
      <w:r>
        <w:rPr>
          <w:rFonts w:ascii="Noto Serif" w:hAnsi="Noto Serif" w:eastAsia="Noto Serif" w:cs="Noto Serif"/>
          <w:b w:val="0"/>
          <w:i w:val="0"/>
          <w:color w:val="202733"/>
          <w:sz w:val="18"/>
        </w:rPr>
        <w:t xml:space="preserve"> Authenticating a large opaque VM image does not make its internal authority safe.</w:t>
      </w:r>
    </w:p>
    <w:p>
      <w:pPr>
        <w:spacing w:after="30"/>
        <w:ind w:left="432" w:hanging="317"/>
      </w:pPr>
      <w:r>
        <w:rPr>
          <w:rFonts w:ascii="Noto Serif" w:hAnsi="Noto Serif" w:eastAsia="Noto Serif" w:cs="Noto Serif"/>
          <w:color w:val="202733"/>
          <w:sz w:val="18"/>
        </w:rPr>
        <w:t xml:space="preserve">9. </w:t>
      </w:r>
      <w:r>
        <w:rPr>
          <w:rFonts w:ascii="Noto Serif" w:hAnsi="Noto Serif" w:eastAsia="Noto Serif" w:cs="Noto Serif"/>
          <w:b w:val="0"/>
          <w:i w:val="0"/>
          <w:color w:val="202733"/>
          <w:sz w:val="18"/>
        </w:rPr>
      </w:r>
      <w:r>
        <w:rPr>
          <w:rFonts w:ascii="Noto Serif" w:hAnsi="Noto Serif" w:eastAsia="Noto Serif" w:cs="Noto Serif"/>
          <w:b/>
          <w:i w:val="0"/>
          <w:color w:val="202733"/>
          <w:sz w:val="18"/>
        </w:rPr>
        <w:t>Operational size.</w:t>
      </w:r>
      <w:r>
        <w:rPr>
          <w:rFonts w:ascii="Noto Serif" w:hAnsi="Noto Serif" w:eastAsia="Noto Serif" w:cs="Noto Serif"/>
          <w:b w:val="0"/>
          <w:i w:val="0"/>
          <w:color w:val="202733"/>
          <w:sz w:val="18"/>
        </w:rPr>
        <w:t xml:space="preserve"> A small form wait could persist megabytes of irrelevant objects.</w:t>
      </w:r>
    </w:p>
    <w:p>
      <w:pPr>
        <w:spacing w:after="30"/>
        <w:ind w:left="432" w:hanging="317"/>
      </w:pPr>
      <w:r>
        <w:rPr>
          <w:rFonts w:ascii="Noto Serif" w:hAnsi="Noto Serif" w:eastAsia="Noto Serif" w:cs="Noto Serif"/>
          <w:color w:val="202733"/>
          <w:sz w:val="18"/>
        </w:rPr>
        <w:t xml:space="preserve">10. </w:t>
      </w:r>
      <w:r>
        <w:rPr>
          <w:rFonts w:ascii="Noto Serif" w:hAnsi="Noto Serif" w:eastAsia="Noto Serif" w:cs="Noto Serif"/>
          <w:b w:val="0"/>
          <w:i w:val="0"/>
          <w:color w:val="202733"/>
          <w:sz w:val="18"/>
        </w:rPr>
      </w:r>
      <w:r>
        <w:rPr>
          <w:rFonts w:ascii="Noto Serif" w:hAnsi="Noto Serif" w:eastAsia="Noto Serif" w:cs="Noto Serif"/>
          <w:b/>
          <w:i w:val="0"/>
          <w:color w:val="202733"/>
          <w:sz w:val="18"/>
        </w:rPr>
        <w:t>Inspection and repair.</w:t>
      </w:r>
      <w:r>
        <w:rPr>
          <w:rFonts w:ascii="Noto Serif" w:hAnsi="Noto Serif" w:eastAsia="Noto Serif" w:cs="Noto Serif"/>
          <w:b w:val="0"/>
          <w:i w:val="0"/>
          <w:color w:val="202733"/>
          <w:sz w:val="18"/>
        </w:rPr>
        <w:t xml:space="preserve"> Operators cannot meaningfully inspect or patch the control state.</w:t>
      </w:r>
    </w:p>
    <w:p>
      <w:bookmarkStart w:id="99" w:name="sec_090"/>
      <w:pPr>
        <w:pStyle w:val="Heading3"/>
      </w:pPr>
      <w:r>
        <w:rPr>
          <w:rFonts w:ascii="Lato" w:hAnsi="Lato" w:eastAsia="Lato" w:cs="Lato"/>
          <w:b/>
          <w:i w:val="0"/>
          <w:color w:val="202733"/>
          <w:sz w:val="21"/>
        </w:rPr>
        <w:t>20.2 Correct use of VM suspension knowledge</w:t>
      </w:r>
      <w:bookmarkEnd w:id="99"/>
    </w:p>
    <w:p>
      <w:r>
        <w:rPr>
          <w:rFonts w:ascii="Noto Serif" w:hAnsi="Noto Serif" w:eastAsia="Noto Serif" w:cs="Noto Serif"/>
          <w:b w:val="0"/>
          <w:i w:val="0"/>
          <w:color w:val="202733"/>
          <w:sz w:val="18"/>
        </w:rPr>
        <w:t>Interpreter access is still valuable. It reveals the language constructs and data that must be represented by the compiler transform. It can help differential-test the transformed state machine against ordinary in-memory async execution. It should not become the persisted representation.</w:t>
      </w:r>
    </w:p>
    <w:p>
      <w:bookmarkStart w:id="100" w:name="sec_091"/>
      <w:pPr>
        <w:pStyle w:val="Heading1"/>
        <w:pageBreakBefore/>
      </w:pPr>
      <w:r>
        <w:rPr>
          <w:rFonts w:ascii="Lato" w:hAnsi="Lato" w:eastAsia="Lato" w:cs="Lato"/>
          <w:b/>
          <w:i w:val="0"/>
          <w:color w:val="17365D"/>
          <w:sz w:val="37"/>
        </w:rPr>
        <w:t>Part V - A project-independent semantic intermediate representation</w:t>
      </w:r>
      <w:bookmarkEnd w:id="100"/>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101" w:name="sec_092"/>
      <w:pPr>
        <w:pStyle w:val="Heading2"/>
      </w:pPr>
      <w:r>
        <w:rPr>
          <w:rFonts w:ascii="Lato" w:hAnsi="Lato" w:eastAsia="Lato" w:cs="Lato"/>
          <w:b/>
          <w:i w:val="0"/>
          <w:color w:val="17365D"/>
          <w:sz w:val="26"/>
        </w:rPr>
        <w:t>21. Why an MIR is the strategic center</w:t>
      </w:r>
      <w:bookmarkEnd w:id="101"/>
    </w:p>
    <w:p>
      <w:r>
        <w:rPr>
          <w:rFonts w:ascii="Noto Serif" w:hAnsi="Noto Serif" w:eastAsia="Noto Serif" w:cs="Noto Serif"/>
          <w:b w:val="0"/>
          <w:i w:val="0"/>
          <w:color w:val="202733"/>
          <w:sz w:val="18"/>
        </w:rPr>
        <w:t xml:space="preserve">A source transform that emits more JavaScript can deliver durable </w:t>
      </w:r>
      <w:r>
        <w:rPr>
          <w:rFonts w:ascii="DejaVu Sans Mono" w:hAnsi="DejaVu Sans Mono" w:eastAsia="DejaVu Sans Mono" w:cs="DejaVu Sans Mono"/>
          <w:b w:val="0"/>
          <w:i w:val="0"/>
          <w:color w:val="202733"/>
          <w:sz w:val="16"/>
          <w:shd w:fill="EDF1F4" w:val="clear"/>
        </w:rPr>
        <w:t>await</w:t>
      </w:r>
      <w:r>
        <w:rPr>
          <w:rFonts w:ascii="Noto Serif" w:hAnsi="Noto Serif" w:eastAsia="Noto Serif" w:cs="Noto Serif"/>
          <w:b w:val="0"/>
          <w:i w:val="0"/>
          <w:color w:val="202733"/>
          <w:sz w:val="18"/>
        </w:rPr>
        <w:t xml:space="preserve"> quickly, but it still leaves long-lived semantics encoded in generated source and host conventions. A stable MIR provides a better boundary.</w:t>
      </w:r>
    </w:p>
    <w:p>
      <w:r>
        <w:rPr>
          <w:rFonts w:ascii="Noto Serif" w:hAnsi="Noto Serif" w:eastAsia="Noto Serif" w:cs="Noto Serif"/>
          <w:b w:val="0"/>
          <w:i w:val="0"/>
          <w:color w:val="202733"/>
          <w:sz w:val="18"/>
        </w:rPr>
        <w:t>The MIR should be:</w:t>
      </w:r>
    </w:p>
    <w:p>
      <w:pPr>
        <w:pStyle w:val="ListBullet"/>
      </w:pPr>
      <w:r>
        <w:rPr>
          <w:rFonts w:ascii="Noto Serif" w:hAnsi="Noto Serif" w:eastAsia="Noto Serif" w:cs="Noto Serif"/>
          <w:b w:val="0"/>
          <w:i w:val="0"/>
          <w:color w:val="202733"/>
          <w:sz w:val="18"/>
        </w:rPr>
        <w:t>deterministic and canonically serializable;</w:t>
      </w:r>
    </w:p>
    <w:p>
      <w:pPr>
        <w:pStyle w:val="ListBullet"/>
      </w:pPr>
      <w:r>
        <w:rPr>
          <w:rFonts w:ascii="Noto Serif" w:hAnsi="Noto Serif" w:eastAsia="Noto Serif" w:cs="Noto Serif"/>
          <w:b w:val="0"/>
          <w:i w:val="0"/>
          <w:color w:val="202733"/>
          <w:sz w:val="18"/>
        </w:rPr>
        <w:t>independent of Goja value and bytecode formats;</w:t>
      </w:r>
    </w:p>
    <w:p>
      <w:pPr>
        <w:pStyle w:val="ListBullet"/>
      </w:pPr>
      <w:r>
        <w:rPr>
          <w:rFonts w:ascii="Noto Serif" w:hAnsi="Noto Serif" w:eastAsia="Noto Serif" w:cs="Noto Serif"/>
          <w:b w:val="0"/>
          <w:i w:val="0"/>
          <w:color w:val="202733"/>
          <w:sz w:val="18"/>
        </w:rPr>
        <w:t>small enough to specify formally;</w:t>
      </w:r>
    </w:p>
    <w:p>
      <w:pPr>
        <w:pStyle w:val="ListBullet"/>
      </w:pPr>
      <w:r>
        <w:rPr>
          <w:rFonts w:ascii="Noto Serif" w:hAnsi="Noto Serif" w:eastAsia="Noto Serif" w:cs="Noto Serif"/>
          <w:b w:val="0"/>
          <w:i w:val="0"/>
          <w:color w:val="202733"/>
          <w:sz w:val="18"/>
        </w:rPr>
        <w:t>expressive enough for control flow, bounded computation, capabilities, effects, outcomes, and suspension;</w:t>
      </w:r>
    </w:p>
    <w:p>
      <w:pPr>
        <w:pStyle w:val="ListBullet"/>
      </w:pPr>
      <w:r>
        <w:rPr>
          <w:rFonts w:ascii="Noto Serif" w:hAnsi="Noto Serif" w:eastAsia="Noto Serif" w:cs="Noto Serif"/>
          <w:b w:val="0"/>
          <w:i w:val="0"/>
          <w:color w:val="202733"/>
          <w:sz w:val="18"/>
        </w:rPr>
        <w:t>extensible through versioned dialects without weakening core invariants;</w:t>
      </w:r>
    </w:p>
    <w:p>
      <w:pPr>
        <w:pStyle w:val="ListBullet"/>
      </w:pPr>
      <w:r>
        <w:rPr>
          <w:rFonts w:ascii="Noto Serif" w:hAnsi="Noto Serif" w:eastAsia="Noto Serif" w:cs="Noto Serif"/>
          <w:b w:val="0"/>
          <w:i w:val="0"/>
          <w:color w:val="202733"/>
          <w:sz w:val="18"/>
        </w:rPr>
        <w:t>source-mapped back to JavaScript;</w:t>
      </w:r>
    </w:p>
    <w:p>
      <w:pPr>
        <w:pStyle w:val="ListBullet"/>
      </w:pPr>
      <w:r>
        <w:rPr>
          <w:rFonts w:ascii="Noto Serif" w:hAnsi="Noto Serif" w:eastAsia="Noto Serif" w:cs="Noto Serif"/>
          <w:b w:val="0"/>
          <w:i w:val="0"/>
          <w:color w:val="202733"/>
          <w:sz w:val="18"/>
        </w:rPr>
        <w:t>executable by a deliberately simple reference interpreter;</w:t>
      </w:r>
    </w:p>
    <w:p>
      <w:pPr>
        <w:pStyle w:val="ListBullet"/>
      </w:pPr>
      <w:r>
        <w:rPr>
          <w:rFonts w:ascii="Noto Serif" w:hAnsi="Noto Serif" w:eastAsia="Noto Serif" w:cs="Noto Serif"/>
          <w:b w:val="0"/>
          <w:i w:val="0"/>
          <w:color w:val="202733"/>
          <w:sz w:val="18"/>
        </w:rPr>
        <w:t>lowerable to optimized backends.</w:t>
      </w:r>
    </w:p>
    <w:p>
      <w:r>
        <w:rPr>
          <w:rFonts w:ascii="Noto Serif" w:hAnsi="Noto Serif" w:eastAsia="Noto Serif" w:cs="Noto Serif"/>
          <w:b w:val="0"/>
          <w:i w:val="0"/>
          <w:color w:val="202733"/>
          <w:sz w:val="18"/>
        </w:rPr>
        <w:t>CEL offers a useful control-plane/data-plane precedent: parse and type-check ahead of time, serialize a canonical checked AST, then evaluate it against an explicit environment.[8] Malleable JS needs statements, effects, and continuations beyond CEL's expression model, but the artifact discipline is similar.</w:t>
      </w:r>
    </w:p>
    <w:p>
      <w:bookmarkStart w:id="102" w:name="sec_093"/>
      <w:pPr>
        <w:pStyle w:val="Heading2"/>
      </w:pPr>
      <w:r>
        <w:rPr>
          <w:rFonts w:ascii="Lato" w:hAnsi="Lato" w:eastAsia="Lato" w:cs="Lato"/>
          <w:b/>
          <w:i w:val="0"/>
          <w:color w:val="17365D"/>
          <w:sz w:val="26"/>
        </w:rPr>
        <w:t>22. Core MIR concepts</w:t>
      </w:r>
      <w:bookmarkEnd w:id="102"/>
    </w:p>
    <w:p>
      <w:r>
        <w:rPr>
          <w:rFonts w:ascii="Noto Serif" w:hAnsi="Noto Serif" w:eastAsia="Noto Serif" w:cs="Noto Serif"/>
          <w:b w:val="0"/>
          <w:i w:val="0"/>
          <w:color w:val="202733"/>
          <w:sz w:val="18"/>
        </w:rPr>
        <w:t>A minimal core could contain the following.</w:t>
      </w:r>
    </w:p>
    <w:p>
      <w:bookmarkStart w:id="103" w:name="sec_094"/>
      <w:pPr>
        <w:pStyle w:val="Heading3"/>
      </w:pPr>
      <w:r>
        <w:rPr>
          <w:rFonts w:ascii="Lato" w:hAnsi="Lato" w:eastAsia="Lato" w:cs="Lato"/>
          <w:b/>
          <w:i w:val="0"/>
          <w:color w:val="202733"/>
          <w:sz w:val="21"/>
        </w:rPr>
        <w:t>22.1 Values and types</w:t>
      </w:r>
      <w:bookmarkEnd w:id="103"/>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Bool, I64, U64, String&lt;N&gt;, Bytes&lt;N&gt;</w:t>
        <w:br/>
      </w:r>
      <w:r>
        <w:rPr>
          <w:rFonts w:ascii="DejaVu Sans Mono" w:hAnsi="DejaVu Sans Mono" w:eastAsia="DejaVu Sans Mono" w:cs="DejaVu Sans Mono"/>
          <w:color w:val="202733"/>
          <w:sz w:val="14"/>
        </w:rPr>
        <w:t>Option&lt;T&gt;, Result&lt;T,E&gt;</w:t>
        <w:br/>
      </w:r>
      <w:r>
        <w:rPr>
          <w:rFonts w:ascii="DejaVu Sans Mono" w:hAnsi="DejaVu Sans Mono" w:eastAsia="DejaVu Sans Mono" w:cs="DejaVu Sans Mono"/>
          <w:color w:val="202733"/>
          <w:sz w:val="14"/>
        </w:rPr>
        <w:t>List&lt;T,N&gt;, Record&lt;ID&gt;, Variant&lt;ID&gt;</w:t>
        <w:br/>
      </w:r>
      <w:r>
        <w:rPr>
          <w:rFonts w:ascii="DejaVu Sans Mono" w:hAnsi="DejaVu Sans Mono" w:eastAsia="DejaVu Sans Mono" w:cs="DejaVu Sans Mono"/>
          <w:color w:val="202733"/>
          <w:sz w:val="14"/>
        </w:rPr>
        <w:t>Resource&lt;Dialect, Kind, Region, Parameters...&gt;</w:t>
        <w:br/>
      </w:r>
      <w:r>
        <w:rPr>
          <w:rFonts w:ascii="DejaVu Sans Mono" w:hAnsi="DejaVu Sans Mono" w:eastAsia="DejaVu Sans Mono" w:cs="DejaVu Sans Mono"/>
          <w:color w:val="202733"/>
          <w:sz w:val="14"/>
        </w:rPr>
        <w:t>Function&lt;Input, Effects, Output&gt;</w:t>
      </w:r>
    </w:p>
    <w:p>
      <w:r>
        <w:rPr>
          <w:rFonts w:ascii="Noto Serif" w:hAnsi="Noto Serif" w:eastAsia="Noto Serif" w:cs="Noto Serif"/>
          <w:b w:val="0"/>
          <w:i w:val="0"/>
          <w:color w:val="202733"/>
          <w:sz w:val="18"/>
        </w:rPr>
        <w:t xml:space="preserve">The absence of an unrestricted </w:t>
      </w:r>
      <w:r>
        <w:rPr>
          <w:rFonts w:ascii="DejaVu Sans Mono" w:hAnsi="DejaVu Sans Mono" w:eastAsia="DejaVu Sans Mono" w:cs="DejaVu Sans Mono"/>
          <w:b w:val="0"/>
          <w:i w:val="0"/>
          <w:color w:val="202733"/>
          <w:sz w:val="16"/>
          <w:shd w:fill="EDF1F4" w:val="clear"/>
        </w:rPr>
        <w:t>Any</w:t>
      </w:r>
      <w:r>
        <w:rPr>
          <w:rFonts w:ascii="Noto Serif" w:hAnsi="Noto Serif" w:eastAsia="Noto Serif" w:cs="Noto Serif"/>
          <w:b w:val="0"/>
          <w:i w:val="0"/>
          <w:color w:val="202733"/>
          <w:sz w:val="18"/>
        </w:rPr>
        <w:t xml:space="preserve"> type is important. Dynamic JSON may exist only as a schema-bound </w:t>
      </w:r>
      <w:r>
        <w:rPr>
          <w:rFonts w:ascii="DejaVu Sans Mono" w:hAnsi="DejaVu Sans Mono" w:eastAsia="DejaVu Sans Mono" w:cs="DejaVu Sans Mono"/>
          <w:b w:val="0"/>
          <w:i w:val="0"/>
          <w:color w:val="202733"/>
          <w:sz w:val="16"/>
          <w:shd w:fill="EDF1F4" w:val="clear"/>
        </w:rPr>
        <w:t>Json&lt;SchemaID&gt;</w:t>
      </w:r>
      <w:r>
        <w:rPr>
          <w:rFonts w:ascii="Noto Serif" w:hAnsi="Noto Serif" w:eastAsia="Noto Serif" w:cs="Noto Serif"/>
          <w:b w:val="0"/>
          <w:i w:val="0"/>
          <w:color w:val="202733"/>
          <w:sz w:val="18"/>
        </w:rPr>
        <w:t xml:space="preserve"> value with closed access operations.</w:t>
      </w:r>
    </w:p>
    <w:p>
      <w:bookmarkStart w:id="104" w:name="sec_095"/>
      <w:pPr>
        <w:pStyle w:val="Heading3"/>
      </w:pPr>
      <w:r>
        <w:rPr>
          <w:rFonts w:ascii="Lato" w:hAnsi="Lato" w:eastAsia="Lato" w:cs="Lato"/>
          <w:b/>
          <w:i w:val="0"/>
          <w:color w:val="202733"/>
          <w:sz w:val="21"/>
        </w:rPr>
        <w:t>22.2 Regions and lifetimes</w:t>
      </w:r>
      <w:bookmarkEnd w:id="104"/>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static       - artifact constants and frozen module definitions</w:t>
        <w:br/>
      </w:r>
      <w:r>
        <w:rPr>
          <w:rFonts w:ascii="DejaVu Sans Mono" w:hAnsi="DejaVu Sans Mono" w:eastAsia="DejaVu Sans Mono" w:cs="DejaVu Sans Mono"/>
          <w:color w:val="202733"/>
          <w:sz w:val="14"/>
        </w:rPr>
        <w:t>invocation   - values valid only during one request</w:t>
        <w:br/>
      </w:r>
      <w:r>
        <w:rPr>
          <w:rFonts w:ascii="DejaVu Sans Mono" w:hAnsi="DejaVu Sans Mono" w:eastAsia="DejaVu Sans Mono" w:cs="DejaVu Sans Mono"/>
          <w:color w:val="202733"/>
          <w:sz w:val="14"/>
        </w:rPr>
        <w:t>secret       - opaque native secret resources</w:t>
        <w:br/>
      </w:r>
      <w:r>
        <w:rPr>
          <w:rFonts w:ascii="DejaVu Sans Mono" w:hAnsi="DejaVu Sans Mono" w:eastAsia="DejaVu Sans Mono" w:cs="DejaVu Sans Mono"/>
          <w:color w:val="202733"/>
          <w:sz w:val="14"/>
        </w:rPr>
        <w:t>transaction  - resources valid during one native commit</w:t>
        <w:br/>
      </w:r>
      <w:r>
        <w:rPr>
          <w:rFonts w:ascii="DejaVu Sans Mono" w:hAnsi="DejaVu Sans Mono" w:eastAsia="DejaVu Sans Mono" w:cs="DejaVu Sans Mono"/>
          <w:color w:val="202733"/>
          <w:sz w:val="14"/>
        </w:rPr>
        <w:t>continuation - serializable values/references allowed in durable carry</w:t>
      </w:r>
    </w:p>
    <w:p>
      <w:r>
        <w:rPr>
          <w:rFonts w:ascii="Noto Serif" w:hAnsi="Noto Serif" w:eastAsia="Noto Serif" w:cs="Noto Serif"/>
          <w:b w:val="0"/>
          <w:i w:val="0"/>
          <w:color w:val="202733"/>
          <w:sz w:val="18"/>
        </w:rPr>
        <w:t>A resource type names its region. The verifier rejects a value escaping to a longer-lived region.</w:t>
      </w:r>
    </w:p>
    <w:p>
      <w:bookmarkStart w:id="105" w:name="sec_096"/>
      <w:pPr>
        <w:pStyle w:val="Heading3"/>
      </w:pPr>
      <w:r>
        <w:rPr>
          <w:rFonts w:ascii="Lato" w:hAnsi="Lato" w:eastAsia="Lato" w:cs="Lato"/>
          <w:b/>
          <w:i w:val="0"/>
          <w:color w:val="202733"/>
          <w:sz w:val="21"/>
        </w:rPr>
        <w:t>22.3 Control flow</w:t>
      </w:r>
      <w:bookmarkEnd w:id="105"/>
    </w:p>
    <w:p>
      <w:r>
        <w:rPr>
          <w:rFonts w:ascii="Noto Serif" w:hAnsi="Noto Serif" w:eastAsia="Noto Serif" w:cs="Noto Serif"/>
          <w:b w:val="0"/>
          <w:i w:val="0"/>
          <w:color w:val="202733"/>
          <w:sz w:val="18"/>
        </w:rPr>
        <w:t>The core uses explicit blocks and terminators: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branch condition then blockA else blockB</w:t>
        <w:br/>
      </w:r>
      <w:r>
        <w:rPr>
          <w:rFonts w:ascii="DejaVu Sans Mono" w:hAnsi="DejaVu Sans Mono" w:eastAsia="DejaVu Sans Mono" w:cs="DejaVu Sans Mono"/>
          <w:color w:val="202733"/>
          <w:sz w:val="14"/>
        </w:rPr>
        <w:t>return value</w:t>
        <w:br/>
      </w:r>
      <w:r>
        <w:rPr>
          <w:rFonts w:ascii="DejaVu Sans Mono" w:hAnsi="DejaVu Sans Mono" w:eastAsia="DejaVu Sans Mono" w:cs="DejaVu Sans Mono"/>
          <w:color w:val="202733"/>
          <w:sz w:val="14"/>
        </w:rPr>
        <w:t>throw error</w:t>
        <w:br/>
      </w:r>
      <w:r>
        <w:rPr>
          <w:rFonts w:ascii="DejaVu Sans Mono" w:hAnsi="DejaVu Sans Mono" w:eastAsia="DejaVu Sans Mono" w:cs="DejaVu Sans Mono"/>
          <w:color w:val="202733"/>
          <w:sz w:val="14"/>
        </w:rPr>
        <w:t>suspend operation resume block carry values</w:t>
        <w:br/>
      </w:r>
      <w:r>
        <w:rPr>
          <w:rFonts w:ascii="DejaVu Sans Mono" w:hAnsi="DejaVu Sans Mono" w:eastAsia="DejaVu Sans Mono" w:cs="DejaVu Sans Mono"/>
          <w:color w:val="202733"/>
          <w:sz w:val="14"/>
        </w:rPr>
        <w:t>switch variant cases</w:t>
      </w:r>
    </w:p>
    <w:p>
      <w:r>
        <w:rPr>
          <w:rFonts w:ascii="Noto Serif" w:hAnsi="Noto Serif" w:eastAsia="Noto Serif" w:cs="Noto Serif"/>
          <w:b w:val="0"/>
          <w:i w:val="0"/>
          <w:color w:val="202733"/>
          <w:sz w:val="18"/>
        </w:rPr>
        <w:t>No implicit browser suspension exists after lowering.</w:t>
      </w:r>
    </w:p>
    <w:p>
      <w:bookmarkStart w:id="106" w:name="sec_097"/>
      <w:pPr>
        <w:pStyle w:val="Heading3"/>
      </w:pPr>
      <w:r>
        <w:rPr>
          <w:rFonts w:ascii="Lato" w:hAnsi="Lato" w:eastAsia="Lato" w:cs="Lato"/>
          <w:b/>
          <w:i w:val="0"/>
          <w:color w:val="202733"/>
          <w:sz w:val="21"/>
        </w:rPr>
        <w:t>22.4 Effects</w:t>
      </w:r>
      <w:bookmarkEnd w:id="106"/>
    </w:p>
    <w:p>
      <w:r>
        <w:rPr>
          <w:rFonts w:ascii="Noto Serif" w:hAnsi="Noto Serif" w:eastAsia="Noto Serif" w:cs="Noto Serif"/>
          <w:b w:val="0"/>
          <w:i w:val="0"/>
          <w:color w:val="202733"/>
          <w:sz w:val="18"/>
        </w:rPr>
        <w:t>Effects are named dialect operations with typed operands and results: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%member = cap.call @community.lookup(%email)</w:t>
        <w:br/>
      </w:r>
      <w:r>
        <w:rPr>
          <w:rFonts w:ascii="DejaVu Sans Mono" w:hAnsi="DejaVu Sans Mono" w:eastAsia="DejaVu Sans Mono" w:cs="DejaVu Sans Mono"/>
          <w:color w:val="202733"/>
          <w:sz w:val="14"/>
        </w:rPr>
        <w:t>%page   = ui.present @signup.form(%model)</w:t>
        <w:br/>
      </w:r>
      <w:r>
        <w:rPr>
          <w:rFonts w:ascii="DejaVu Sans Mono" w:hAnsi="DejaVu Sans Mono" w:eastAsia="DejaVu Sans Mono" w:cs="DejaVu Sans Mono"/>
          <w:color w:val="202733"/>
          <w:sz w:val="14"/>
        </w:rPr>
        <w:t>suspend %page resume ^after_submit carry(%member_ref)</w:t>
        <w:br/>
      </w:r>
      <w:r>
        <w:rPr>
          <w:rFonts w:ascii="DejaVu Sans Mono" w:hAnsi="DejaVu Sans Mono" w:eastAsia="DejaVu Sans Mono" w:cs="DejaVu Sans Mono"/>
          <w:color w:val="202733"/>
          <w:sz w:val="14"/>
        </w:rPr>
        <w:t>commit [identity.create(...), invitation.consume(...)]</w:t>
      </w:r>
    </w:p>
    <w:p>
      <w:r>
        <w:rPr>
          <w:rFonts w:ascii="Noto Serif" w:hAnsi="Noto Serif" w:eastAsia="Noto Serif" w:cs="Noto Serif"/>
          <w:b w:val="0"/>
          <w:i w:val="0"/>
          <w:color w:val="202733"/>
          <w:sz w:val="18"/>
        </w:rPr>
        <w:t>Each operation declares interfaces such as: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Pure</w:t>
        <w:br/>
      </w:r>
      <w:r>
        <w:rPr>
          <w:rFonts w:ascii="DejaVu Sans Mono" w:hAnsi="DejaVu Sans Mono" w:eastAsia="DejaVu Sans Mono" w:cs="DejaVu Sans Mono"/>
          <w:color w:val="202733"/>
          <w:sz w:val="14"/>
        </w:rPr>
        <w:t>MaySuspend</w:t>
        <w:br/>
      </w:r>
      <w:r>
        <w:rPr>
          <w:rFonts w:ascii="DejaVu Sans Mono" w:hAnsi="DejaVu Sans Mono" w:eastAsia="DejaVu Sans Mono" w:cs="DejaVu Sans Mono"/>
          <w:color w:val="202733"/>
          <w:sz w:val="14"/>
        </w:rPr>
        <w:t>CapabilityCall</w:t>
        <w:br/>
      </w:r>
      <w:r>
        <w:rPr>
          <w:rFonts w:ascii="DejaVu Sans Mono" w:hAnsi="DejaVu Sans Mono" w:eastAsia="DejaVu Sans Mono" w:cs="DejaVu Sans Mono"/>
          <w:color w:val="202733"/>
          <w:sz w:val="14"/>
        </w:rPr>
        <w:t>CommitEffect</w:t>
        <w:br/>
      </w:r>
      <w:r>
        <w:rPr>
          <w:rFonts w:ascii="DejaVu Sans Mono" w:hAnsi="DejaVu Sans Mono" w:eastAsia="DejaVu Sans Mono" w:cs="DejaVu Sans Mono"/>
          <w:color w:val="202733"/>
          <w:sz w:val="14"/>
        </w:rPr>
        <w:t>ProducesEvidence</w:t>
        <w:br/>
      </w:r>
      <w:r>
        <w:rPr>
          <w:rFonts w:ascii="DejaVu Sans Mono" w:hAnsi="DejaVu Sans Mono" w:eastAsia="DejaVu Sans Mono" w:cs="DejaVu Sans Mono"/>
          <w:color w:val="202733"/>
          <w:sz w:val="14"/>
        </w:rPr>
        <w:t>ConsumesResource</w:t>
        <w:br/>
      </w:r>
      <w:r>
        <w:rPr>
          <w:rFonts w:ascii="DejaVu Sans Mono" w:hAnsi="DejaVu Sans Mono" w:eastAsia="DejaVu Sans Mono" w:cs="DejaVu Sans Mono"/>
          <w:color w:val="202733"/>
          <w:sz w:val="14"/>
        </w:rPr>
        <w:t>DeterministicGivenJournal</w:t>
        <w:br/>
      </w:r>
      <w:r>
        <w:rPr>
          <w:rFonts w:ascii="DejaVu Sans Mono" w:hAnsi="DejaVu Sans Mono" w:eastAsia="DejaVu Sans Mono" w:cs="DejaVu Sans Mono"/>
          <w:color w:val="202733"/>
          <w:sz w:val="14"/>
        </w:rPr>
        <w:t>RedactionAware</w:t>
      </w:r>
    </w:p>
    <w:p>
      <w:r>
        <w:rPr>
          <w:rFonts w:ascii="Noto Serif" w:hAnsi="Noto Serif" w:eastAsia="Noto Serif" w:cs="Noto Serif"/>
          <w:b w:val="0"/>
          <w:i w:val="0"/>
          <w:color w:val="202733"/>
          <w:sz w:val="18"/>
        </w:rPr>
        <w:t>This follows MLIR's insight that generic analyses should query operation interfaces rather than hard-code every dialect operation.[27]</w:t>
      </w:r>
    </w:p>
    <w:p>
      <w:bookmarkStart w:id="107" w:name="sec_098"/>
      <w:pPr>
        <w:pStyle w:val="Heading3"/>
      </w:pPr>
      <w:r>
        <w:rPr>
          <w:rFonts w:ascii="Lato" w:hAnsi="Lato" w:eastAsia="Lato" w:cs="Lato"/>
          <w:b/>
          <w:i w:val="0"/>
          <w:color w:val="202733"/>
          <w:sz w:val="21"/>
        </w:rPr>
        <w:t>22.5 Outcomes</w:t>
      </w:r>
      <w:bookmarkEnd w:id="107"/>
    </w:p>
    <w:p>
      <w:r>
        <w:rPr>
          <w:rFonts w:ascii="Noto Serif" w:hAnsi="Noto Serif" w:eastAsia="Noto Serif" w:cs="Noto Serif"/>
          <w:b w:val="0"/>
          <w:i w:val="0"/>
          <w:color w:val="202733"/>
          <w:sz w:val="18"/>
        </w:rPr>
        <w:t>Closed outcome variants remain part of the core because they define the host boundary:</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Continue&lt;Handler, Input&gt;</w:t>
        <w:br/>
      </w:r>
      <w:r>
        <w:rPr>
          <w:rFonts w:ascii="DejaVu Sans Mono" w:hAnsi="DejaVu Sans Mono" w:eastAsia="DejaVu Sans Mono" w:cs="DejaVu Sans Mono"/>
          <w:color w:val="202733"/>
          <w:sz w:val="14"/>
        </w:rPr>
        <w:t>Present&lt;Page, Continuation&gt;</w:t>
        <w:br/>
      </w:r>
      <w:r>
        <w:rPr>
          <w:rFonts w:ascii="DejaVu Sans Mono" w:hAnsi="DejaVu Sans Mono" w:eastAsia="DejaVu Sans Mono" w:cs="DejaVu Sans Mono"/>
          <w:color w:val="202733"/>
          <w:sz w:val="14"/>
        </w:rPr>
        <w:t>Challenge&lt;Request, Continuation&gt;</w:t>
        <w:br/>
      </w:r>
      <w:r>
        <w:rPr>
          <w:rFonts w:ascii="DejaVu Sans Mono" w:hAnsi="DejaVu Sans Mono" w:eastAsia="DejaVu Sans Mono" w:cs="DejaVu Sans Mono"/>
          <w:color w:val="202733"/>
          <w:sz w:val="14"/>
        </w:rPr>
        <w:t>Commit&lt;EffectSequence&gt;</w:t>
        <w:br/>
      </w:r>
      <w:r>
        <w:rPr>
          <w:rFonts w:ascii="DejaVu Sans Mono" w:hAnsi="DejaVu Sans Mono" w:eastAsia="DejaVu Sans Mono" w:cs="DejaVu Sans Mono"/>
          <w:color w:val="202733"/>
          <w:sz w:val="14"/>
        </w:rPr>
        <w:t>Complete&lt;Value&gt;</w:t>
        <w:br/>
      </w:r>
      <w:r>
        <w:rPr>
          <w:rFonts w:ascii="DejaVu Sans Mono" w:hAnsi="DejaVu Sans Mono" w:eastAsia="DejaVu Sans Mono" w:cs="DejaVu Sans Mono"/>
          <w:color w:val="202733"/>
          <w:sz w:val="14"/>
        </w:rPr>
        <w:t>Deny&lt;Code&gt;</w:t>
        <w:br/>
      </w:r>
      <w:r>
        <w:rPr>
          <w:rFonts w:ascii="DejaVu Sans Mono" w:hAnsi="DejaVu Sans Mono" w:eastAsia="DejaVu Sans Mono" w:cs="DejaVu Sans Mono"/>
          <w:color w:val="202733"/>
          <w:sz w:val="14"/>
        </w:rPr>
        <w:t>Skip&lt;Code&gt;</w:t>
        <w:br/>
      </w:r>
      <w:r>
        <w:rPr>
          <w:rFonts w:ascii="DejaVu Sans Mono" w:hAnsi="DejaVu Sans Mono" w:eastAsia="DejaVu Sans Mono" w:cs="DejaVu Sans Mono"/>
          <w:color w:val="202733"/>
          <w:sz w:val="14"/>
        </w:rPr>
        <w:t>Error&lt;Diagnostic&gt;</w:t>
      </w:r>
    </w:p>
    <w:p>
      <w:bookmarkStart w:id="108" w:name="sec_099"/>
      <w:pPr>
        <w:pStyle w:val="Heading2"/>
      </w:pPr>
      <w:r>
        <w:rPr>
          <w:rFonts w:ascii="Lato" w:hAnsi="Lato" w:eastAsia="Lato" w:cs="Lato"/>
          <w:b/>
          <w:i w:val="0"/>
          <w:color w:val="17365D"/>
          <w:sz w:val="26"/>
        </w:rPr>
        <w:t>23. An illustrative MIR</w:t>
      </w:r>
      <w:bookmarkEnd w:id="108"/>
    </w:p>
    <w:p>
      <w:r>
        <w:rPr>
          <w:rFonts w:ascii="Noto Serif" w:hAnsi="Noto Serif" w:eastAsia="Noto Serif" w:cs="Noto Serif"/>
          <w:b w:val="0"/>
          <w:i w:val="0"/>
          <w:color w:val="202733"/>
          <w:sz w:val="18"/>
        </w:rPr>
        <w:t>The earlier signup example could lower to:</w:t>
      </w:r>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module @community.signup version 4</w:t>
        <w:br/>
      </w:r>
      <w:r>
        <w:rPr>
          <w:rFonts w:ascii="DejaVu Sans Mono" w:hAnsi="DejaVu Sans Mono" w:eastAsia="DejaVu Sans Mono" w:cs="DejaVu Sans Mono"/>
          <w:color w:val="202733"/>
          <w:sz w:val="14"/>
        </w:rPr>
        <w:t>world @tinyidp.policy version 2</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func @signup.entry(%input: !schema&lt;SignupStart&gt;)</w:t>
        <w:br/>
      </w:r>
      <w:r>
        <w:rPr>
          <w:rFonts w:ascii="DejaVu Sans Mono" w:hAnsi="DejaVu Sans Mono" w:eastAsia="DejaVu Sans Mono" w:cs="DejaVu Sans Mono"/>
          <w:color w:val="202733"/>
          <w:sz w:val="14"/>
        </w:rPr>
        <w:t xml:space="preserve">  effects [cap.invites.inspect, ui.present]</w:t>
        <w:br/>
      </w:r>
      <w:r>
        <w:rPr>
          <w:rFonts w:ascii="DejaVu Sans Mono" w:hAnsi="DejaVu Sans Mono" w:eastAsia="DejaVu Sans Mono" w:cs="DejaVu Sans Mono"/>
          <w:color w:val="202733"/>
          <w:sz w:val="14"/>
        </w:rPr>
        <w:t xml:space="preserve">  outcomes [present, deny, error]</w:t>
        <w:br/>
      </w:r>
      <w:r>
        <w:rPr>
          <w:rFonts w:ascii="DejaVu Sans Mono" w:hAnsi="DejaVu Sans Mono" w:eastAsia="DejaVu Sans Mono" w:cs="DejaVu Sans Mono"/>
          <w:color w:val="202733"/>
          <w:sz w:val="14"/>
        </w:rPr>
        <w:t>{</w:t>
        <w:br/>
      </w:r>
      <w:r>
        <w:rPr>
          <w:rFonts w:ascii="DejaVu Sans Mono" w:hAnsi="DejaVu Sans Mono" w:eastAsia="DejaVu Sans Mono" w:cs="DejaVu Sans Mono"/>
          <w:color w:val="202733"/>
          <w:sz w:val="14"/>
        </w:rPr>
        <w:t>^entry:</w:t>
        <w:br/>
      </w:r>
      <w:r>
        <w:rPr>
          <w:rFonts w:ascii="DejaVu Sans Mono" w:hAnsi="DejaVu Sans Mono" w:eastAsia="DejaVu Sans Mono" w:cs="DejaVu Sans Mono"/>
          <w:color w:val="202733"/>
          <w:sz w:val="14"/>
        </w:rPr>
        <w:t xml:space="preserve">  %code = schema.get %input["inviteCode"]</w:t>
        <w:br/>
      </w:r>
      <w:r>
        <w:rPr>
          <w:rFonts w:ascii="DejaVu Sans Mono" w:hAnsi="DejaVu Sans Mono" w:eastAsia="DejaVu Sans Mono" w:cs="DejaVu Sans Mono"/>
          <w:color w:val="202733"/>
          <w:sz w:val="14"/>
        </w:rPr>
        <w:t xml:space="preserve">  %invite = cap.call @invites.inspect(%code)</w:t>
        <w:br/>
      </w:r>
      <w:r>
        <w:rPr>
          <w:rFonts w:ascii="DejaVu Sans Mono" w:hAnsi="DejaVu Sans Mono" w:eastAsia="DejaVu Sans Mono" w:cs="DejaVu Sans Mono"/>
          <w:color w:val="202733"/>
          <w:sz w:val="14"/>
        </w:rPr>
        <w:t xml:space="preserve">  %ok = variant.is %invite, #valid</w:t>
        <w:br/>
      </w:r>
      <w:r>
        <w:rPr>
          <w:rFonts w:ascii="DejaVu Sans Mono" w:hAnsi="DejaVu Sans Mono" w:eastAsia="DejaVu Sans Mono" w:cs="DejaVu Sans Mono"/>
          <w:color w:val="202733"/>
          <w:sz w:val="14"/>
        </w:rPr>
        <w:t xml:space="preserve">  branch %ok ^show_form ^deny_invalid</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^show_form:</w:t>
        <w:br/>
      </w:r>
      <w:r>
        <w:rPr>
          <w:rFonts w:ascii="DejaVu Sans Mono" w:hAnsi="DejaVu Sans Mono" w:eastAsia="DejaVu Sans Mono" w:cs="DejaVu Sans Mono"/>
          <w:color w:val="202733"/>
          <w:sz w:val="14"/>
        </w:rPr>
        <w:t xml:space="preserve">  %email = variant.get %invite, #valid.email</w:t>
        <w:br/>
      </w:r>
      <w:r>
        <w:rPr>
          <w:rFonts w:ascii="DejaVu Sans Mono" w:hAnsi="DejaVu Sans Mono" w:eastAsia="DejaVu Sans Mono" w:cs="DejaVu Sans Mono"/>
          <w:color w:val="202733"/>
          <w:sz w:val="14"/>
        </w:rPr>
        <w:t xml:space="preserve">  %ref = variant.get %invite, #valid.ref</w:t>
        <w:br/>
      </w:r>
      <w:r>
        <w:rPr>
          <w:rFonts w:ascii="DejaVu Sans Mono" w:hAnsi="DejaVu Sans Mono" w:eastAsia="DejaVu Sans Mono" w:cs="DejaVu Sans Mono"/>
          <w:color w:val="202733"/>
          <w:sz w:val="14"/>
        </w:rPr>
        <w:t xml:space="preserve">  %page = ui.page @signup.form { email = %email }</w:t>
        <w:br/>
      </w:r>
      <w:r>
        <w:rPr>
          <w:rFonts w:ascii="DejaVu Sans Mono" w:hAnsi="DejaVu Sans Mono" w:eastAsia="DejaVu Sans Mono" w:cs="DejaVu Sans Mono"/>
          <w:color w:val="202733"/>
          <w:sz w:val="14"/>
        </w:rPr>
        <w:t xml:space="preserve">  suspend present %page</w:t>
        <w:br/>
      </w:r>
      <w:r>
        <w:rPr>
          <w:rFonts w:ascii="DejaVu Sans Mono" w:hAnsi="DejaVu Sans Mono" w:eastAsia="DejaVu Sans Mono" w:cs="DejaVu Sans Mono"/>
          <w:color w:val="202733"/>
          <w:sz w:val="14"/>
        </w:rPr>
        <w:t xml:space="preserve">    resume @signup.after_form</w:t>
        <w:br/>
      </w:r>
      <w:r>
        <w:rPr>
          <w:rFonts w:ascii="DejaVu Sans Mono" w:hAnsi="DejaVu Sans Mono" w:eastAsia="DejaVu Sans Mono" w:cs="DejaVu Sans Mono"/>
          <w:color w:val="202733"/>
          <w:sz w:val="14"/>
        </w:rPr>
        <w:t xml:space="preserve">    carry !schema&lt;AfterFormCarry&gt; { inviteRef = %ref }</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^deny_invalid:</w:t>
        <w:br/>
      </w:r>
      <w:r>
        <w:rPr>
          <w:rFonts w:ascii="DejaVu Sans Mono" w:hAnsi="DejaVu Sans Mono" w:eastAsia="DejaVu Sans Mono" w:cs="DejaVu Sans Mono"/>
          <w:color w:val="202733"/>
          <w:sz w:val="14"/>
        </w:rPr>
        <w:t xml:space="preserve">  return deny #invalid_invitation</w:t>
        <w:br/>
      </w:r>
      <w:r>
        <w:rPr>
          <w:rFonts w:ascii="DejaVu Sans Mono" w:hAnsi="DejaVu Sans Mono" w:eastAsia="DejaVu Sans Mono" w:cs="DejaVu Sans Mono"/>
          <w:color w:val="202733"/>
          <w:sz w:val="14"/>
        </w:rPr>
        <w:t>}</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func @signup.after_form(</w:t>
        <w:br/>
      </w:r>
      <w:r>
        <w:rPr>
          <w:rFonts w:ascii="DejaVu Sans Mono" w:hAnsi="DejaVu Sans Mono" w:eastAsia="DejaVu Sans Mono" w:cs="DejaVu Sans Mono"/>
          <w:color w:val="202733"/>
          <w:sz w:val="14"/>
        </w:rPr>
        <w:t xml:space="preserve">  %event: !schema&lt;SignupFormPost&gt;,</w:t>
        <w:br/>
      </w:r>
      <w:r>
        <w:rPr>
          <w:rFonts w:ascii="DejaVu Sans Mono" w:hAnsi="DejaVu Sans Mono" w:eastAsia="DejaVu Sans Mono" w:cs="DejaVu Sans Mono"/>
          <w:color w:val="202733"/>
          <w:sz w:val="14"/>
        </w:rPr>
        <w:t xml:space="preserve">  %carry: !schema&lt;AfterFormCarry&gt;</w:t>
        <w:br/>
      </w:r>
      <w:r>
        <w:rPr>
          <w:rFonts w:ascii="DejaVu Sans Mono" w:hAnsi="DejaVu Sans Mono" w:eastAsia="DejaVu Sans Mono" w:cs="DejaVu Sans Mono"/>
          <w:color w:val="202733"/>
          <w:sz w:val="14"/>
        </w:rPr>
        <w:t>) effects [challenge.email]</w:t>
        <w:br/>
      </w:r>
      <w:r>
        <w:rPr>
          <w:rFonts w:ascii="DejaVu Sans Mono" w:hAnsi="DejaVu Sans Mono" w:eastAsia="DejaVu Sans Mono" w:cs="DejaVu Sans Mono"/>
          <w:color w:val="202733"/>
          <w:sz w:val="14"/>
        </w:rPr>
        <w:t xml:space="preserve">  outcomes [challenge, deny, error]</w:t>
        <w:br/>
      </w:r>
      <w:r>
        <w:rPr>
          <w:rFonts w:ascii="DejaVu Sans Mono" w:hAnsi="DejaVu Sans Mono" w:eastAsia="DejaVu Sans Mono" w:cs="DejaVu Sans Mono"/>
          <w:color w:val="202733"/>
          <w:sz w:val="14"/>
        </w:rPr>
        <w:t>{</w:t>
        <w:br/>
      </w:r>
      <w:r>
        <w:rPr>
          <w:rFonts w:ascii="DejaVu Sans Mono" w:hAnsi="DejaVu Sans Mono" w:eastAsia="DejaVu Sans Mono" w:cs="DejaVu Sans Mono"/>
          <w:color w:val="202733"/>
          <w:sz w:val="14"/>
        </w:rPr>
        <w:t xml:space="preserve">  %email = schema.get %event["email"]</w:t>
        <w:br/>
      </w:r>
      <w:r>
        <w:rPr>
          <w:rFonts w:ascii="DejaVu Sans Mono" w:hAnsi="DejaVu Sans Mono" w:eastAsia="DejaVu Sans Mono" w:cs="DejaVu Sans Mono"/>
          <w:color w:val="202733"/>
          <w:sz w:val="14"/>
        </w:rPr>
        <w:t xml:space="preserve">  %challenge = challenge.start @email_code(%email)</w:t>
        <w:br/>
      </w:r>
      <w:r>
        <w:rPr>
          <w:rFonts w:ascii="DejaVu Sans Mono" w:hAnsi="DejaVu Sans Mono" w:eastAsia="DejaVu Sans Mono" w:cs="DejaVu Sans Mono"/>
          <w:color w:val="202733"/>
          <w:sz w:val="14"/>
        </w:rPr>
        <w:t xml:space="preserve">  suspend challenge %challenge</w:t>
        <w:br/>
      </w:r>
      <w:r>
        <w:rPr>
          <w:rFonts w:ascii="DejaVu Sans Mono" w:hAnsi="DejaVu Sans Mono" w:eastAsia="DejaVu Sans Mono" w:cs="DejaVu Sans Mono"/>
          <w:color w:val="202733"/>
          <w:sz w:val="14"/>
        </w:rPr>
        <w:t xml:space="preserve">    resume @signup.after_email</w:t>
        <w:br/>
      </w:r>
      <w:r>
        <w:rPr>
          <w:rFonts w:ascii="DejaVu Sans Mono" w:hAnsi="DejaVu Sans Mono" w:eastAsia="DejaVu Sans Mono" w:cs="DejaVu Sans Mono"/>
          <w:color w:val="202733"/>
          <w:sz w:val="14"/>
        </w:rPr>
        <w:t xml:space="preserve">    carry !schema&lt;AfterEmailCarry&gt; { email = %email,</w:t>
        <w:br/>
      </w:r>
      <w:r>
        <w:rPr>
          <w:rFonts w:ascii="DejaVu Sans Mono" w:hAnsi="DejaVu Sans Mono" w:eastAsia="DejaVu Sans Mono" w:cs="DejaVu Sans Mono"/>
          <w:color w:val="202733"/>
          <w:sz w:val="14"/>
        </w:rPr>
        <w:t xml:space="preserve">                                     inviteRef = %carry.inviteRef }</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This representation can be validated without executing JavaScript. It also gives the production interpreter a narrow set of terminators and effect operations.</w:t>
      </w:r>
    </w:p>
    <w:p>
      <w:bookmarkStart w:id="109" w:name="sec_100"/>
      <w:pPr>
        <w:pStyle w:val="Heading2"/>
      </w:pPr>
      <w:r>
        <w:rPr>
          <w:rFonts w:ascii="Lato" w:hAnsi="Lato" w:eastAsia="Lato" w:cs="Lato"/>
          <w:b/>
          <w:i w:val="0"/>
          <w:color w:val="17365D"/>
          <w:sz w:val="26"/>
        </w:rPr>
        <w:t>24. Reference interpreter and optimized backends</w:t>
      </w:r>
      <w:bookmarkEnd w:id="109"/>
    </w:p>
    <w:p>
      <w:bookmarkStart w:id="110" w:name="sec_101"/>
      <w:pPr>
        <w:pStyle w:val="Heading3"/>
      </w:pPr>
      <w:r>
        <w:rPr>
          <w:rFonts w:ascii="Lato" w:hAnsi="Lato" w:eastAsia="Lato" w:cs="Lato"/>
          <w:b/>
          <w:i w:val="0"/>
          <w:color w:val="202733"/>
          <w:sz w:val="21"/>
        </w:rPr>
        <w:t>24.1 Reference interpreter</w:t>
      </w:r>
      <w:bookmarkEnd w:id="110"/>
    </w:p>
    <w:p>
      <w:r>
        <w:rPr>
          <w:rFonts w:ascii="Noto Serif" w:hAnsi="Noto Serif" w:eastAsia="Noto Serif" w:cs="Noto Serif"/>
          <w:b w:val="0"/>
          <w:i w:val="0"/>
          <w:color w:val="202733"/>
          <w:sz w:val="18"/>
        </w:rPr>
        <w:t>The reference interpreter should be intentionally simple, deterministic, and unsuitable for high-throughput production if simplicity aids review. It executes MIR against an abstract host interface and produces an effect trace.</w:t>
      </w:r>
    </w:p>
    <w:p>
      <w:r>
        <w:rPr>
          <w:rFonts w:ascii="Noto Serif" w:hAnsi="Noto Serif" w:eastAsia="Noto Serif" w:cs="Noto Serif"/>
          <w:b w:val="0"/>
          <w:i w:val="0"/>
          <w:color w:val="202733"/>
          <w:sz w:val="18"/>
        </w:rPr>
        <w:t>Its purposes are:</w:t>
      </w:r>
    </w:p>
    <w:p>
      <w:pPr>
        <w:pStyle w:val="ListBullet"/>
      </w:pPr>
      <w:r>
        <w:rPr>
          <w:rFonts w:ascii="Noto Serif" w:hAnsi="Noto Serif" w:eastAsia="Noto Serif" w:cs="Noto Serif"/>
          <w:b w:val="0"/>
          <w:i w:val="0"/>
          <w:color w:val="202733"/>
          <w:sz w:val="18"/>
        </w:rPr>
        <w:t>executable semantics;</w:t>
      </w:r>
    </w:p>
    <w:p>
      <w:pPr>
        <w:pStyle w:val="ListBullet"/>
      </w:pPr>
      <w:r>
        <w:rPr>
          <w:rFonts w:ascii="Noto Serif" w:hAnsi="Noto Serif" w:eastAsia="Noto Serif" w:cs="Noto Serif"/>
          <w:b w:val="0"/>
          <w:i w:val="0"/>
          <w:color w:val="202733"/>
          <w:sz w:val="18"/>
        </w:rPr>
        <w:t>differential oracle for optimized backends;</w:t>
      </w:r>
    </w:p>
    <w:p>
      <w:pPr>
        <w:pStyle w:val="ListBullet"/>
      </w:pPr>
      <w:r>
        <w:rPr>
          <w:rFonts w:ascii="Noto Serif" w:hAnsi="Noto Serif" w:eastAsia="Noto Serif" w:cs="Noto Serif"/>
          <w:b w:val="0"/>
          <w:i w:val="0"/>
          <w:color w:val="202733"/>
          <w:sz w:val="18"/>
        </w:rPr>
        <w:t>model-checking integration;</w:t>
      </w:r>
    </w:p>
    <w:p>
      <w:pPr>
        <w:pStyle w:val="ListBullet"/>
      </w:pPr>
      <w:r>
        <w:rPr>
          <w:rFonts w:ascii="Noto Serif" w:hAnsi="Noto Serif" w:eastAsia="Noto Serif" w:cs="Noto Serif"/>
          <w:b w:val="0"/>
          <w:i w:val="0"/>
          <w:color w:val="202733"/>
          <w:sz w:val="18"/>
        </w:rPr>
        <w:t>deterministic tests;</w:t>
      </w:r>
    </w:p>
    <w:p>
      <w:pPr>
        <w:pStyle w:val="ListBullet"/>
      </w:pPr>
      <w:r>
        <w:rPr>
          <w:rFonts w:ascii="Noto Serif" w:hAnsi="Noto Serif" w:eastAsia="Noto Serif" w:cs="Noto Serif"/>
          <w:b w:val="0"/>
          <w:i w:val="0"/>
          <w:color w:val="202733"/>
          <w:sz w:val="18"/>
        </w:rPr>
        <w:t>formalization alignment;</w:t>
      </w:r>
    </w:p>
    <w:p>
      <w:pPr>
        <w:pStyle w:val="ListBullet"/>
      </w:pPr>
      <w:r>
        <w:rPr>
          <w:rFonts w:ascii="Noto Serif" w:hAnsi="Noto Serif" w:eastAsia="Noto Serif" w:cs="Noto Serif"/>
          <w:b w:val="0"/>
          <w:i w:val="0"/>
          <w:color w:val="202733"/>
          <w:sz w:val="18"/>
        </w:rPr>
        <w:t>artifact inspection and debugging.</w:t>
      </w:r>
    </w:p>
    <w:p>
      <w:bookmarkStart w:id="111" w:name="sec_102"/>
      <w:pPr>
        <w:pStyle w:val="Heading3"/>
      </w:pPr>
      <w:r>
        <w:rPr>
          <w:rFonts w:ascii="Lato" w:hAnsi="Lato" w:eastAsia="Lato" w:cs="Lato"/>
          <w:b/>
          <w:i w:val="0"/>
          <w:color w:val="202733"/>
          <w:sz w:val="21"/>
        </w:rPr>
        <w:t>24.2 Goja backend</w:t>
      </w:r>
      <w:bookmarkEnd w:id="111"/>
    </w:p>
    <w:p>
      <w:r>
        <w:rPr>
          <w:rFonts w:ascii="Noto Serif" w:hAnsi="Noto Serif" w:eastAsia="Noto Serif" w:cs="Noto Serif"/>
          <w:b w:val="0"/>
          <w:i w:val="0"/>
          <w:color w:val="202733"/>
          <w:sz w:val="18"/>
        </w:rPr>
        <w:t>Pure-compute regions can continue to execute in Goja. The compiler can either:</w:t>
      </w:r>
    </w:p>
    <w:p>
      <w:pPr>
        <w:pStyle w:val="ListBullet"/>
      </w:pPr>
      <w:r>
        <w:rPr>
          <w:rFonts w:ascii="Noto Serif" w:hAnsi="Noto Serif" w:eastAsia="Noto Serif" w:cs="Noto Serif"/>
          <w:b w:val="0"/>
          <w:i w:val="0"/>
          <w:color w:val="202733"/>
          <w:sz w:val="18"/>
        </w:rPr>
        <w:t>emit JavaScript functions for compute blocks and call them from the MIR interpreter;</w:t>
      </w:r>
    </w:p>
    <w:p>
      <w:pPr>
        <w:pStyle w:val="ListBullet"/>
      </w:pPr>
      <w:r>
        <w:rPr>
          <w:rFonts w:ascii="Noto Serif" w:hAnsi="Noto Serif" w:eastAsia="Noto Serif" w:cs="Noto Serif"/>
          <w:b w:val="0"/>
          <w:i w:val="0"/>
          <w:color w:val="202733"/>
          <w:sz w:val="18"/>
        </w:rPr>
        <w:t>preserve original callback bodies but surround effect/suspension boundaries with generated code;</w:t>
      </w:r>
    </w:p>
    <w:p>
      <w:pPr>
        <w:pStyle w:val="ListBullet"/>
      </w:pPr>
      <w:r>
        <w:rPr>
          <w:rFonts w:ascii="Noto Serif" w:hAnsi="Noto Serif" w:eastAsia="Noto Serif" w:cs="Noto Serif"/>
          <w:b w:val="0"/>
          <w:i w:val="0"/>
          <w:color w:val="202733"/>
          <w:sz w:val="18"/>
        </w:rPr>
        <w:t>lower the entire accepted subset to Goja AST/program objects.</w:t>
      </w:r>
    </w:p>
    <w:p>
      <w:r>
        <w:rPr>
          <w:rFonts w:ascii="Noto Serif" w:hAnsi="Noto Serif" w:eastAsia="Noto Serif" w:cs="Noto Serif"/>
          <w:b w:val="0"/>
          <w:i w:val="0"/>
          <w:color w:val="202733"/>
          <w:sz w:val="18"/>
        </w:rPr>
        <w:t>The backend must demonstrate trace equivalence with the MIR reference interpreter for accepted programs, modulo permitted implementation details.</w:t>
      </w:r>
    </w:p>
    <w:p>
      <w:bookmarkStart w:id="112" w:name="sec_103"/>
      <w:pPr>
        <w:pStyle w:val="Heading3"/>
      </w:pPr>
      <w:r>
        <w:rPr>
          <w:rFonts w:ascii="Lato" w:hAnsi="Lato" w:eastAsia="Lato" w:cs="Lato"/>
          <w:b/>
          <w:i w:val="0"/>
          <w:color w:val="202733"/>
          <w:sz w:val="21"/>
        </w:rPr>
        <w:t>24.3 Native Go backend</w:t>
      </w:r>
      <w:bookmarkEnd w:id="112"/>
    </w:p>
    <w:p>
      <w:r>
        <w:rPr>
          <w:rFonts w:ascii="Noto Serif" w:hAnsi="Noto Serif" w:eastAsia="Noto Serif" w:cs="Noto Serif"/>
          <w:b w:val="0"/>
          <w:i w:val="0"/>
          <w:color w:val="202733"/>
          <w:sz w:val="18"/>
        </w:rPr>
        <w:t>For hot paths or especially critical handlers, MIR can compile to generated Go. This does not change source-language semantics and allows comparison among three executions: reference MIR, Goja, and generated Go.</w:t>
      </w:r>
    </w:p>
    <w:p>
      <w:bookmarkStart w:id="113" w:name="sec_104"/>
      <w:pPr>
        <w:pStyle w:val="Heading3"/>
      </w:pPr>
      <w:r>
        <w:rPr>
          <w:rFonts w:ascii="Lato" w:hAnsi="Lato" w:eastAsia="Lato" w:cs="Lato"/>
          <w:b/>
          <w:i w:val="0"/>
          <w:color w:val="202733"/>
          <w:sz w:val="21"/>
        </w:rPr>
        <w:t>24.4 Analysis backends</w:t>
      </w:r>
      <w:bookmarkEnd w:id="113"/>
    </w:p>
    <w:p>
      <w:r>
        <w:rPr>
          <w:rFonts w:ascii="Noto Serif" w:hAnsi="Noto Serif" w:eastAsia="Noto Serif" w:cs="Noto Serif"/>
          <w:b w:val="0"/>
          <w:i w:val="0"/>
          <w:color w:val="202733"/>
          <w:sz w:val="18"/>
        </w:rPr>
        <w:t>The same artifact can feed:</w:t>
      </w:r>
    </w:p>
    <w:p>
      <w:pPr>
        <w:pStyle w:val="ListBullet"/>
      </w:pPr>
      <w:r>
        <w:rPr>
          <w:rFonts w:ascii="Noto Serif" w:hAnsi="Noto Serif" w:eastAsia="Noto Serif" w:cs="Noto Serif"/>
          <w:b w:val="0"/>
          <w:i w:val="0"/>
          <w:color w:val="202733"/>
          <w:sz w:val="18"/>
        </w:rPr>
        <w:t>graph visualizers;</w:t>
      </w:r>
    </w:p>
    <w:p>
      <w:pPr>
        <w:pStyle w:val="ListBullet"/>
      </w:pPr>
      <w:r>
        <w:rPr>
          <w:rFonts w:ascii="Noto Serif" w:hAnsi="Noto Serif" w:eastAsia="Noto Serif" w:cs="Noto Serif"/>
          <w:b w:val="0"/>
          <w:i w:val="0"/>
          <w:color w:val="202733"/>
          <w:sz w:val="18"/>
        </w:rPr>
        <w:t>reachability and liveness analyses;</w:t>
      </w:r>
    </w:p>
    <w:p>
      <w:pPr>
        <w:pStyle w:val="ListBullet"/>
      </w:pPr>
      <w:r>
        <w:rPr>
          <w:rFonts w:ascii="Noto Serif" w:hAnsi="Noto Serif" w:eastAsia="Noto Serif" w:cs="Noto Serif"/>
          <w:b w:val="0"/>
          <w:i w:val="0"/>
          <w:color w:val="202733"/>
          <w:sz w:val="18"/>
        </w:rPr>
        <w:t>SMT encodings for bounded properties;</w:t>
      </w:r>
    </w:p>
    <w:p>
      <w:pPr>
        <w:pStyle w:val="ListBullet"/>
      </w:pPr>
      <w:r>
        <w:rPr>
          <w:rFonts w:ascii="Noto Serif" w:hAnsi="Noto Serif" w:eastAsia="Noto Serif" w:cs="Noto Serif"/>
          <w:b w:val="0"/>
          <w:i w:val="0"/>
          <w:color w:val="202733"/>
          <w:sz w:val="18"/>
        </w:rPr>
        <w:t>schema and API documentation;</w:t>
      </w:r>
    </w:p>
    <w:p>
      <w:pPr>
        <w:pStyle w:val="ListBullet"/>
      </w:pPr>
      <w:r>
        <w:rPr>
          <w:rFonts w:ascii="Noto Serif" w:hAnsi="Noto Serif" w:eastAsia="Noto Serif" w:cs="Noto Serif"/>
          <w:b w:val="0"/>
          <w:i w:val="0"/>
          <w:color w:val="202733"/>
          <w:sz w:val="18"/>
        </w:rPr>
        <w:t>test-case generators;</w:t>
      </w:r>
    </w:p>
    <w:p>
      <w:pPr>
        <w:pStyle w:val="ListBullet"/>
      </w:pPr>
      <w:r>
        <w:rPr>
          <w:rFonts w:ascii="Noto Serif" w:hAnsi="Noto Serif" w:eastAsia="Noto Serif" w:cs="Noto Serif"/>
          <w:b w:val="0"/>
          <w:i w:val="0"/>
          <w:color w:val="202733"/>
          <w:sz w:val="18"/>
        </w:rPr>
        <w:t>effect and capability inventories;</w:t>
      </w:r>
    </w:p>
    <w:p>
      <w:pPr>
        <w:pStyle w:val="ListBullet"/>
      </w:pPr>
      <w:r>
        <w:rPr>
          <w:rFonts w:ascii="Noto Serif" w:hAnsi="Noto Serif" w:eastAsia="Noto Serif" w:cs="Noto Serif"/>
          <w:b w:val="0"/>
          <w:i w:val="0"/>
          <w:color w:val="202733"/>
          <w:sz w:val="18"/>
        </w:rPr>
        <w:t>upgrade compatibility checkers.</w:t>
      </w:r>
    </w:p>
    <w:p>
      <w:bookmarkStart w:id="114" w:name="sec_105"/>
      <w:pPr>
        <w:pStyle w:val="Heading2"/>
      </w:pPr>
      <w:r>
        <w:rPr>
          <w:rFonts w:ascii="Lato" w:hAnsi="Lato" w:eastAsia="Lato" w:cs="Lato"/>
          <w:b/>
          <w:i w:val="0"/>
          <w:color w:val="17365D"/>
          <w:sz w:val="26"/>
        </w:rPr>
        <w:t>25. Proof-carrying activation artifacts</w:t>
      </w:r>
      <w:bookmarkEnd w:id="114"/>
    </w:p>
    <w:p>
      <w:r>
        <w:rPr>
          <w:rFonts w:ascii="Noto Serif" w:hAnsi="Noto Serif" w:eastAsia="Noto Serif" w:cs="Noto Serif"/>
          <w:b w:val="0"/>
          <w:i w:val="0"/>
          <w:color w:val="202733"/>
          <w:sz w:val="18"/>
        </w:rPr>
        <w:t>A compiled package should include an activation certificate:</w:t>
      </w:r>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Certificate {</w:t>
        <w:br/>
      </w:r>
      <w:r>
        <w:rPr>
          <w:rFonts w:ascii="DejaVu Sans Mono" w:hAnsi="DejaVu Sans Mono" w:eastAsia="DejaVu Sans Mono" w:cs="DejaVu Sans Mono"/>
          <w:color w:val="202733"/>
          <w:sz w:val="14"/>
        </w:rPr>
        <w:t xml:space="preserve">  source_hash</w:t>
        <w:br/>
      </w:r>
      <w:r>
        <w:rPr>
          <w:rFonts w:ascii="DejaVu Sans Mono" w:hAnsi="DejaVu Sans Mono" w:eastAsia="DejaVu Sans Mono" w:cs="DejaVu Sans Mono"/>
          <w:color w:val="202733"/>
          <w:sz w:val="14"/>
        </w:rPr>
        <w:t xml:space="preserve">  frontend_name_and_version</w:t>
        <w:br/>
      </w:r>
      <w:r>
        <w:rPr>
          <w:rFonts w:ascii="DejaVu Sans Mono" w:hAnsi="DejaVu Sans Mono" w:eastAsia="DejaVu Sans Mono" w:cs="DejaVu Sans Mono"/>
          <w:color w:val="202733"/>
          <w:sz w:val="14"/>
        </w:rPr>
        <w:t xml:space="preserve">  language_profile</w:t>
        <w:br/>
      </w:r>
      <w:r>
        <w:rPr>
          <w:rFonts w:ascii="DejaVu Sans Mono" w:hAnsi="DejaVu Sans Mono" w:eastAsia="DejaVu Sans Mono" w:cs="DejaVu Sans Mono"/>
          <w:color w:val="202733"/>
          <w:sz w:val="14"/>
        </w:rPr>
        <w:t xml:space="preserve">  world_id_and_version</w:t>
        <w:br/>
      </w:r>
      <w:r>
        <w:rPr>
          <w:rFonts w:ascii="DejaVu Sans Mono" w:hAnsi="DejaVu Sans Mono" w:eastAsia="DejaVu Sans Mono" w:cs="DejaVu Sans Mono"/>
          <w:color w:val="202733"/>
          <w:sz w:val="14"/>
        </w:rPr>
        <w:t xml:space="preserve">  dialect_ids_and_versions</w:t>
        <w:br/>
      </w:r>
      <w:r>
        <w:rPr>
          <w:rFonts w:ascii="DejaVu Sans Mono" w:hAnsi="DejaVu Sans Mono" w:eastAsia="DejaVu Sans Mono" w:cs="DejaVu Sans Mono"/>
          <w:color w:val="202733"/>
          <w:sz w:val="14"/>
        </w:rPr>
        <w:t xml:space="preserve">  pass_pipeline_hash</w:t>
        <w:br/>
      </w:r>
      <w:r>
        <w:rPr>
          <w:rFonts w:ascii="DejaVu Sans Mono" w:hAnsi="DejaVu Sans Mono" w:eastAsia="DejaVu Sans Mono" w:cs="DejaVu Sans Mono"/>
          <w:color w:val="202733"/>
          <w:sz w:val="14"/>
        </w:rPr>
        <w:t xml:space="preserve">  canonical_mir_hash</w:t>
        <w:br/>
      </w:r>
      <w:r>
        <w:rPr>
          <w:rFonts w:ascii="DejaVu Sans Mono" w:hAnsi="DejaVu Sans Mono" w:eastAsia="DejaVu Sans Mono" w:cs="DejaVu Sans Mono"/>
          <w:color w:val="202733"/>
          <w:sz w:val="14"/>
        </w:rPr>
        <w:t xml:space="preserve">  callback_and_handler_ids</w:t>
        <w:br/>
      </w:r>
      <w:r>
        <w:rPr>
          <w:rFonts w:ascii="DejaVu Sans Mono" w:hAnsi="DejaVu Sans Mono" w:eastAsia="DejaVu Sans Mono" w:cs="DejaVu Sans Mono"/>
          <w:color w:val="202733"/>
          <w:sz w:val="14"/>
        </w:rPr>
        <w:t xml:space="preserve">  inferred_capabilities</w:t>
        <w:br/>
      </w:r>
      <w:r>
        <w:rPr>
          <w:rFonts w:ascii="DejaVu Sans Mono" w:hAnsi="DejaVu Sans Mono" w:eastAsia="DejaVu Sans Mono" w:cs="DejaVu Sans Mono"/>
          <w:color w:val="202733"/>
          <w:sz w:val="14"/>
        </w:rPr>
        <w:t xml:space="preserve">  inferred_effects</w:t>
        <w:br/>
      </w:r>
      <w:r>
        <w:rPr>
          <w:rFonts w:ascii="DejaVu Sans Mono" w:hAnsi="DejaVu Sans Mono" w:eastAsia="DejaVu Sans Mono" w:cs="DejaVu Sans Mono"/>
          <w:color w:val="202733"/>
          <w:sz w:val="14"/>
        </w:rPr>
        <w:t xml:space="preserve">  continuation_schema_hashes</w:t>
        <w:br/>
      </w:r>
      <w:r>
        <w:rPr>
          <w:rFonts w:ascii="DejaVu Sans Mono" w:hAnsi="DejaVu Sans Mono" w:eastAsia="DejaVu Sans Mono" w:cs="DejaVu Sans Mono"/>
          <w:color w:val="202733"/>
          <w:sz w:val="14"/>
        </w:rPr>
        <w:t xml:space="preserve">  resource_policy</w:t>
        <w:br/>
      </w:r>
      <w:r>
        <w:rPr>
          <w:rFonts w:ascii="DejaVu Sans Mono" w:hAnsi="DejaVu Sans Mono" w:eastAsia="DejaVu Sans Mono" w:cs="DejaVu Sans Mono"/>
          <w:color w:val="202733"/>
          <w:sz w:val="14"/>
        </w:rPr>
        <w:t xml:space="preserve">  verifier_results</w:t>
        <w:br/>
      </w:r>
      <w:r>
        <w:rPr>
          <w:rFonts w:ascii="DejaVu Sans Mono" w:hAnsi="DejaVu Sans Mono" w:eastAsia="DejaVu Sans Mono" w:cs="DejaVu Sans Mono"/>
          <w:color w:val="202733"/>
          <w:sz w:val="14"/>
        </w:rPr>
        <w:t xml:space="preserve">  test_and_differential_results</w:t>
        <w:br/>
      </w:r>
      <w:r>
        <w:rPr>
          <w:rFonts w:ascii="DejaVu Sans Mono" w:hAnsi="DejaVu Sans Mono" w:eastAsia="DejaVu Sans Mono" w:cs="DejaVu Sans Mono"/>
          <w:color w:val="202733"/>
          <w:sz w:val="14"/>
        </w:rPr>
        <w:t xml:space="preserve">  signature</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The production runtime does not trust prose claims. It verifies hashes, signatures, world compatibility, dialect availability, and certificate predicates before loading code.</w:t>
      </w:r>
    </w:p>
    <w:p>
      <w:bookmarkStart w:id="115" w:name="sec_106"/>
      <w:pPr>
        <w:pStyle w:val="Heading3"/>
      </w:pPr>
      <w:r>
        <w:rPr>
          <w:rFonts w:ascii="Lato" w:hAnsi="Lato" w:eastAsia="Lato" w:cs="Lato"/>
          <w:b/>
          <w:i w:val="0"/>
          <w:color w:val="202733"/>
          <w:sz w:val="21"/>
        </w:rPr>
        <w:t>25.1 Certificates are not proofs by themselves</w:t>
      </w:r>
      <w:bookmarkEnd w:id="115"/>
    </w:p>
    <w:p>
      <w:r>
        <w:rPr>
          <w:rFonts w:ascii="Noto Serif" w:hAnsi="Noto Serif" w:eastAsia="Noto Serif" w:cs="Noto Serif"/>
          <w:b w:val="0"/>
          <w:i w:val="0"/>
          <w:color w:val="202733"/>
          <w:sz w:val="18"/>
        </w:rPr>
        <w:t>A certificate is useful only if its checker is small and trustworthy. Some fields are attestations that a tool ran; others can contain machine-checkable witnesses. The long-term goal is to minimize the trusted checker and make critical claims independently reproducible.</w:t>
      </w:r>
    </w:p>
    <w:p>
      <w:bookmarkStart w:id="116" w:name="sec_107"/>
      <w:pPr>
        <w:pStyle w:val="Heading3"/>
      </w:pPr>
      <w:r>
        <w:rPr>
          <w:rFonts w:ascii="Lato" w:hAnsi="Lato" w:eastAsia="Lato" w:cs="Lato"/>
          <w:b/>
          <w:i w:val="0"/>
          <w:color w:val="202733"/>
          <w:sz w:val="21"/>
        </w:rPr>
        <w:t>25.2 Activation identity</w:t>
      </w:r>
      <w:bookmarkEnd w:id="116"/>
    </w:p>
    <w:p>
      <w:r>
        <w:rPr>
          <w:rFonts w:ascii="Noto Serif" w:hAnsi="Noto Serif" w:eastAsia="Noto Serif" w:cs="Noto Serif"/>
          <w:b w:val="0"/>
          <w:i w:val="0"/>
          <w:color w:val="202733"/>
          <w:sz w:val="18"/>
        </w:rPr>
        <w:t>Tiny-IDP currently fingerprints source, canonical program, callback registry, and schemas. MIR adds semantic identities: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source identity      - exact author text</w:t>
        <w:br/>
      </w:r>
      <w:r>
        <w:rPr>
          <w:rFonts w:ascii="DejaVu Sans Mono" w:hAnsi="DejaVu Sans Mono" w:eastAsia="DejaVu Sans Mono" w:cs="DejaVu Sans Mono"/>
          <w:color w:val="202733"/>
          <w:sz w:val="14"/>
        </w:rPr>
        <w:t>frontend identity    - parser/profile/transform versions</w:t>
        <w:br/>
      </w:r>
      <w:r>
        <w:rPr>
          <w:rFonts w:ascii="DejaVu Sans Mono" w:hAnsi="DejaVu Sans Mono" w:eastAsia="DejaVu Sans Mono" w:cs="DejaVu Sans Mono"/>
          <w:color w:val="202733"/>
          <w:sz w:val="14"/>
        </w:rPr>
        <w:t>semantic identity    - canonical MIR</w:t>
        <w:br/>
      </w:r>
      <w:r>
        <w:rPr>
          <w:rFonts w:ascii="DejaVu Sans Mono" w:hAnsi="DejaVu Sans Mono" w:eastAsia="DejaVu Sans Mono" w:cs="DejaVu Sans Mono"/>
          <w:color w:val="202733"/>
          <w:sz w:val="14"/>
        </w:rPr>
        <w:t>world identity       - allowed imports and policy</w:t>
        <w:br/>
      </w:r>
      <w:r>
        <w:rPr>
          <w:rFonts w:ascii="DejaVu Sans Mono" w:hAnsi="DejaVu Sans Mono" w:eastAsia="DejaVu Sans Mono" w:cs="DejaVu Sans Mono"/>
          <w:color w:val="202733"/>
          <w:sz w:val="14"/>
        </w:rPr>
        <w:t>continuation identity- handler and carry schema versions</w:t>
        <w:br/>
      </w:r>
      <w:r>
        <w:rPr>
          <w:rFonts w:ascii="DejaVu Sans Mono" w:hAnsi="DejaVu Sans Mono" w:eastAsia="DejaVu Sans Mono" w:cs="DejaVu Sans Mono"/>
          <w:color w:val="202733"/>
          <w:sz w:val="14"/>
        </w:rPr>
        <w:t>backend identity     - Goja or native code generation version</w:t>
      </w:r>
    </w:p>
    <w:p>
      <w:r>
        <w:rPr>
          <w:rFonts w:ascii="Noto Serif" w:hAnsi="Noto Serif" w:eastAsia="Noto Serif" w:cs="Noto Serif"/>
          <w:b w:val="0"/>
          <w:i w:val="0"/>
          <w:color w:val="202733"/>
          <w:sz w:val="18"/>
        </w:rPr>
        <w:t>A continuation should bind primarily to semantic and continuation identity, while source/backend identities remain available for audit and compatibility policy.</w:t>
      </w:r>
    </w:p>
    <w:p>
      <w:bookmarkStart w:id="117" w:name="sec_108"/>
      <w:pPr>
        <w:pStyle w:val="Heading2"/>
      </w:pPr>
      <w:r>
        <w:rPr>
          <w:rFonts w:ascii="Lato" w:hAnsi="Lato" w:eastAsia="Lato" w:cs="Lato"/>
          <w:b/>
          <w:i w:val="0"/>
          <w:color w:val="17365D"/>
          <w:sz w:val="26"/>
        </w:rPr>
        <w:t>26. Formal verification strategy</w:t>
      </w:r>
      <w:bookmarkEnd w:id="117"/>
    </w:p>
    <w:p>
      <w:bookmarkStart w:id="118" w:name="sec_109"/>
      <w:pPr>
        <w:pStyle w:val="Heading3"/>
      </w:pPr>
      <w:r>
        <w:rPr>
          <w:rFonts w:ascii="Lato" w:hAnsi="Lato" w:eastAsia="Lato" w:cs="Lato"/>
          <w:b/>
          <w:i w:val="0"/>
          <w:color w:val="202733"/>
          <w:sz w:val="21"/>
        </w:rPr>
        <w:t>26.1 What to formalize first</w:t>
      </w:r>
      <w:bookmarkEnd w:id="118"/>
    </w:p>
    <w:p>
      <w:r>
        <w:rPr>
          <w:rFonts w:ascii="Noto Serif" w:hAnsi="Noto Serif" w:eastAsia="Noto Serif" w:cs="Noto Serif"/>
          <w:b w:val="0"/>
          <w:i w:val="0"/>
          <w:color w:val="202733"/>
          <w:sz w:val="18"/>
        </w:rPr>
        <w:t>A practical formal core should cover:</w:t>
      </w:r>
    </w:p>
    <w:p>
      <w:pPr>
        <w:pStyle w:val="ListBullet"/>
      </w:pPr>
      <w:r>
        <w:rPr>
          <w:rFonts w:ascii="Noto Serif" w:hAnsi="Noto Serif" w:eastAsia="Noto Serif" w:cs="Noto Serif"/>
          <w:b w:val="0"/>
          <w:i w:val="0"/>
          <w:color w:val="202733"/>
          <w:sz w:val="18"/>
        </w:rPr>
        <w:t>value and resource types;</w:t>
      </w:r>
    </w:p>
    <w:p>
      <w:pPr>
        <w:pStyle w:val="ListBullet"/>
      </w:pPr>
      <w:r>
        <w:rPr>
          <w:rFonts w:ascii="Noto Serif" w:hAnsi="Noto Serif" w:eastAsia="Noto Serif" w:cs="Noto Serif"/>
          <w:b w:val="0"/>
          <w:i w:val="0"/>
          <w:color w:val="202733"/>
          <w:sz w:val="18"/>
        </w:rPr>
        <w:t>region/lifetime rules;</w:t>
      </w:r>
    </w:p>
    <w:p>
      <w:pPr>
        <w:pStyle w:val="ListBullet"/>
      </w:pPr>
      <w:r>
        <w:rPr>
          <w:rFonts w:ascii="Noto Serif" w:hAnsi="Noto Serif" w:eastAsia="Noto Serif" w:cs="Noto Serif"/>
          <w:b w:val="0"/>
          <w:i w:val="0"/>
          <w:color w:val="202733"/>
          <w:sz w:val="18"/>
        </w:rPr>
        <w:t>block and terminator semantics;</w:t>
      </w:r>
    </w:p>
    <w:p>
      <w:pPr>
        <w:pStyle w:val="ListBullet"/>
      </w:pPr>
      <w:r>
        <w:rPr>
          <w:rFonts w:ascii="Noto Serif" w:hAnsi="Noto Serif" w:eastAsia="Noto Serif" w:cs="Noto Serif"/>
          <w:b w:val="0"/>
          <w:i w:val="0"/>
          <w:color w:val="202733"/>
          <w:sz w:val="18"/>
        </w:rPr>
        <w:t>effect traces;</w:t>
      </w:r>
    </w:p>
    <w:p>
      <w:pPr>
        <w:pStyle w:val="ListBullet"/>
      </w:pPr>
      <w:r>
        <w:rPr>
          <w:rFonts w:ascii="Noto Serif" w:hAnsi="Noto Serif" w:eastAsia="Noto Serif" w:cs="Noto Serif"/>
          <w:b w:val="0"/>
          <w:i w:val="0"/>
          <w:color w:val="202733"/>
          <w:sz w:val="18"/>
        </w:rPr>
        <w:t>suspension and resumption;</w:t>
      </w:r>
    </w:p>
    <w:p>
      <w:pPr>
        <w:pStyle w:val="ListBullet"/>
      </w:pPr>
      <w:r>
        <w:rPr>
          <w:rFonts w:ascii="Noto Serif" w:hAnsi="Noto Serif" w:eastAsia="Noto Serif" w:cs="Noto Serif"/>
          <w:b w:val="0"/>
          <w:i w:val="0"/>
          <w:color w:val="202733"/>
          <w:sz w:val="18"/>
        </w:rPr>
        <w:t>closed outcomes;</w:t>
      </w:r>
    </w:p>
    <w:p>
      <w:pPr>
        <w:pStyle w:val="ListBullet"/>
      </w:pPr>
      <w:r>
        <w:rPr>
          <w:rFonts w:ascii="Noto Serif" w:hAnsi="Noto Serif" w:eastAsia="Noto Serif" w:cs="Noto Serif"/>
          <w:b w:val="0"/>
          <w:i w:val="0"/>
          <w:color w:val="202733"/>
          <w:sz w:val="18"/>
        </w:rPr>
        <w:t>verifier judgments;</w:t>
      </w:r>
    </w:p>
    <w:p>
      <w:pPr>
        <w:pStyle w:val="ListBullet"/>
      </w:pPr>
      <w:r>
        <w:rPr>
          <w:rFonts w:ascii="Noto Serif" w:hAnsi="Noto Serif" w:eastAsia="Noto Serif" w:cs="Noto Serif"/>
          <w:b w:val="0"/>
          <w:i w:val="0"/>
          <w:color w:val="202733"/>
          <w:sz w:val="18"/>
        </w:rPr>
        <w:t>world import satisfaction;</w:t>
      </w:r>
    </w:p>
    <w:p>
      <w:pPr>
        <w:pStyle w:val="ListBullet"/>
      </w:pPr>
      <w:r>
        <w:rPr>
          <w:rFonts w:ascii="Noto Serif" w:hAnsi="Noto Serif" w:eastAsia="Noto Serif" w:cs="Noto Serif"/>
          <w:b w:val="0"/>
          <w:i w:val="0"/>
          <w:color w:val="202733"/>
          <w:sz w:val="18"/>
        </w:rPr>
        <w:t>continuation carry serialization.</w:t>
      </w:r>
    </w:p>
    <w:p>
      <w:bookmarkStart w:id="119" w:name="sec_110"/>
      <w:pPr>
        <w:pStyle w:val="Heading3"/>
      </w:pPr>
      <w:r>
        <w:rPr>
          <w:rFonts w:ascii="Lato" w:hAnsi="Lato" w:eastAsia="Lato" w:cs="Lato"/>
          <w:b/>
          <w:i w:val="0"/>
          <w:color w:val="202733"/>
          <w:sz w:val="21"/>
        </w:rPr>
        <w:t>26.2 Candidate theorems</w:t>
      </w:r>
      <w:bookmarkEnd w:id="119"/>
    </w:p>
    <w:p>
      <w:pPr>
        <w:spacing w:after="30"/>
        <w:ind w:left="432" w:hanging="317"/>
      </w:pPr>
      <w:r>
        <w:rPr>
          <w:rFonts w:ascii="Noto Serif" w:hAnsi="Noto Serif" w:eastAsia="Noto Serif" w:cs="Noto Serif"/>
          <w:color w:val="202733"/>
          <w:sz w:val="18"/>
        </w:rPr>
        <w:t xml:space="preserve">1. </w:t>
      </w:r>
      <w:r>
        <w:rPr>
          <w:rFonts w:ascii="Noto Serif" w:hAnsi="Noto Serif" w:eastAsia="Noto Serif" w:cs="Noto Serif"/>
          <w:b w:val="0"/>
          <w:i w:val="0"/>
          <w:color w:val="202733"/>
          <w:sz w:val="18"/>
        </w:rPr>
      </w:r>
      <w:r>
        <w:rPr>
          <w:rFonts w:ascii="Noto Serif" w:hAnsi="Noto Serif" w:eastAsia="Noto Serif" w:cs="Noto Serif"/>
          <w:b/>
          <w:i w:val="0"/>
          <w:color w:val="202733"/>
          <w:sz w:val="18"/>
        </w:rPr>
        <w:t>Region safety:</w:t>
      </w:r>
      <w:r>
        <w:rPr>
          <w:rFonts w:ascii="Noto Serif" w:hAnsi="Noto Serif" w:eastAsia="Noto Serif" w:cs="Noto Serif"/>
          <w:b w:val="0"/>
          <w:i w:val="0"/>
          <w:color w:val="202733"/>
          <w:sz w:val="18"/>
        </w:rPr>
        <w:t xml:space="preserve"> a well-verified program cannot place invocation or secret resources in continuation carry or ordinary output.</w:t>
      </w:r>
    </w:p>
    <w:p>
      <w:pPr>
        <w:spacing w:after="30"/>
        <w:ind w:left="432" w:hanging="317"/>
      </w:pPr>
      <w:r>
        <w:rPr>
          <w:rFonts w:ascii="Noto Serif" w:hAnsi="Noto Serif" w:eastAsia="Noto Serif" w:cs="Noto Serif"/>
          <w:color w:val="202733"/>
          <w:sz w:val="18"/>
        </w:rPr>
        <w:t xml:space="preserve">2. </w:t>
      </w:r>
      <w:r>
        <w:rPr>
          <w:rFonts w:ascii="Noto Serif" w:hAnsi="Noto Serif" w:eastAsia="Noto Serif" w:cs="Noto Serif"/>
          <w:b w:val="0"/>
          <w:i w:val="0"/>
          <w:color w:val="202733"/>
          <w:sz w:val="18"/>
        </w:rPr>
      </w:r>
      <w:r>
        <w:rPr>
          <w:rFonts w:ascii="Noto Serif" w:hAnsi="Noto Serif" w:eastAsia="Noto Serif" w:cs="Noto Serif"/>
          <w:b/>
          <w:i w:val="0"/>
          <w:color w:val="202733"/>
          <w:sz w:val="18"/>
        </w:rPr>
        <w:t>Capability confinement:</w:t>
      </w:r>
      <w:r>
        <w:rPr>
          <w:rFonts w:ascii="Noto Serif" w:hAnsi="Noto Serif" w:eastAsia="Noto Serif" w:cs="Noto Serif"/>
          <w:b w:val="0"/>
          <w:i w:val="0"/>
          <w:color w:val="202733"/>
          <w:sz w:val="18"/>
        </w:rPr>
        <w:t xml:space="preserve"> every emitted capability effect belongs to the function's inferred effect row and the selected world's imports.</w:t>
      </w:r>
    </w:p>
    <w:p>
      <w:pPr>
        <w:spacing w:after="30"/>
        <w:ind w:left="432" w:hanging="317"/>
      </w:pPr>
      <w:r>
        <w:rPr>
          <w:rFonts w:ascii="Noto Serif" w:hAnsi="Noto Serif" w:eastAsia="Noto Serif" w:cs="Noto Serif"/>
          <w:color w:val="202733"/>
          <w:sz w:val="18"/>
        </w:rPr>
        <w:t xml:space="preserve">3. </w:t>
      </w:r>
      <w:r>
        <w:rPr>
          <w:rFonts w:ascii="Noto Serif" w:hAnsi="Noto Serif" w:eastAsia="Noto Serif" w:cs="Noto Serif"/>
          <w:b w:val="0"/>
          <w:i w:val="0"/>
          <w:color w:val="202733"/>
          <w:sz w:val="18"/>
        </w:rPr>
      </w:r>
      <w:r>
        <w:rPr>
          <w:rFonts w:ascii="Noto Serif" w:hAnsi="Noto Serif" w:eastAsia="Noto Serif" w:cs="Noto Serif"/>
          <w:b/>
          <w:i w:val="0"/>
          <w:color w:val="202733"/>
          <w:sz w:val="18"/>
        </w:rPr>
        <w:t>Outcome closure:</w:t>
      </w:r>
      <w:r>
        <w:rPr>
          <w:rFonts w:ascii="Noto Serif" w:hAnsi="Noto Serif" w:eastAsia="Noto Serif" w:cs="Noto Serif"/>
          <w:b w:val="0"/>
          <w:i w:val="0"/>
          <w:color w:val="202733"/>
          <w:sz w:val="18"/>
        </w:rPr>
        <w:t xml:space="preserve"> execution of a well-verified function terminates at a declared core outcome or resource error, not an untyped host return.</w:t>
      </w:r>
    </w:p>
    <w:p>
      <w:pPr>
        <w:spacing w:after="30"/>
        <w:ind w:left="432" w:hanging="317"/>
      </w:pPr>
      <w:r>
        <w:rPr>
          <w:rFonts w:ascii="Noto Serif" w:hAnsi="Noto Serif" w:eastAsia="Noto Serif" w:cs="Noto Serif"/>
          <w:color w:val="202733"/>
          <w:sz w:val="18"/>
        </w:rPr>
        <w:t xml:space="preserve">4. </w:t>
      </w:r>
      <w:r>
        <w:rPr>
          <w:rFonts w:ascii="Noto Serif" w:hAnsi="Noto Serif" w:eastAsia="Noto Serif" w:cs="Noto Serif"/>
          <w:b w:val="0"/>
          <w:i w:val="0"/>
          <w:color w:val="202733"/>
          <w:sz w:val="18"/>
        </w:rPr>
      </w:r>
      <w:r>
        <w:rPr>
          <w:rFonts w:ascii="Noto Serif" w:hAnsi="Noto Serif" w:eastAsia="Noto Serif" w:cs="Noto Serif"/>
          <w:b/>
          <w:i w:val="0"/>
          <w:color w:val="202733"/>
          <w:sz w:val="18"/>
        </w:rPr>
        <w:t>Continuation type preservation:</w:t>
      </w:r>
      <w:r>
        <w:rPr>
          <w:rFonts w:ascii="Noto Serif" w:hAnsi="Noto Serif" w:eastAsia="Noto Serif" w:cs="Noto Serif"/>
          <w:b w:val="0"/>
          <w:i w:val="0"/>
          <w:color w:val="202733"/>
          <w:sz w:val="18"/>
        </w:rPr>
        <w:t xml:space="preserve"> resuming a valid continuation under the same semantic generation supplies values matching the destination block types.</w:t>
      </w:r>
    </w:p>
    <w:p>
      <w:pPr>
        <w:spacing w:after="30"/>
        <w:ind w:left="432" w:hanging="317"/>
      </w:pPr>
      <w:r>
        <w:rPr>
          <w:rFonts w:ascii="Noto Serif" w:hAnsi="Noto Serif" w:eastAsia="Noto Serif" w:cs="Noto Serif"/>
          <w:color w:val="202733"/>
          <w:sz w:val="18"/>
        </w:rPr>
        <w:t xml:space="preserve">5. </w:t>
      </w:r>
      <w:r>
        <w:rPr>
          <w:rFonts w:ascii="Noto Serif" w:hAnsi="Noto Serif" w:eastAsia="Noto Serif" w:cs="Noto Serif"/>
          <w:b w:val="0"/>
          <w:i w:val="0"/>
          <w:color w:val="202733"/>
          <w:sz w:val="18"/>
        </w:rPr>
      </w:r>
      <w:r>
        <w:rPr>
          <w:rFonts w:ascii="Noto Serif" w:hAnsi="Noto Serif" w:eastAsia="Noto Serif" w:cs="Noto Serif"/>
          <w:b/>
          <w:i w:val="0"/>
          <w:color w:val="202733"/>
          <w:sz w:val="18"/>
        </w:rPr>
        <w:t>Effect-plan well-formedness:</w:t>
      </w:r>
      <w:r>
        <w:rPr>
          <w:rFonts w:ascii="Noto Serif" w:hAnsi="Noto Serif" w:eastAsia="Noto Serif" w:cs="Noto Serif"/>
          <w:b w:val="0"/>
          <w:i w:val="0"/>
          <w:color w:val="202733"/>
          <w:sz w:val="18"/>
        </w:rPr>
        <w:t xml:space="preserve"> a committed plan satisfies dialect sequencing constraints before reaching the native transaction handler.</w:t>
      </w:r>
    </w:p>
    <w:p>
      <w:pPr>
        <w:spacing w:after="30"/>
        <w:ind w:left="432" w:hanging="317"/>
      </w:pPr>
      <w:r>
        <w:rPr>
          <w:rFonts w:ascii="Noto Serif" w:hAnsi="Noto Serif" w:eastAsia="Noto Serif" w:cs="Noto Serif"/>
          <w:color w:val="202733"/>
          <w:sz w:val="18"/>
        </w:rPr>
        <w:t xml:space="preserve">6. </w:t>
      </w:r>
      <w:r>
        <w:rPr>
          <w:rFonts w:ascii="Noto Serif" w:hAnsi="Noto Serif" w:eastAsia="Noto Serif" w:cs="Noto Serif"/>
          <w:b w:val="0"/>
          <w:i w:val="0"/>
          <w:color w:val="202733"/>
          <w:sz w:val="18"/>
        </w:rPr>
      </w:r>
      <w:r>
        <w:rPr>
          <w:rFonts w:ascii="Noto Serif" w:hAnsi="Noto Serif" w:eastAsia="Noto Serif" w:cs="Noto Serif"/>
          <w:b/>
          <w:i w:val="0"/>
          <w:color w:val="202733"/>
          <w:sz w:val="18"/>
        </w:rPr>
        <w:t>Lowering trace preservation:</w:t>
      </w:r>
      <w:r>
        <w:rPr>
          <w:rFonts w:ascii="Noto Serif" w:hAnsi="Noto Serif" w:eastAsia="Noto Serif" w:cs="Noto Serif"/>
          <w:b w:val="0"/>
          <w:i w:val="0"/>
          <w:color w:val="202733"/>
          <w:sz w:val="18"/>
        </w:rPr>
        <w:t xml:space="preserve"> for the accepted source subset, compiler lowering preserves observable outcomes and abstract effect traces.</w:t>
      </w:r>
    </w:p>
    <w:p>
      <w:bookmarkStart w:id="120" w:name="sec_111"/>
      <w:pPr>
        <w:pStyle w:val="Heading3"/>
      </w:pPr>
      <w:r>
        <w:rPr>
          <w:rFonts w:ascii="Lato" w:hAnsi="Lato" w:eastAsia="Lato" w:cs="Lato"/>
          <w:b/>
          <w:i w:val="0"/>
          <w:color w:val="202733"/>
          <w:sz w:val="21"/>
        </w:rPr>
        <w:t>26.3 Production correspondence</w:t>
      </w:r>
      <w:bookmarkEnd w:id="120"/>
    </w:p>
    <w:p>
      <w:r>
        <w:rPr>
          <w:rFonts w:ascii="Noto Serif" w:hAnsi="Noto Serif" w:eastAsia="Noto Serif" w:cs="Noto Serif"/>
          <w:b w:val="0"/>
          <w:i w:val="0"/>
          <w:color w:val="202733"/>
          <w:sz w:val="18"/>
        </w:rPr>
        <w:t>Cedar's methodology is instructive: formally prove a validator property in Lean, then differentially test the production Rust validator against the formal implementation.[7] Malleable JS can similarly compare:</w:t>
      </w:r>
    </w:p>
    <w:p>
      <w:pPr>
        <w:pStyle w:val="ListBullet"/>
      </w:pPr>
      <w:r>
        <w:rPr>
          <w:rFonts w:ascii="Noto Serif" w:hAnsi="Noto Serif" w:eastAsia="Noto Serif" w:cs="Noto Serif"/>
          <w:b w:val="0"/>
          <w:i w:val="0"/>
          <w:color w:val="202733"/>
          <w:sz w:val="18"/>
        </w:rPr>
        <w:t>formal MIR semantics;</w:t>
      </w:r>
    </w:p>
    <w:p>
      <w:pPr>
        <w:pStyle w:val="ListBullet"/>
      </w:pPr>
      <w:r>
        <w:rPr>
          <w:rFonts w:ascii="Noto Serif" w:hAnsi="Noto Serif" w:eastAsia="Noto Serif" w:cs="Noto Serif"/>
          <w:b w:val="0"/>
          <w:i w:val="0"/>
          <w:color w:val="202733"/>
          <w:sz w:val="18"/>
        </w:rPr>
        <w:t>executable reference interpreter;</w:t>
      </w:r>
    </w:p>
    <w:p>
      <w:pPr>
        <w:pStyle w:val="ListBullet"/>
      </w:pPr>
      <w:r>
        <w:rPr>
          <w:rFonts w:ascii="Noto Serif" w:hAnsi="Noto Serif" w:eastAsia="Noto Serif" w:cs="Noto Serif"/>
          <w:b w:val="0"/>
          <w:i w:val="0"/>
          <w:color w:val="202733"/>
          <w:sz w:val="18"/>
        </w:rPr>
        <w:t>Goja backend;</w:t>
      </w:r>
    </w:p>
    <w:p>
      <w:pPr>
        <w:pStyle w:val="ListBullet"/>
      </w:pPr>
      <w:r>
        <w:rPr>
          <w:rFonts w:ascii="Noto Serif" w:hAnsi="Noto Serif" w:eastAsia="Noto Serif" w:cs="Noto Serif"/>
          <w:b w:val="0"/>
          <w:i w:val="0"/>
          <w:color w:val="202733"/>
          <w:sz w:val="18"/>
        </w:rPr>
        <w:t>generated Go backend;</w:t>
      </w:r>
    </w:p>
    <w:p>
      <w:pPr>
        <w:pStyle w:val="ListBullet"/>
      </w:pPr>
      <w:r>
        <w:rPr>
          <w:rFonts w:ascii="Noto Serif" w:hAnsi="Noto Serif" w:eastAsia="Noto Serif" w:cs="Noto Serif"/>
          <w:b w:val="0"/>
          <w:i w:val="0"/>
          <w:color w:val="202733"/>
          <w:sz w:val="18"/>
        </w:rPr>
        <w:t>native transition interpreter.</w:t>
      </w:r>
    </w:p>
    <w:p>
      <w:bookmarkStart w:id="121" w:name="sec_112"/>
      <w:pPr>
        <w:pStyle w:val="Heading3"/>
      </w:pPr>
      <w:r>
        <w:rPr>
          <w:rFonts w:ascii="Lato" w:hAnsi="Lato" w:eastAsia="Lato" w:cs="Lato"/>
          <w:b/>
          <w:i w:val="0"/>
          <w:color w:val="202733"/>
          <w:sz w:val="21"/>
        </w:rPr>
        <w:t>26.4 Why not verify modern JavaScript first</w:t>
      </w:r>
      <w:bookmarkEnd w:id="121"/>
    </w:p>
    <w:p>
      <w:r>
        <w:rPr>
          <w:rFonts w:ascii="Noto Serif" w:hAnsi="Noto Serif" w:eastAsia="Noto Serif" w:cs="Noto Serif"/>
          <w:b w:val="0"/>
          <w:i w:val="0"/>
          <w:color w:val="202733"/>
          <w:sz w:val="18"/>
        </w:rPr>
        <w:t>JSCert and KJS show that rigorous JavaScript semantics are possible.[10][11] They target older ECMAScript cores and required substantial research effort. Modern ECMAScript continues to evolve, and a complete engine must track thousands of detailed semantic interactions and the official Test262 suite.[3][4] Verification effort is better concentrated on the small accepted profile, its lowering, and the identity-specific effect system.</w:t>
      </w:r>
    </w:p>
    <w:p>
      <w:bookmarkStart w:id="122" w:name="sec_113"/>
      <w:pPr>
        <w:pStyle w:val="Heading1"/>
        <w:pageBreakBefore/>
      </w:pPr>
      <w:r>
        <w:rPr>
          <w:rFonts w:ascii="Lato" w:hAnsi="Lato" w:eastAsia="Lato" w:cs="Lato"/>
          <w:b/>
          <w:i w:val="0"/>
          <w:color w:val="17365D"/>
          <w:sz w:val="37"/>
        </w:rPr>
        <w:t>Part VI - Making the compiler malleable across projects</w:t>
      </w:r>
      <w:bookmarkEnd w:id="122"/>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123" w:name="sec_114"/>
      <w:pPr>
        <w:pStyle w:val="Heading2"/>
      </w:pPr>
      <w:r>
        <w:rPr>
          <w:rFonts w:ascii="Lato" w:hAnsi="Lato" w:eastAsia="Lato" w:cs="Lato"/>
          <w:b/>
          <w:i w:val="0"/>
          <w:color w:val="17365D"/>
          <w:sz w:val="26"/>
        </w:rPr>
        <w:t>27. Dialects, worlds, passes, and backends</w:t>
      </w:r>
      <w:bookmarkEnd w:id="123"/>
    </w:p>
    <w:p>
      <w:r>
        <w:rPr>
          <w:rFonts w:ascii="Noto Serif" w:hAnsi="Noto Serif" w:eastAsia="Noto Serif" w:cs="Noto Serif"/>
          <w:b w:val="0"/>
          <w:i w:val="0"/>
          <w:color w:val="202733"/>
          <w:sz w:val="18"/>
        </w:rPr>
        <w:t>The extensibility model should separate four concepts that are often collapsed into a plugin API.</w:t>
      </w:r>
    </w:p>
    <w:p>
      <w:bookmarkStart w:id="124" w:name="sec_115"/>
      <w:pPr>
        <w:pStyle w:val="Heading3"/>
      </w:pPr>
      <w:r>
        <w:rPr>
          <w:rFonts w:ascii="Lato" w:hAnsi="Lato" w:eastAsia="Lato" w:cs="Lato"/>
          <w:b/>
          <w:i w:val="0"/>
          <w:color w:val="202733"/>
          <w:sz w:val="21"/>
        </w:rPr>
        <w:t>27.1 Dialect</w:t>
      </w:r>
      <w:bookmarkEnd w:id="124"/>
    </w:p>
    <w:p>
      <w:r>
        <w:rPr>
          <w:rFonts w:ascii="Noto Serif" w:hAnsi="Noto Serif" w:eastAsia="Noto Serif" w:cs="Noto Serif"/>
          <w:b w:val="0"/>
          <w:i w:val="0"/>
          <w:color w:val="202733"/>
          <w:sz w:val="18"/>
        </w:rPr>
        <w:t>A dialect defines domain semantics: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Dialect {</w:t>
        <w:br/>
      </w:r>
      <w:r>
        <w:rPr>
          <w:rFonts w:ascii="DejaVu Sans Mono" w:hAnsi="DejaVu Sans Mono" w:eastAsia="DejaVu Sans Mono" w:cs="DejaVu Sans Mono"/>
          <w:color w:val="202733"/>
          <w:sz w:val="14"/>
        </w:rPr>
        <w:t xml:space="preserve">  package ID and semantic version</w:t>
        <w:br/>
      </w:r>
      <w:r>
        <w:rPr>
          <w:rFonts w:ascii="DejaVu Sans Mono" w:hAnsi="DejaVu Sans Mono" w:eastAsia="DejaVu Sans Mono" w:cs="DejaVu Sans Mono"/>
          <w:color w:val="202733"/>
          <w:sz w:val="14"/>
        </w:rPr>
        <w:t xml:space="preserve">  value and resource types</w:t>
        <w:br/>
      </w:r>
      <w:r>
        <w:rPr>
          <w:rFonts w:ascii="DejaVu Sans Mono" w:hAnsi="DejaVu Sans Mono" w:eastAsia="DejaVu Sans Mono" w:cs="DejaVu Sans Mono"/>
          <w:color w:val="202733"/>
          <w:sz w:val="14"/>
        </w:rPr>
        <w:t xml:space="preserve">  operations and terminators</w:t>
        <w:br/>
      </w:r>
      <w:r>
        <w:rPr>
          <w:rFonts w:ascii="DejaVu Sans Mono" w:hAnsi="DejaVu Sans Mono" w:eastAsia="DejaVu Sans Mono" w:cs="DejaVu Sans Mono"/>
          <w:color w:val="202733"/>
          <w:sz w:val="14"/>
        </w:rPr>
        <w:t xml:space="preserve">  effect atoms</w:t>
        <w:br/>
      </w:r>
      <w:r>
        <w:rPr>
          <w:rFonts w:ascii="DejaVu Sans Mono" w:hAnsi="DejaVu Sans Mono" w:eastAsia="DejaVu Sans Mono" w:cs="DejaVu Sans Mono"/>
          <w:color w:val="202733"/>
          <w:sz w:val="14"/>
        </w:rPr>
        <w:t xml:space="preserve">  operation interfaces and traits</w:t>
        <w:br/>
      </w:r>
      <w:r>
        <w:rPr>
          <w:rFonts w:ascii="DejaVu Sans Mono" w:hAnsi="DejaVu Sans Mono" w:eastAsia="DejaVu Sans Mono" w:cs="DejaVu Sans Mono"/>
          <w:color w:val="202733"/>
          <w:sz w:val="14"/>
        </w:rPr>
        <w:t xml:space="preserve">  local verification rules</w:t>
        <w:br/>
      </w:r>
      <w:r>
        <w:rPr>
          <w:rFonts w:ascii="DejaVu Sans Mono" w:hAnsi="DejaVu Sans Mono" w:eastAsia="DejaVu Sans Mono" w:cs="DejaVu Sans Mono"/>
          <w:color w:val="202733"/>
          <w:sz w:val="14"/>
        </w:rPr>
        <w:t xml:space="preserve">  canonical serialization</w:t>
        <w:br/>
      </w:r>
      <w:r>
        <w:rPr>
          <w:rFonts w:ascii="DejaVu Sans Mono" w:hAnsi="DejaVu Sans Mono" w:eastAsia="DejaVu Sans Mono" w:cs="DejaVu Sans Mono"/>
          <w:color w:val="202733"/>
          <w:sz w:val="14"/>
        </w:rPr>
        <w:t xml:space="preserve">  source-language bindings</w:t>
        <w:br/>
      </w:r>
      <w:r>
        <w:rPr>
          <w:rFonts w:ascii="DejaVu Sans Mono" w:hAnsi="DejaVu Sans Mono" w:eastAsia="DejaVu Sans Mono" w:cs="DejaVu Sans Mono"/>
          <w:color w:val="202733"/>
          <w:sz w:val="14"/>
        </w:rPr>
        <w:t xml:space="preserve">  lowering and rewrite rules</w:t>
        <w:br/>
      </w:r>
      <w:r>
        <w:rPr>
          <w:rFonts w:ascii="DejaVu Sans Mono" w:hAnsi="DejaVu Sans Mono" w:eastAsia="DejaVu Sans Mono" w:cs="DejaVu Sans Mono"/>
          <w:color w:val="202733"/>
          <w:sz w:val="14"/>
        </w:rPr>
        <w:t xml:space="preserve">  documentation metadata</w:t>
        <w:br/>
      </w:r>
      <w:r>
        <w:rPr>
          <w:rFonts w:ascii="DejaVu Sans Mono" w:hAnsi="DejaVu Sans Mono" w:eastAsia="DejaVu Sans Mono" w:cs="DejaVu Sans Mono"/>
          <w:color w:val="202733"/>
          <w:sz w:val="14"/>
        </w:rPr>
        <w:t xml:space="preserve">  test and fuzz generators</w:t>
        <w:br/>
      </w:r>
      <w:r>
        <w:rPr>
          <w:rFonts w:ascii="DejaVu Sans Mono" w:hAnsi="DejaVu Sans Mono" w:eastAsia="DejaVu Sans Mono" w:cs="DejaVu Sans Mono"/>
          <w:color w:val="202733"/>
          <w:sz w:val="14"/>
        </w:rPr>
        <w:t xml:space="preserve">  compatibility and migration declarations</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Examples: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core.control</w:t>
        <w:br/>
      </w:r>
      <w:r>
        <w:rPr>
          <w:rFonts w:ascii="DejaVu Sans Mono" w:hAnsi="DejaVu Sans Mono" w:eastAsia="DejaVu Sans Mono" w:cs="DejaVu Sans Mono"/>
          <w:color w:val="202733"/>
          <w:sz w:val="14"/>
        </w:rPr>
        <w:t>core.schema</w:t>
        <w:br/>
      </w:r>
      <w:r>
        <w:rPr>
          <w:rFonts w:ascii="DejaVu Sans Mono" w:hAnsi="DejaVu Sans Mono" w:eastAsia="DejaVu Sans Mono" w:cs="DejaVu Sans Mono"/>
          <w:color w:val="202733"/>
          <w:sz w:val="14"/>
        </w:rPr>
        <w:t>core.resource</w:t>
        <w:br/>
      </w:r>
      <w:r>
        <w:rPr>
          <w:rFonts w:ascii="DejaVu Sans Mono" w:hAnsi="DejaVu Sans Mono" w:eastAsia="DejaVu Sans Mono" w:cs="DejaVu Sans Mono"/>
          <w:color w:val="202733"/>
          <w:sz w:val="14"/>
        </w:rPr>
        <w:t>tinyidp.workflow</w:t>
        <w:br/>
      </w:r>
      <w:r>
        <w:rPr>
          <w:rFonts w:ascii="DejaVu Sans Mono" w:hAnsi="DejaVu Sans Mono" w:eastAsia="DejaVu Sans Mono" w:cs="DejaVu Sans Mono"/>
          <w:color w:val="202733"/>
          <w:sz w:val="14"/>
        </w:rPr>
        <w:t>tinyidp.presentation</w:t>
        <w:br/>
      </w:r>
      <w:r>
        <w:rPr>
          <w:rFonts w:ascii="DejaVu Sans Mono" w:hAnsi="DejaVu Sans Mono" w:eastAsia="DejaVu Sans Mono" w:cs="DejaVu Sans Mono"/>
          <w:color w:val="202733"/>
          <w:sz w:val="14"/>
        </w:rPr>
        <w:t>tinyidp.challenge</w:t>
        <w:br/>
      </w:r>
      <w:r>
        <w:rPr>
          <w:rFonts w:ascii="DejaVu Sans Mono" w:hAnsi="DejaVu Sans Mono" w:eastAsia="DejaVu Sans Mono" w:cs="DejaVu Sans Mono"/>
          <w:color w:val="202733"/>
          <w:sz w:val="14"/>
        </w:rPr>
        <w:t>tinyidp.commit</w:t>
        <w:br/>
      </w:r>
      <w:r>
        <w:rPr>
          <w:rFonts w:ascii="DejaVu Sans Mono" w:hAnsi="DejaVu Sans Mono" w:eastAsia="DejaVu Sans Mono" w:cs="DejaVu Sans Mono"/>
          <w:color w:val="202733"/>
          <w:sz w:val="14"/>
        </w:rPr>
        <w:t>approval.human</w:t>
        <w:br/>
      </w:r>
      <w:r>
        <w:rPr>
          <w:rFonts w:ascii="DejaVu Sans Mono" w:hAnsi="DejaVu Sans Mono" w:eastAsia="DejaVu Sans Mono" w:cs="DejaVu Sans Mono"/>
          <w:color w:val="202733"/>
          <w:sz w:val="14"/>
        </w:rPr>
        <w:t>agent.tools</w:t>
        <w:br/>
      </w:r>
      <w:r>
        <w:rPr>
          <w:rFonts w:ascii="DejaVu Sans Mono" w:hAnsi="DejaVu Sans Mono" w:eastAsia="DejaVu Sans Mono" w:cs="DejaVu Sans Mono"/>
          <w:color w:val="202733"/>
          <w:sz w:val="14"/>
        </w:rPr>
        <w:t>migration.database</w:t>
        <w:br/>
      </w:r>
      <w:r>
        <w:rPr>
          <w:rFonts w:ascii="DejaVu Sans Mono" w:hAnsi="DejaVu Sans Mono" w:eastAsia="DejaVu Sans Mono" w:cs="DejaVu Sans Mono"/>
          <w:color w:val="202733"/>
          <w:sz w:val="14"/>
        </w:rPr>
        <w:t>notification.delivery</w:t>
      </w:r>
    </w:p>
    <w:p>
      <w:r>
        <w:rPr>
          <w:rFonts w:ascii="Noto Serif" w:hAnsi="Noto Serif" w:eastAsia="Noto Serif" w:cs="Noto Serif"/>
          <w:b w:val="0"/>
          <w:i w:val="0"/>
          <w:color w:val="202733"/>
          <w:sz w:val="18"/>
        </w:rPr>
        <w:t>MLIR demonstrates why this division scales: dialects add operations and types; declarative definitions reduce boilerplate; interfaces let generic analyses operate without knowing every concrete operation; extensible dialects can even be registered at runtime.[6][27]</w:t>
      </w:r>
    </w:p>
    <w:p>
      <w:bookmarkStart w:id="125" w:name="sec_116"/>
      <w:pPr>
        <w:pStyle w:val="Heading3"/>
      </w:pPr>
      <w:r>
        <w:rPr>
          <w:rFonts w:ascii="Lato" w:hAnsi="Lato" w:eastAsia="Lato" w:cs="Lato"/>
          <w:b/>
          <w:i w:val="0"/>
          <w:color w:val="202733"/>
          <w:sz w:val="21"/>
        </w:rPr>
        <w:t>27.2 World</w:t>
      </w:r>
      <w:bookmarkEnd w:id="125"/>
    </w:p>
    <w:p>
      <w:r>
        <w:rPr>
          <w:rFonts w:ascii="Noto Serif" w:hAnsi="Noto Serif" w:eastAsia="Noto Serif" w:cs="Noto Serif"/>
          <w:b w:val="0"/>
          <w:i w:val="0"/>
          <w:color w:val="202733"/>
          <w:sz w:val="18"/>
        </w:rPr>
        <w:t>A world is the external contract for one class of plugin. It selects exact dialect versions, imported capabilities, exported entry points, resource limits, language profile, and trust policy.</w:t>
      </w:r>
    </w:p>
    <w:p>
      <w:r>
        <w:rPr>
          <w:rFonts w:ascii="Noto Serif" w:hAnsi="Noto Serif" w:eastAsia="Noto Serif" w:cs="Noto Serif"/>
          <w:b w:val="0"/>
          <w:i w:val="0"/>
          <w:color w:val="202733"/>
          <w:sz w:val="18"/>
        </w:rPr>
        <w:t>The WebAssembly Component Model's WIT worlds are a strong analogy. A world declares what a component provides and what it requires; if a secret-store interface is not imported, the component cannot access it through that boundary.[28] Malleable JS worlds should provide the same immediately reviewable authority inventory.</w:t>
      </w:r>
    </w:p>
    <w:p>
      <w:r>
        <w:rPr>
          <w:rFonts w:ascii="Noto Serif" w:hAnsi="Noto Serif" w:eastAsia="Noto Serif" w:cs="Noto Serif"/>
          <w:b w:val="0"/>
          <w:i w:val="0"/>
          <w:color w:val="202733"/>
          <w:sz w:val="18"/>
        </w:rPr>
        <w:t>Example:</w:t>
      </w:r>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world tinyidp.signup@4 {</w:t>
        <w:br/>
      </w:r>
      <w:r>
        <w:rPr>
          <w:rFonts w:ascii="DejaVu Sans Mono" w:hAnsi="DejaVu Sans Mono" w:eastAsia="DejaVu Sans Mono" w:cs="DejaVu Sans Mono"/>
          <w:color w:val="202733"/>
          <w:sz w:val="14"/>
        </w:rPr>
        <w:t xml:space="preserve">  profile assurance-js@1.3</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use core.control@1</w:t>
        <w:br/>
      </w:r>
      <w:r>
        <w:rPr>
          <w:rFonts w:ascii="DejaVu Sans Mono" w:hAnsi="DejaVu Sans Mono" w:eastAsia="DejaVu Sans Mono" w:cs="DejaVu Sans Mono"/>
          <w:color w:val="202733"/>
          <w:sz w:val="14"/>
        </w:rPr>
        <w:t xml:space="preserve">  use core.schema@2</w:t>
        <w:br/>
      </w:r>
      <w:r>
        <w:rPr>
          <w:rFonts w:ascii="DejaVu Sans Mono" w:hAnsi="DejaVu Sans Mono" w:eastAsia="DejaVu Sans Mono" w:cs="DejaVu Sans Mono"/>
          <w:color w:val="202733"/>
          <w:sz w:val="14"/>
        </w:rPr>
        <w:t xml:space="preserve">  use tinyidp.workflow@3</w:t>
        <w:br/>
      </w:r>
      <w:r>
        <w:rPr>
          <w:rFonts w:ascii="DejaVu Sans Mono" w:hAnsi="DejaVu Sans Mono" w:eastAsia="DejaVu Sans Mono" w:cs="DejaVu Sans Mono"/>
          <w:color w:val="202733"/>
          <w:sz w:val="14"/>
        </w:rPr>
        <w:t xml:space="preserve">  use tinyidp.presentation@2</w:t>
        <w:br/>
      </w:r>
      <w:r>
        <w:rPr>
          <w:rFonts w:ascii="DejaVu Sans Mono" w:hAnsi="DejaVu Sans Mono" w:eastAsia="DejaVu Sans Mono" w:cs="DejaVu Sans Mono"/>
          <w:color w:val="202733"/>
          <w:sz w:val="14"/>
        </w:rPr>
        <w:t xml:space="preserve">  use tinyidp.challenge@2</w:t>
        <w:br/>
      </w:r>
      <w:r>
        <w:rPr>
          <w:rFonts w:ascii="DejaVu Sans Mono" w:hAnsi="DejaVu Sans Mono" w:eastAsia="DejaVu Sans Mono" w:cs="DejaVu Sans Mono"/>
          <w:color w:val="202733"/>
          <w:sz w:val="14"/>
        </w:rPr>
        <w:t xml:space="preserve">  use tinyidp.commit@4</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import cap.invitation.inspect@1</w:t>
        <w:br/>
      </w:r>
      <w:r>
        <w:rPr>
          <w:rFonts w:ascii="DejaVu Sans Mono" w:hAnsi="DejaVu Sans Mono" w:eastAsia="DejaVu Sans Mono" w:cs="DejaVu Sans Mono"/>
          <w:color w:val="202733"/>
          <w:sz w:val="14"/>
        </w:rPr>
        <w:t xml:space="preserve">  import cap.community.lookup@2</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export workflow signup</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limits {</w:t>
        <w:br/>
      </w:r>
      <w:r>
        <w:rPr>
          <w:rFonts w:ascii="DejaVu Sans Mono" w:hAnsi="DejaVu Sans Mono" w:eastAsia="DejaVu Sans Mono" w:cs="DejaVu Sans Mono"/>
          <w:color w:val="202733"/>
          <w:sz w:val="14"/>
        </w:rPr>
        <w:t xml:space="preserve">    fuel = 200000</w:t>
        <w:br/>
      </w:r>
      <w:r>
        <w:rPr>
          <w:rFonts w:ascii="DejaVu Sans Mono" w:hAnsi="DejaVu Sans Mono" w:eastAsia="DejaVu Sans Mono" w:cs="DejaVu Sans Mono"/>
          <w:color w:val="202733"/>
          <w:sz w:val="14"/>
        </w:rPr>
        <w:t xml:space="preserve">    allocation_bytes = 1048576</w:t>
        <w:br/>
      </w:r>
      <w:r>
        <w:rPr>
          <w:rFonts w:ascii="DejaVu Sans Mono" w:hAnsi="DejaVu Sans Mono" w:eastAsia="DejaVu Sans Mono" w:cs="DejaVu Sans Mono"/>
          <w:color w:val="202733"/>
          <w:sz w:val="14"/>
        </w:rPr>
        <w:t xml:space="preserve">    capability_calls = 8</w:t>
        <w:br/>
      </w:r>
      <w:r>
        <w:rPr>
          <w:rFonts w:ascii="DejaVu Sans Mono" w:hAnsi="DejaVu Sans Mono" w:eastAsia="DejaVu Sans Mono" w:cs="DejaVu Sans Mono"/>
          <w:color w:val="202733"/>
          <w:sz w:val="14"/>
        </w:rPr>
        <w:t xml:space="preserve">    continuation_bytes = 8192</w:t>
        <w:br/>
      </w:r>
      <w:r>
        <w:rPr>
          <w:rFonts w:ascii="DejaVu Sans Mono" w:hAnsi="DejaVu Sans Mono" w:eastAsia="DejaVu Sans Mono" w:cs="DejaVu Sans Mono"/>
          <w:color w:val="202733"/>
          <w:sz w:val="14"/>
        </w:rPr>
        <w:t xml:space="preserve">    durable_suspensions_per_path = 6</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w:t>
      </w:r>
    </w:p>
    <w:p>
      <w:bookmarkStart w:id="126" w:name="sec_117"/>
      <w:pPr>
        <w:pStyle w:val="Heading3"/>
      </w:pPr>
      <w:r>
        <w:rPr>
          <w:rFonts w:ascii="Lato" w:hAnsi="Lato" w:eastAsia="Lato" w:cs="Lato"/>
          <w:b/>
          <w:i w:val="0"/>
          <w:color w:val="202733"/>
          <w:sz w:val="21"/>
        </w:rPr>
        <w:t>27.3 Pass</w:t>
      </w:r>
      <w:bookmarkEnd w:id="126"/>
    </w:p>
    <w:p>
      <w:r>
        <w:rPr>
          <w:rFonts w:ascii="Noto Serif" w:hAnsi="Noto Serif" w:eastAsia="Noto Serif" w:cs="Noto Serif"/>
          <w:b w:val="0"/>
          <w:i w:val="0"/>
          <w:color w:val="202733"/>
          <w:sz w:val="18"/>
        </w:rPr>
        <w:t>A pass is a deterministic transformation or analysis over declared input and output dialects: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parse-js</w:t>
        <w:br/>
      </w:r>
      <w:r>
        <w:rPr>
          <w:rFonts w:ascii="DejaVu Sans Mono" w:hAnsi="DejaVu Sans Mono" w:eastAsia="DejaVu Sans Mono" w:cs="DejaVu Sans Mono"/>
          <w:color w:val="202733"/>
          <w:sz w:val="14"/>
        </w:rPr>
        <w:t>resolve-modules</w:t>
        <w:br/>
      </w:r>
      <w:r>
        <w:rPr>
          <w:rFonts w:ascii="DejaVu Sans Mono" w:hAnsi="DejaVu Sans Mono" w:eastAsia="DejaVu Sans Mono" w:cs="DejaVu Sans Mono"/>
          <w:color w:val="202733"/>
          <w:sz w:val="14"/>
        </w:rPr>
        <w:t>check-assurance-profile</w:t>
        <w:br/>
      </w:r>
      <w:r>
        <w:rPr>
          <w:rFonts w:ascii="DejaVu Sans Mono" w:hAnsi="DejaVu Sans Mono" w:eastAsia="DejaVu Sans Mono" w:cs="DejaVu Sans Mono"/>
          <w:color w:val="202733"/>
          <w:sz w:val="14"/>
        </w:rPr>
        <w:t>infer-types</w:t>
        <w:br/>
      </w:r>
      <w:r>
        <w:rPr>
          <w:rFonts w:ascii="DejaVu Sans Mono" w:hAnsi="DejaVu Sans Mono" w:eastAsia="DejaVu Sans Mono" w:cs="DejaVu Sans Mono"/>
          <w:color w:val="202733"/>
          <w:sz w:val="14"/>
        </w:rPr>
        <w:t>infer-effects</w:t>
        <w:br/>
      </w:r>
      <w:r>
        <w:rPr>
          <w:rFonts w:ascii="DejaVu Sans Mono" w:hAnsi="DejaVu Sans Mono" w:eastAsia="DejaVu Sans Mono" w:cs="DejaVu Sans Mono"/>
          <w:color w:val="202733"/>
          <w:sz w:val="14"/>
        </w:rPr>
        <w:t>lower-durable-await</w:t>
        <w:br/>
      </w:r>
      <w:r>
        <w:rPr>
          <w:rFonts w:ascii="DejaVu Sans Mono" w:hAnsi="DejaVu Sans Mono" w:eastAsia="DejaVu Sans Mono" w:cs="DejaVu Sans Mono"/>
          <w:color w:val="202733"/>
          <w:sz w:val="14"/>
        </w:rPr>
        <w:t>infer-continuation-carry</w:t>
        <w:br/>
      </w:r>
      <w:r>
        <w:rPr>
          <w:rFonts w:ascii="DejaVu Sans Mono" w:hAnsi="DejaVu Sans Mono" w:eastAsia="DejaVu Sans Mono" w:cs="DejaVu Sans Mono"/>
          <w:color w:val="202733"/>
          <w:sz w:val="14"/>
        </w:rPr>
        <w:t>lower-js-control-to-core</w:t>
        <w:br/>
      </w:r>
      <w:r>
        <w:rPr>
          <w:rFonts w:ascii="DejaVu Sans Mono" w:hAnsi="DejaVu Sans Mono" w:eastAsia="DejaVu Sans Mono" w:cs="DejaVu Sans Mono"/>
          <w:color w:val="202733"/>
          <w:sz w:val="14"/>
        </w:rPr>
        <w:t>verify-regions</w:t>
        <w:br/>
      </w:r>
      <w:r>
        <w:rPr>
          <w:rFonts w:ascii="DejaVu Sans Mono" w:hAnsi="DejaVu Sans Mono" w:eastAsia="DejaVu Sans Mono" w:cs="DejaVu Sans Mono"/>
          <w:color w:val="202733"/>
          <w:sz w:val="14"/>
        </w:rPr>
        <w:t>canonicalize-effects</w:t>
        <w:br/>
      </w:r>
      <w:r>
        <w:rPr>
          <w:rFonts w:ascii="DejaVu Sans Mono" w:hAnsi="DejaVu Sans Mono" w:eastAsia="DejaVu Sans Mono" w:cs="DejaVu Sans Mono"/>
          <w:color w:val="202733"/>
          <w:sz w:val="14"/>
        </w:rPr>
        <w:t>extract-state-graph</w:t>
        <w:br/>
      </w:r>
      <w:r>
        <w:rPr>
          <w:rFonts w:ascii="DejaVu Sans Mono" w:hAnsi="DejaVu Sans Mono" w:eastAsia="DejaVu Sans Mono" w:cs="DejaVu Sans Mono"/>
          <w:color w:val="202733"/>
          <w:sz w:val="14"/>
        </w:rPr>
        <w:t>emit-goja</w:t>
        <w:br/>
      </w:r>
      <w:r>
        <w:rPr>
          <w:rFonts w:ascii="DejaVu Sans Mono" w:hAnsi="DejaVu Sans Mono" w:eastAsia="DejaVu Sans Mono" w:cs="DejaVu Sans Mono"/>
          <w:color w:val="202733"/>
          <w:sz w:val="14"/>
        </w:rPr>
        <w:t>emit-certificate</w:t>
      </w:r>
    </w:p>
    <w:p>
      <w:r>
        <w:rPr>
          <w:rFonts w:ascii="Noto Serif" w:hAnsi="Noto Serif" w:eastAsia="Noto Serif" w:cs="Noto Serif"/>
          <w:b w:val="0"/>
          <w:i w:val="0"/>
          <w:color w:val="202733"/>
          <w:sz w:val="18"/>
        </w:rPr>
        <w:t>Every pass has a version, configuration hash, declared preserved properties, and diagnostics. The pipeline hash becomes part of the artifact certificate.</w:t>
      </w:r>
    </w:p>
    <w:p>
      <w:bookmarkStart w:id="127" w:name="sec_118"/>
      <w:pPr>
        <w:pStyle w:val="Heading3"/>
      </w:pPr>
      <w:r>
        <w:rPr>
          <w:rFonts w:ascii="Lato" w:hAnsi="Lato" w:eastAsia="Lato" w:cs="Lato"/>
          <w:b/>
          <w:i w:val="0"/>
          <w:color w:val="202733"/>
          <w:sz w:val="21"/>
        </w:rPr>
        <w:t>27.4 Backend</w:t>
      </w:r>
      <w:bookmarkEnd w:id="127"/>
    </w:p>
    <w:p>
      <w:r>
        <w:rPr>
          <w:rFonts w:ascii="Noto Serif" w:hAnsi="Noto Serif" w:eastAsia="Noto Serif" w:cs="Noto Serif"/>
          <w:b w:val="0"/>
          <w:i w:val="0"/>
          <w:color w:val="202733"/>
          <w:sz w:val="18"/>
        </w:rPr>
        <w:t>A backend consumes verified MIR:</w:t>
      </w:r>
    </w:p>
    <w:p>
      <w:pPr>
        <w:pStyle w:val="ListBullet"/>
      </w:pPr>
      <w:r>
        <w:rPr>
          <w:rFonts w:ascii="Noto Serif" w:hAnsi="Noto Serif" w:eastAsia="Noto Serif" w:cs="Noto Serif"/>
          <w:b w:val="0"/>
          <w:i w:val="0"/>
          <w:color w:val="202733"/>
          <w:sz w:val="18"/>
        </w:rPr>
        <w:t>Goja execution;</w:t>
      </w:r>
    </w:p>
    <w:p>
      <w:pPr>
        <w:pStyle w:val="ListBullet"/>
      </w:pPr>
      <w:r>
        <w:rPr>
          <w:rFonts w:ascii="Noto Serif" w:hAnsi="Noto Serif" w:eastAsia="Noto Serif" w:cs="Noto Serif"/>
          <w:b w:val="0"/>
          <w:i w:val="0"/>
          <w:color w:val="202733"/>
          <w:sz w:val="18"/>
        </w:rPr>
        <w:t>native reference interpreter;</w:t>
      </w:r>
    </w:p>
    <w:p>
      <w:pPr>
        <w:pStyle w:val="ListBullet"/>
      </w:pPr>
      <w:r>
        <w:rPr>
          <w:rFonts w:ascii="Noto Serif" w:hAnsi="Noto Serif" w:eastAsia="Noto Serif" w:cs="Noto Serif"/>
          <w:b w:val="0"/>
          <w:i w:val="0"/>
          <w:color w:val="202733"/>
          <w:sz w:val="18"/>
        </w:rPr>
        <w:t>generated Go;</w:t>
      </w:r>
    </w:p>
    <w:p>
      <w:pPr>
        <w:pStyle w:val="ListBullet"/>
      </w:pPr>
      <w:r>
        <w:rPr>
          <w:rFonts w:ascii="Noto Serif" w:hAnsi="Noto Serif" w:eastAsia="Noto Serif" w:cs="Noto Serif"/>
          <w:b w:val="0"/>
          <w:i w:val="0"/>
          <w:color w:val="202733"/>
          <w:sz w:val="18"/>
        </w:rPr>
        <w:t>WebAssembly component;</w:t>
      </w:r>
    </w:p>
    <w:p>
      <w:pPr>
        <w:pStyle w:val="ListBullet"/>
      </w:pPr>
      <w:r>
        <w:rPr>
          <w:rFonts w:ascii="Noto Serif" w:hAnsi="Noto Serif" w:eastAsia="Noto Serif" w:cs="Noto Serif"/>
          <w:b w:val="0"/>
          <w:i w:val="0"/>
          <w:color w:val="202733"/>
          <w:sz w:val="18"/>
        </w:rPr>
        <w:t>graph/documentation generator;</w:t>
      </w:r>
    </w:p>
    <w:p>
      <w:pPr>
        <w:pStyle w:val="ListBullet"/>
      </w:pPr>
      <w:r>
        <w:rPr>
          <w:rFonts w:ascii="Noto Serif" w:hAnsi="Noto Serif" w:eastAsia="Noto Serif" w:cs="Noto Serif"/>
          <w:b w:val="0"/>
          <w:i w:val="0"/>
          <w:color w:val="202733"/>
          <w:sz w:val="18"/>
        </w:rPr>
        <w:t>symbolic or bounded model checker;</w:t>
      </w:r>
    </w:p>
    <w:p>
      <w:pPr>
        <w:pStyle w:val="ListBullet"/>
      </w:pPr>
      <w:r>
        <w:rPr>
          <w:rFonts w:ascii="Noto Serif" w:hAnsi="Noto Serif" w:eastAsia="Noto Serif" w:cs="Noto Serif"/>
          <w:b w:val="0"/>
          <w:i w:val="0"/>
          <w:color w:val="202733"/>
          <w:sz w:val="18"/>
        </w:rPr>
        <w:t>deterministic simulator.</w:t>
      </w:r>
    </w:p>
    <w:p>
      <w:r>
        <w:rPr>
          <w:rFonts w:ascii="Noto Serif" w:hAnsi="Noto Serif" w:eastAsia="Noto Serif" w:cs="Noto Serif"/>
          <w:b w:val="0"/>
          <w:i w:val="0"/>
          <w:color w:val="202733"/>
          <w:sz w:val="18"/>
        </w:rPr>
        <w:t>A project can therefore reuse the source language and compiler infrastructure without sharing its runtime deployment choice.</w:t>
      </w:r>
    </w:p>
    <w:p>
      <w:bookmarkStart w:id="128" w:name="sec_119"/>
      <w:pPr>
        <w:pStyle w:val="Heading2"/>
      </w:pPr>
      <w:r>
        <w:rPr>
          <w:rFonts w:ascii="Lato" w:hAnsi="Lato" w:eastAsia="Lato" w:cs="Lato"/>
          <w:b/>
          <w:i w:val="0"/>
          <w:color w:val="17365D"/>
          <w:sz w:val="26"/>
        </w:rPr>
        <w:t>28. Declarative dialect definitions</w:t>
      </w:r>
      <w:bookmarkEnd w:id="128"/>
    </w:p>
    <w:p>
      <w:r>
        <w:rPr>
          <w:rFonts w:ascii="Noto Serif" w:hAnsi="Noto Serif" w:eastAsia="Noto Serif" w:cs="Noto Serif"/>
          <w:b w:val="0"/>
          <w:i w:val="0"/>
          <w:color w:val="202733"/>
          <w:sz w:val="18"/>
        </w:rPr>
        <w:t>Most project extensions should be data, not arbitrary compiler code. A declarative operation definition might look like:</w:t>
      </w:r>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YAML</w:t>
        <w:br/>
      </w:r>
      <w:r>
        <w:rPr>
          <w:rFonts w:ascii="DejaVu Sans Mono" w:hAnsi="DejaVu Sans Mono" w:eastAsia="DejaVu Sans Mono" w:cs="DejaVu Sans Mono"/>
          <w:color w:val="202733"/>
          <w:sz w:val="14"/>
        </w:rPr>
        <w:t>package: tinyidp.challenge</w:t>
        <w:br/>
      </w:r>
      <w:r>
        <w:rPr>
          <w:rFonts w:ascii="DejaVu Sans Mono" w:hAnsi="DejaVu Sans Mono" w:eastAsia="DejaVu Sans Mono" w:cs="DejaVu Sans Mono"/>
          <w:color w:val="202733"/>
          <w:sz w:val="14"/>
        </w:rPr>
        <w:t>version: 2.1.0</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operations:</w:t>
        <w:br/>
      </w:r>
      <w:r>
        <w:rPr>
          <w:rFonts w:ascii="DejaVu Sans Mono" w:hAnsi="DejaVu Sans Mono" w:eastAsia="DejaVu Sans Mono" w:cs="DejaVu Sans Mono"/>
          <w:color w:val="202733"/>
          <w:sz w:val="14"/>
        </w:rPr>
        <w:t xml:space="preserve">  - name: email-code</w:t>
        <w:br/>
      </w:r>
      <w:r>
        <w:rPr>
          <w:rFonts w:ascii="DejaVu Sans Mono" w:hAnsi="DejaVu Sans Mono" w:eastAsia="DejaVu Sans Mono" w:cs="DejaVu Sans Mono"/>
          <w:color w:val="202733"/>
          <w:sz w:val="14"/>
        </w:rPr>
        <w:t xml:space="preserve">    kind: durable-effect</w:t>
        <w:br/>
      </w:r>
      <w:r>
        <w:rPr>
          <w:rFonts w:ascii="DejaVu Sans Mono" w:hAnsi="DejaVu Sans Mono" w:eastAsia="DejaVu Sans Mono" w:cs="DejaVu Sans Mono"/>
          <w:color w:val="202733"/>
          <w:sz w:val="14"/>
        </w:rPr>
        <w:t xml:space="preserve">    inputs:</w:t>
        <w:br/>
      </w:r>
      <w:r>
        <w:rPr>
          <w:rFonts w:ascii="DejaVu Sans Mono" w:hAnsi="DejaVu Sans Mono" w:eastAsia="DejaVu Sans Mono" w:cs="DejaVu Sans Mono"/>
          <w:color w:val="202733"/>
          <w:sz w:val="14"/>
        </w:rPr>
        <w:t xml:space="preserve">      address: pii.email</w:t>
        <w:br/>
      </w:r>
      <w:r>
        <w:rPr>
          <w:rFonts w:ascii="DejaVu Sans Mono" w:hAnsi="DejaVu Sans Mono" w:eastAsia="DejaVu Sans Mono" w:cs="DejaVu Sans Mono"/>
          <w:color w:val="202733"/>
          <w:sz w:val="14"/>
        </w:rPr>
        <w:t xml:space="preserve">      template: enum[email-verification, password-reset]</w:t>
        <w:br/>
      </w:r>
      <w:r>
        <w:rPr>
          <w:rFonts w:ascii="DejaVu Sans Mono" w:hAnsi="DejaVu Sans Mono" w:eastAsia="DejaVu Sans Mono" w:cs="DejaVu Sans Mono"/>
          <w:color w:val="202733"/>
          <w:sz w:val="14"/>
        </w:rPr>
        <w:t xml:space="preserve">    result: resource&lt;email-proof, continuation&gt;</w:t>
        <w:br/>
      </w:r>
      <w:r>
        <w:rPr>
          <w:rFonts w:ascii="DejaVu Sans Mono" w:hAnsi="DejaVu Sans Mono" w:eastAsia="DejaVu Sans Mono" w:cs="DejaVu Sans Mono"/>
          <w:color w:val="202733"/>
          <w:sz w:val="14"/>
        </w:rPr>
        <w:t xml:space="preserve">    effects:</w:t>
        <w:br/>
      </w:r>
      <w:r>
        <w:rPr>
          <w:rFonts w:ascii="DejaVu Sans Mono" w:hAnsi="DejaVu Sans Mono" w:eastAsia="DejaVu Sans Mono" w:cs="DejaVu Sans Mono"/>
          <w:color w:val="202733"/>
          <w:sz w:val="14"/>
        </w:rPr>
        <w:t xml:space="preserve">      - challenge.email.send</w:t>
        <w:br/>
      </w:r>
      <w:r>
        <w:rPr>
          <w:rFonts w:ascii="DejaVu Sans Mono" w:hAnsi="DejaVu Sans Mono" w:eastAsia="DejaVu Sans Mono" w:cs="DejaVu Sans Mono"/>
          <w:color w:val="202733"/>
          <w:sz w:val="14"/>
        </w:rPr>
        <w:t xml:space="preserve">      - workflow.suspend</w:t>
        <w:br/>
      </w:r>
      <w:r>
        <w:rPr>
          <w:rFonts w:ascii="DejaVu Sans Mono" w:hAnsi="DejaVu Sans Mono" w:eastAsia="DejaVu Sans Mono" w:cs="DejaVu Sans Mono"/>
          <w:color w:val="202733"/>
          <w:sz w:val="14"/>
        </w:rPr>
        <w:t xml:space="preserve">    traits:</w:t>
        <w:br/>
      </w:r>
      <w:r>
        <w:rPr>
          <w:rFonts w:ascii="DejaVu Sans Mono" w:hAnsi="DejaVu Sans Mono" w:eastAsia="DejaVu Sans Mono" w:cs="DejaVu Sans Mono"/>
          <w:color w:val="202733"/>
          <w:sz w:val="14"/>
        </w:rPr>
        <w:t xml:space="preserve">      - produces-evidence</w:t>
        <w:br/>
      </w:r>
      <w:r>
        <w:rPr>
          <w:rFonts w:ascii="DejaVu Sans Mono" w:hAnsi="DejaVu Sans Mono" w:eastAsia="DejaVu Sans Mono" w:cs="DejaVu Sans Mono"/>
          <w:color w:val="202733"/>
          <w:sz w:val="14"/>
        </w:rPr>
        <w:t xml:space="preserve">      - redaction-aware</w:t>
        <w:br/>
      </w:r>
      <w:r>
        <w:rPr>
          <w:rFonts w:ascii="DejaVu Sans Mono" w:hAnsi="DejaVu Sans Mono" w:eastAsia="DejaVu Sans Mono" w:cs="DejaVu Sans Mono"/>
          <w:color w:val="202733"/>
          <w:sz w:val="14"/>
        </w:rPr>
        <w:t xml:space="preserve">      - replay-journaled</w:t>
        <w:br/>
      </w:r>
      <w:r>
        <w:rPr>
          <w:rFonts w:ascii="DejaVu Sans Mono" w:hAnsi="DejaVu Sans Mono" w:eastAsia="DejaVu Sans Mono" w:cs="DejaVu Sans Mono"/>
          <w:color w:val="202733"/>
          <w:sz w:val="14"/>
        </w:rPr>
        <w:t xml:space="preserve">    verify:</w:t>
        <w:br/>
      </w:r>
      <w:r>
        <w:rPr>
          <w:rFonts w:ascii="DejaVu Sans Mono" w:hAnsi="DejaVu Sans Mono" w:eastAsia="DejaVu Sans Mono" w:cs="DejaVu Sans Mono"/>
          <w:color w:val="202733"/>
          <w:sz w:val="14"/>
        </w:rPr>
        <w:t xml:space="preserve">      - "template == password-reset implies world.has(reset-flow)"</w:t>
        <w:br/>
      </w:r>
      <w:r>
        <w:rPr>
          <w:rFonts w:ascii="DejaVu Sans Mono" w:hAnsi="DejaVu Sans Mono" w:eastAsia="DejaVu Sans Mono" w:cs="DejaVu Sans Mono"/>
          <w:color w:val="202733"/>
          <w:sz w:val="14"/>
        </w:rPr>
        <w:t xml:space="preserve">      - "address.label includes pii.email"</w:t>
        <w:br/>
      </w:r>
      <w:r>
        <w:rPr>
          <w:rFonts w:ascii="DejaVu Sans Mono" w:hAnsi="DejaVu Sans Mono" w:eastAsia="DejaVu Sans Mono" w:cs="DejaVu Sans Mono"/>
          <w:color w:val="202733"/>
          <w:sz w:val="14"/>
        </w:rPr>
        <w:t xml:space="preserve">    lowering:</w:t>
        <w:br/>
      </w:r>
      <w:r>
        <w:rPr>
          <w:rFonts w:ascii="DejaVu Sans Mono" w:hAnsi="DejaVu Sans Mono" w:eastAsia="DejaVu Sans Mono" w:cs="DejaVu Sans Mono"/>
          <w:color w:val="202733"/>
          <w:sz w:val="14"/>
        </w:rPr>
        <w:t xml:space="preserve">      tinyidp-native: challenge.email.v2</w:t>
      </w:r>
    </w:p>
    <w:p>
      <w:r>
        <w:rPr>
          <w:rFonts w:ascii="Noto Serif" w:hAnsi="Noto Serif" w:eastAsia="Noto Serif" w:cs="Noto Serif"/>
          <w:b w:val="0"/>
          <w:i w:val="0"/>
          <w:color w:val="202733"/>
          <w:sz w:val="18"/>
        </w:rPr>
        <w:t>From this single definition, tools can generate:</w:t>
      </w:r>
    </w:p>
    <w:p>
      <w:pPr>
        <w:pStyle w:val="ListBullet"/>
      </w:pPr>
      <w:r>
        <w:rPr>
          <w:rFonts w:ascii="Noto Serif" w:hAnsi="Noto Serif" w:eastAsia="Noto Serif" w:cs="Noto Serif"/>
          <w:b w:val="0"/>
          <w:i w:val="0"/>
          <w:color w:val="202733"/>
          <w:sz w:val="18"/>
        </w:rPr>
        <w:t>JavaScript/TypeScript bindings;</w:t>
      </w:r>
    </w:p>
    <w:p>
      <w:pPr>
        <w:pStyle w:val="ListBullet"/>
      </w:pPr>
      <w:r>
        <w:rPr>
          <w:rFonts w:ascii="Noto Serif" w:hAnsi="Noto Serif" w:eastAsia="Noto Serif" w:cs="Noto Serif"/>
          <w:b w:val="0"/>
          <w:i w:val="0"/>
          <w:color w:val="202733"/>
          <w:sz w:val="18"/>
        </w:rPr>
        <w:t>MIR parser/printer support;</w:t>
      </w:r>
    </w:p>
    <w:p>
      <w:pPr>
        <w:pStyle w:val="ListBullet"/>
      </w:pPr>
      <w:r>
        <w:rPr>
          <w:rFonts w:ascii="Noto Serif" w:hAnsi="Noto Serif" w:eastAsia="Noto Serif" w:cs="Noto Serif"/>
          <w:b w:val="0"/>
          <w:i w:val="0"/>
          <w:color w:val="202733"/>
          <w:sz w:val="18"/>
        </w:rPr>
        <w:t>runtime dispatch stubs;</w:t>
      </w:r>
    </w:p>
    <w:p>
      <w:pPr>
        <w:pStyle w:val="ListBullet"/>
      </w:pPr>
      <w:r>
        <w:rPr>
          <w:rFonts w:ascii="Noto Serif" w:hAnsi="Noto Serif" w:eastAsia="Noto Serif" w:cs="Noto Serif"/>
          <w:b w:val="0"/>
          <w:i w:val="0"/>
          <w:color w:val="202733"/>
          <w:sz w:val="18"/>
        </w:rPr>
        <w:t>validation and diagnostic scaffolding;</w:t>
      </w:r>
    </w:p>
    <w:p>
      <w:pPr>
        <w:pStyle w:val="ListBullet"/>
      </w:pPr>
      <w:r>
        <w:rPr>
          <w:rFonts w:ascii="Noto Serif" w:hAnsi="Noto Serif" w:eastAsia="Noto Serif" w:cs="Noto Serif"/>
          <w:b w:val="0"/>
          <w:i w:val="0"/>
          <w:color w:val="202733"/>
          <w:sz w:val="18"/>
        </w:rPr>
        <w:t>API documentation;</w:t>
      </w:r>
    </w:p>
    <w:p>
      <w:pPr>
        <w:pStyle w:val="ListBullet"/>
      </w:pPr>
      <w:r>
        <w:rPr>
          <w:rFonts w:ascii="Noto Serif" w:hAnsi="Noto Serif" w:eastAsia="Noto Serif" w:cs="Noto Serif"/>
          <w:b w:val="0"/>
          <w:i w:val="0"/>
          <w:color w:val="202733"/>
          <w:sz w:val="18"/>
        </w:rPr>
        <w:t>fake capability implementations;</w:t>
      </w:r>
    </w:p>
    <w:p>
      <w:pPr>
        <w:pStyle w:val="ListBullet"/>
      </w:pPr>
      <w:r>
        <w:rPr>
          <w:rFonts w:ascii="Noto Serif" w:hAnsi="Noto Serif" w:eastAsia="Noto Serif" w:cs="Noto Serif"/>
          <w:b w:val="0"/>
          <w:i w:val="0"/>
          <w:color w:val="202733"/>
          <w:sz w:val="18"/>
        </w:rPr>
        <w:t>property-based generators;</w:t>
      </w:r>
    </w:p>
    <w:p>
      <w:pPr>
        <w:pStyle w:val="ListBullet"/>
      </w:pPr>
      <w:r>
        <w:rPr>
          <w:rFonts w:ascii="Noto Serif" w:hAnsi="Noto Serif" w:eastAsia="Noto Serif" w:cs="Noto Serif"/>
          <w:b w:val="0"/>
          <w:i w:val="0"/>
          <w:color w:val="202733"/>
          <w:sz w:val="18"/>
        </w:rPr>
        <w:t>redaction rules;</w:t>
      </w:r>
    </w:p>
    <w:p>
      <w:pPr>
        <w:pStyle w:val="ListBullet"/>
      </w:pPr>
      <w:r>
        <w:rPr>
          <w:rFonts w:ascii="Noto Serif" w:hAnsi="Noto Serif" w:eastAsia="Noto Serif" w:cs="Noto Serif"/>
          <w:b w:val="0"/>
          <w:i w:val="0"/>
          <w:color w:val="202733"/>
          <w:sz w:val="18"/>
        </w:rPr>
        <w:t>effect inventories;</w:t>
      </w:r>
    </w:p>
    <w:p>
      <w:pPr>
        <w:pStyle w:val="ListBullet"/>
      </w:pPr>
      <w:r>
        <w:rPr>
          <w:rFonts w:ascii="Noto Serif" w:hAnsi="Noto Serif" w:eastAsia="Noto Serif" w:cs="Noto Serif"/>
          <w:b w:val="0"/>
          <w:i w:val="0"/>
          <w:color w:val="202733"/>
          <w:sz w:val="18"/>
        </w:rPr>
        <w:t>LSP completion metadata.</w:t>
      </w:r>
    </w:p>
    <w:p>
      <w:r>
        <w:rPr>
          <w:rFonts w:ascii="Noto Serif" w:hAnsi="Noto Serif" w:eastAsia="Noto Serif" w:cs="Noto Serif"/>
          <w:b w:val="0"/>
          <w:i w:val="0"/>
          <w:color w:val="202733"/>
          <w:sz w:val="18"/>
        </w:rPr>
        <w:t>IRDL's goals of portability, introspection, runtime declaration, reliability, fuzzer generation, and SMT lowering are directly relevant.[6]</w:t>
      </w:r>
    </w:p>
    <w:p>
      <w:bookmarkStart w:id="129" w:name="sec_120"/>
      <w:pPr>
        <w:pStyle w:val="Heading3"/>
      </w:pPr>
      <w:r>
        <w:rPr>
          <w:rFonts w:ascii="Lato" w:hAnsi="Lato" w:eastAsia="Lato" w:cs="Lato"/>
          <w:b/>
          <w:i w:val="0"/>
          <w:color w:val="202733"/>
          <w:sz w:val="21"/>
        </w:rPr>
        <w:t>28.1 Declarative rules have limits</w:t>
      </w:r>
      <w:bookmarkEnd w:id="129"/>
    </w:p>
    <w:p>
      <w:r>
        <w:rPr>
          <w:rFonts w:ascii="Noto Serif" w:hAnsi="Noto Serif" w:eastAsia="Noto Serif" w:cs="Noto Serif"/>
          <w:b w:val="0"/>
          <w:i w:val="0"/>
          <w:color w:val="202733"/>
          <w:sz w:val="18"/>
        </w:rPr>
        <w:t>Complex verification will sometimes require native code or a theorem-prover model. The extension system should make that escalation explicit rather than embedding arbitrary callbacks in every operation definition.</w:t>
      </w:r>
    </w:p>
    <w:p>
      <w:bookmarkStart w:id="130" w:name="sec_121"/>
      <w:pPr>
        <w:pStyle w:val="Heading2"/>
      </w:pPr>
      <w:r>
        <w:rPr>
          <w:rFonts w:ascii="Lato" w:hAnsi="Lato" w:eastAsia="Lato" w:cs="Lato"/>
          <w:b/>
          <w:i w:val="0"/>
          <w:color w:val="17365D"/>
          <w:sz w:val="26"/>
        </w:rPr>
        <w:t>29. Extension trust tiers</w:t>
      </w:r>
      <w:bookmarkEnd w:id="130"/>
    </w:p>
    <w:p>
      <w:r>
        <w:rPr>
          <w:rFonts w:ascii="Noto Serif" w:hAnsi="Noto Serif" w:eastAsia="Noto Serif" w:cs="Noto Serif"/>
          <w:b w:val="0"/>
          <w:i w:val="0"/>
          <w:color w:val="202733"/>
          <w:sz w:val="18"/>
        </w:rPr>
        <w:t>Malleability expands the trusted computing base unless extensions are classified.</w:t>
      </w:r>
    </w:p>
    <w:p>
      <w:bookmarkStart w:id="131" w:name="sec_122"/>
      <w:pPr>
        <w:pStyle w:val="Heading3"/>
      </w:pPr>
      <w:r>
        <w:rPr>
          <w:rFonts w:ascii="Lato" w:hAnsi="Lato" w:eastAsia="Lato" w:cs="Lato"/>
          <w:b/>
          <w:i w:val="0"/>
          <w:color w:val="202733"/>
          <w:sz w:val="21"/>
        </w:rPr>
        <w:t>Tier 0 - Data-only catalogs</w:t>
      </w:r>
      <w:bookmarkEnd w:id="131"/>
    </w:p>
    <w:p>
      <w:r>
        <w:rPr>
          <w:rFonts w:ascii="Noto Serif" w:hAnsi="Noto Serif" w:eastAsia="Noto Serif" w:cs="Noto Serif"/>
          <w:b w:val="0"/>
          <w:i w:val="0"/>
          <w:color w:val="202733"/>
          <w:sz w:val="18"/>
        </w:rPr>
        <w:t>Schemas, enums, documentation, operation signatures, and compatibility metadata. These are parsed by the core and cannot execute compiler code.</w:t>
      </w:r>
    </w:p>
    <w:p>
      <w:bookmarkStart w:id="132" w:name="sec_123"/>
      <w:pPr>
        <w:pStyle w:val="Heading3"/>
      </w:pPr>
      <w:r>
        <w:rPr>
          <w:rFonts w:ascii="Lato" w:hAnsi="Lato" w:eastAsia="Lato" w:cs="Lato"/>
          <w:b/>
          <w:i w:val="0"/>
          <w:color w:val="202733"/>
          <w:sz w:val="21"/>
        </w:rPr>
        <w:t>Tier 1 - Declarative verifier rules</w:t>
      </w:r>
      <w:bookmarkEnd w:id="132"/>
    </w:p>
    <w:p>
      <w:r>
        <w:rPr>
          <w:rFonts w:ascii="Noto Serif" w:hAnsi="Noto Serif" w:eastAsia="Noto Serif" w:cs="Noto Serif"/>
          <w:b w:val="0"/>
          <w:i w:val="0"/>
          <w:color w:val="202733"/>
          <w:sz w:val="18"/>
        </w:rPr>
        <w:t>A small total expression language evaluates constraints over operation attributes and types. CEL-like restrictions are appropriate: mutation-free, terminating, typed, and canonically serialized.[8]</w:t>
      </w:r>
    </w:p>
    <w:p>
      <w:bookmarkStart w:id="133" w:name="sec_124"/>
      <w:pPr>
        <w:pStyle w:val="Heading3"/>
      </w:pPr>
      <w:r>
        <w:rPr>
          <w:rFonts w:ascii="Lato" w:hAnsi="Lato" w:eastAsia="Lato" w:cs="Lato"/>
          <w:b/>
          <w:i w:val="0"/>
          <w:color w:val="202733"/>
          <w:sz w:val="21"/>
        </w:rPr>
        <w:t>Tier 2 - Verified or audited compiler modules</w:t>
      </w:r>
      <w:bookmarkEnd w:id="133"/>
    </w:p>
    <w:p>
      <w:r>
        <w:rPr>
          <w:rFonts w:ascii="Noto Serif" w:hAnsi="Noto Serif" w:eastAsia="Noto Serif" w:cs="Noto Serif"/>
          <w:b w:val="0"/>
          <w:i w:val="0"/>
          <w:color w:val="202733"/>
          <w:sz w:val="18"/>
        </w:rPr>
        <w:t>Native passes implement transformations that cannot be expressed declaratively. They must declare dependencies and preserved invariants, pass differential tests, and be included in the signed compiler distribution.</w:t>
      </w:r>
    </w:p>
    <w:p>
      <w:bookmarkStart w:id="134" w:name="sec_125"/>
      <w:pPr>
        <w:pStyle w:val="Heading3"/>
      </w:pPr>
      <w:r>
        <w:rPr>
          <w:rFonts w:ascii="Lato" w:hAnsi="Lato" w:eastAsia="Lato" w:cs="Lato"/>
          <w:b/>
          <w:i w:val="0"/>
          <w:color w:val="202733"/>
          <w:sz w:val="21"/>
        </w:rPr>
        <w:t>Tier 3 - Experimental VM extensions</w:t>
      </w:r>
      <w:bookmarkEnd w:id="134"/>
    </w:p>
    <w:p>
      <w:r>
        <w:rPr>
          <w:rFonts w:ascii="Noto Serif" w:hAnsi="Noto Serif" w:eastAsia="Noto Serif" w:cs="Noto Serif"/>
          <w:b w:val="0"/>
          <w:i w:val="0"/>
          <w:color w:val="202733"/>
          <w:sz w:val="18"/>
        </w:rPr>
        <w:t>New opcodes, host-object classes, compiler intrinsics, or scheduler behavior. These are the highest-risk extensions and should never be loadable from an ordinary application plugin.</w:t>
      </w:r>
    </w:p>
    <w:p>
      <w:bookmarkStart w:id="135" w:name="sec_126"/>
      <w:pPr>
        <w:pStyle w:val="Heading3"/>
      </w:pPr>
      <w:r>
        <w:rPr>
          <w:rFonts w:ascii="Lato" w:hAnsi="Lato" w:eastAsia="Lato" w:cs="Lato"/>
          <w:b/>
          <w:i w:val="0"/>
          <w:color w:val="202733"/>
          <w:sz w:val="21"/>
        </w:rPr>
        <w:t>29.1 Control-plane compilation</w:t>
      </w:r>
      <w:bookmarkEnd w:id="135"/>
    </w:p>
    <w:p>
      <w:r>
        <w:rPr>
          <w:rFonts w:ascii="Noto Serif" w:hAnsi="Noto Serif" w:eastAsia="Noto Serif" w:cs="Noto Serif"/>
          <w:b w:val="0"/>
          <w:i w:val="0"/>
          <w:color w:val="202733"/>
          <w:sz w:val="18"/>
        </w:rPr>
        <w:t>Production services should not dynamically load arbitrary compiler plugins. Compilation occurs in a controlled build or activation service. The result is a signed, self-contained semantic artifact. Runtime nodes need only the small artifact checker, selected dialect runtime handlers, and backend.</w:t>
      </w:r>
    </w:p>
    <w:p>
      <w:bookmarkStart w:id="136" w:name="sec_127"/>
      <w:pPr>
        <w:pStyle w:val="Heading3"/>
      </w:pPr>
      <w:r>
        <w:rPr>
          <w:rFonts w:ascii="Lato" w:hAnsi="Lato" w:eastAsia="Lato" w:cs="Lato"/>
          <w:b/>
          <w:i w:val="0"/>
          <w:color w:val="202733"/>
          <w:sz w:val="21"/>
        </w:rPr>
        <w:t>29.2 Governance</w:t>
      </w:r>
      <w:bookmarkEnd w:id="136"/>
    </w:p>
    <w:p>
      <w:r>
        <w:rPr>
          <w:rFonts w:ascii="Noto Serif" w:hAnsi="Noto Serif" w:eastAsia="Noto Serif" w:cs="Noto Serif"/>
          <w:b w:val="0"/>
          <w:i w:val="0"/>
          <w:color w:val="202733"/>
          <w:sz w:val="18"/>
        </w:rPr>
        <w:t>Each dialect package needs:</w:t>
      </w:r>
    </w:p>
    <w:p>
      <w:pPr>
        <w:pStyle w:val="ListBullet"/>
      </w:pPr>
      <w:r>
        <w:rPr>
          <w:rFonts w:ascii="Noto Serif" w:hAnsi="Noto Serif" w:eastAsia="Noto Serif" w:cs="Noto Serif"/>
          <w:b w:val="0"/>
          <w:i w:val="0"/>
          <w:color w:val="202733"/>
          <w:sz w:val="18"/>
        </w:rPr>
        <w:t>owner and security contact;</w:t>
      </w:r>
    </w:p>
    <w:p>
      <w:pPr>
        <w:pStyle w:val="ListBullet"/>
      </w:pPr>
      <w:r>
        <w:rPr>
          <w:rFonts w:ascii="Noto Serif" w:hAnsi="Noto Serif" w:eastAsia="Noto Serif" w:cs="Noto Serif"/>
          <w:b w:val="0"/>
          <w:i w:val="0"/>
          <w:color w:val="202733"/>
          <w:sz w:val="18"/>
        </w:rPr>
        <w:t>semantic versioning policy;</w:t>
      </w:r>
    </w:p>
    <w:p>
      <w:pPr>
        <w:pStyle w:val="ListBullet"/>
      </w:pPr>
      <w:r>
        <w:rPr>
          <w:rFonts w:ascii="Noto Serif" w:hAnsi="Noto Serif" w:eastAsia="Noto Serif" w:cs="Noto Serif"/>
          <w:b w:val="0"/>
          <w:i w:val="0"/>
          <w:color w:val="202733"/>
          <w:sz w:val="18"/>
        </w:rPr>
        <w:t>compatibility test suite;</w:t>
      </w:r>
    </w:p>
    <w:p>
      <w:pPr>
        <w:pStyle w:val="ListBullet"/>
      </w:pPr>
      <w:r>
        <w:rPr>
          <w:rFonts w:ascii="Noto Serif" w:hAnsi="Noto Serif" w:eastAsia="Noto Serif" w:cs="Noto Serif"/>
          <w:b w:val="0"/>
          <w:i w:val="0"/>
          <w:color w:val="202733"/>
          <w:sz w:val="18"/>
        </w:rPr>
        <w:t>deprecation schedule;</w:t>
      </w:r>
    </w:p>
    <w:p>
      <w:pPr>
        <w:pStyle w:val="ListBullet"/>
      </w:pPr>
      <w:r>
        <w:rPr>
          <w:rFonts w:ascii="Noto Serif" w:hAnsi="Noto Serif" w:eastAsia="Noto Serif" w:cs="Noto Serif"/>
          <w:b w:val="0"/>
          <w:i w:val="0"/>
          <w:color w:val="202733"/>
          <w:sz w:val="18"/>
        </w:rPr>
        <w:t>stable operation and type IDs;</w:t>
      </w:r>
    </w:p>
    <w:p>
      <w:pPr>
        <w:pStyle w:val="ListBullet"/>
      </w:pPr>
      <w:r>
        <w:rPr>
          <w:rFonts w:ascii="Noto Serif" w:hAnsi="Noto Serif" w:eastAsia="Noto Serif" w:cs="Noto Serif"/>
          <w:b w:val="0"/>
          <w:i w:val="0"/>
          <w:color w:val="202733"/>
          <w:sz w:val="18"/>
        </w:rPr>
        <w:t>migration policy for persistent state;</w:t>
      </w:r>
    </w:p>
    <w:p>
      <w:pPr>
        <w:pStyle w:val="ListBullet"/>
      </w:pPr>
      <w:r>
        <w:rPr>
          <w:rFonts w:ascii="Noto Serif" w:hAnsi="Noto Serif" w:eastAsia="Noto Serif" w:cs="Noto Serif"/>
          <w:b w:val="0"/>
          <w:i w:val="0"/>
          <w:color w:val="202733"/>
          <w:sz w:val="18"/>
        </w:rPr>
        <w:t>threat model and authority inventory;</w:t>
      </w:r>
    </w:p>
    <w:p>
      <w:pPr>
        <w:pStyle w:val="ListBullet"/>
      </w:pPr>
      <w:r>
        <w:rPr>
          <w:rFonts w:ascii="Noto Serif" w:hAnsi="Noto Serif" w:eastAsia="Noto Serif" w:cs="Noto Serif"/>
          <w:b w:val="0"/>
          <w:i w:val="0"/>
          <w:color w:val="202733"/>
          <w:sz w:val="18"/>
        </w:rPr>
        <w:t>supported compiler and world versions.</w:t>
      </w:r>
    </w:p>
    <w:p>
      <w:r>
        <w:rPr>
          <w:rFonts w:ascii="Noto Serif" w:hAnsi="Noto Serif" w:eastAsia="Noto Serif" w:cs="Noto Serif"/>
          <w:b w:val="0"/>
          <w:i w:val="0"/>
          <w:color w:val="202733"/>
          <w:sz w:val="18"/>
        </w:rPr>
        <w:t>Without governance, extensible compiler infrastructure becomes a collection of undocumented special cases.</w:t>
      </w:r>
    </w:p>
    <w:p>
      <w:bookmarkStart w:id="137" w:name="sec_128"/>
      <w:pPr>
        <w:pStyle w:val="Heading2"/>
      </w:pPr>
      <w:r>
        <w:rPr>
          <w:rFonts w:ascii="Lato" w:hAnsi="Lato" w:eastAsia="Lato" w:cs="Lato"/>
          <w:b/>
          <w:i w:val="0"/>
          <w:color w:val="17365D"/>
          <w:sz w:val="26"/>
        </w:rPr>
        <w:t>30. Tiny-IDP as a dialect and world pack</w:t>
      </w:r>
      <w:bookmarkEnd w:id="137"/>
    </w:p>
    <w:p>
      <w:r>
        <w:rPr>
          <w:rFonts w:ascii="Noto Serif" w:hAnsi="Noto Serif" w:eastAsia="Noto Serif" w:cs="Noto Serif"/>
          <w:b w:val="0"/>
          <w:i w:val="0"/>
          <w:color w:val="202733"/>
          <w:sz w:val="18"/>
        </w:rPr>
        <w:t>The present Tiny-IDP packages map cleanly onto dialect responsibilities.</w:t>
      </w:r>
    </w:p>
    <w:tbl>
      <w:tblPr>
        <w:tblW w:type="auto" w:w="0"/>
        <w:jc w:val="center"/>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5083"/>
        <w:gridCol w:w="5083"/>
      </w:tblGrid>
      <w:tr>
        <w:trPr>
          <w:trHeight w:hRule="atLeast"/>
          <w:tblHeader w:val="true"/>
        </w:trPr>
        <w:tc>
          <w:tcPr>
            <w:tcW w:type="dxa" w:w="4371"/>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Existing responsibility</w:t>
            </w:r>
          </w:p>
        </w:tc>
        <w:tc>
          <w:tcPr>
            <w:tcW w:type="dxa" w:w="5737"/>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Proposed dialect/platform role</w:t>
            </w:r>
          </w:p>
        </w:tc>
      </w:tr>
      <w:tr>
        <w:trPr>
          <w:trHeight w:hRule="atLeast"/>
        </w:trPr>
        <w:tc>
          <w:tcPr>
            <w:tcW w:type="dxa" w:w="4371"/>
            <w:vAlign w:val="center"/>
            <w:tcMar>
              <w:top w:w="65" w:type="dxa"/>
              <w:start w:w="70" w:type="dxa"/>
              <w:bottom w:w="65" w:type="dxa"/>
              <w:end w:w="70" w:type="dxa"/>
            </w:tcMar>
          </w:tcPr>
          <w:p>
            <w:pPr>
              <w:spacing w:after="0" w:line="240" w:lineRule="auto"/>
            </w:pPr>
            <w:r>
              <w:rPr>
                <w:rFonts w:ascii="DejaVu Sans Mono" w:hAnsi="DejaVu Sans Mono" w:eastAsia="DejaVu Sans Mono" w:cs="DejaVu Sans Mono"/>
                <w:b w:val="0"/>
                <w:i w:val="0"/>
                <w:color w:val="202733"/>
                <w:sz w:val="15"/>
                <w:shd w:fill="EDF1F4" w:val="clear"/>
              </w:rPr>
              <w:t>idpprogram.Schema</w:t>
            </w:r>
          </w:p>
        </w:tc>
        <w:tc>
          <w:tcPr>
            <w:tcW w:type="dxa" w:w="5737"/>
            <w:vAlign w:val="center"/>
            <w:tcMar>
              <w:top w:w="65" w:type="dxa"/>
              <w:start w:w="70" w:type="dxa"/>
              <w:bottom w:w="65" w:type="dxa"/>
              <w:end w:w="70" w:type="dxa"/>
            </w:tcMar>
          </w:tcPr>
          <w:p>
            <w:pPr>
              <w:spacing w:after="0" w:line="240" w:lineRule="auto"/>
            </w:pPr>
            <w:r>
              <w:rPr>
                <w:rFonts w:ascii="DejaVu Sans Mono" w:hAnsi="DejaVu Sans Mono" w:eastAsia="DejaVu Sans Mono" w:cs="DejaVu Sans Mono"/>
                <w:b w:val="0"/>
                <w:i w:val="0"/>
                <w:color w:val="202733"/>
                <w:sz w:val="15"/>
                <w:shd w:fill="EDF1F4" w:val="clear"/>
              </w:rPr>
              <w:t>core.schema</w:t>
            </w:r>
            <w:r>
              <w:rPr>
                <w:rFonts w:ascii="Noto Serif" w:hAnsi="Noto Serif" w:eastAsia="Noto Serif" w:cs="Noto Serif"/>
                <w:b w:val="0"/>
                <w:i w:val="0"/>
                <w:color w:val="202733"/>
                <w:sz w:val="15"/>
              </w:rPr>
              <w:t xml:space="preserve"> types and closed-record verifier</w:t>
            </w:r>
          </w:p>
        </w:tc>
      </w:tr>
      <w:tr>
        <w:trPr>
          <w:trHeight w:hRule="atLeast"/>
        </w:trPr>
        <w:tc>
          <w:tcPr>
            <w:tcW w:type="dxa" w:w="4371"/>
            <w:vAlign w:val="center"/>
            <w:tcMar>
              <w:top w:w="65" w:type="dxa"/>
              <w:start w:w="70" w:type="dxa"/>
              <w:bottom w:w="65" w:type="dxa"/>
              <w:end w:w="70" w:type="dxa"/>
            </w:tcMar>
            <w:shd w:fill="F6F8FA" w:val="clear"/>
          </w:tcPr>
          <w:p>
            <w:pPr>
              <w:spacing w:after="0" w:line="240" w:lineRule="auto"/>
            </w:pPr>
            <w:r>
              <w:rPr>
                <w:rFonts w:ascii="DejaVu Sans Mono" w:hAnsi="DejaVu Sans Mono" w:eastAsia="DejaVu Sans Mono" w:cs="DejaVu Sans Mono"/>
                <w:b w:val="0"/>
                <w:i w:val="0"/>
                <w:color w:val="202733"/>
                <w:sz w:val="15"/>
                <w:shd w:fill="EDF1F4" w:val="clear"/>
              </w:rPr>
              <w:t>LambdaSpec</w:t>
            </w:r>
          </w:p>
        </w:tc>
        <w:tc>
          <w:tcPr>
            <w:tcW w:type="dxa" w:w="573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generated function type/effect/resource contract</w:t>
            </w:r>
          </w:p>
        </w:tc>
      </w:tr>
      <w:tr>
        <w:trPr>
          <w:trHeight w:hRule="atLeast"/>
        </w:trPr>
        <w:tc>
          <w:tcPr>
            <w:tcW w:type="dxa" w:w="4371"/>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 xml:space="preserve">closed </w:t>
            </w:r>
            <w:r>
              <w:rPr>
                <w:rFonts w:ascii="DejaVu Sans Mono" w:hAnsi="DejaVu Sans Mono" w:eastAsia="DejaVu Sans Mono" w:cs="DejaVu Sans Mono"/>
                <w:b w:val="0"/>
                <w:i w:val="0"/>
                <w:color w:val="202733"/>
                <w:sz w:val="15"/>
                <w:shd w:fill="EDF1F4" w:val="clear"/>
              </w:rPr>
              <w:t>Outcome</w:t>
            </w:r>
            <w:r>
              <w:rPr>
                <w:rFonts w:ascii="Noto Serif" w:hAnsi="Noto Serif" w:eastAsia="Noto Serif" w:cs="Noto Serif"/>
                <w:b w:val="0"/>
                <w:i w:val="0"/>
                <w:color w:val="202733"/>
                <w:sz w:val="15"/>
              </w:rPr>
              <w:t xml:space="preserve"> family</w:t>
            </w:r>
          </w:p>
        </w:tc>
        <w:tc>
          <w:tcPr>
            <w:tcW w:type="dxa" w:w="573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core host-boundary variants and terminators</w:t>
            </w:r>
          </w:p>
        </w:tc>
      </w:tr>
      <w:tr>
        <w:trPr>
          <w:trHeight w:hRule="atLeast"/>
        </w:trPr>
        <w:tc>
          <w:tcPr>
            <w:tcW w:type="dxa" w:w="4371"/>
            <w:vAlign w:val="center"/>
            <w:tcMar>
              <w:top w:w="65" w:type="dxa"/>
              <w:start w:w="70" w:type="dxa"/>
              <w:bottom w:w="65" w:type="dxa"/>
              <w:end w:w="70" w:type="dxa"/>
            </w:tcMar>
            <w:shd w:fill="F6F8FA" w:val="clear"/>
          </w:tcPr>
          <w:p>
            <w:pPr>
              <w:spacing w:after="0" w:line="240" w:lineRule="auto"/>
            </w:pPr>
            <w:r>
              <w:rPr>
                <w:rFonts w:ascii="DejaVu Sans Mono" w:hAnsi="DejaVu Sans Mono" w:eastAsia="DejaVu Sans Mono" w:cs="DejaVu Sans Mono"/>
                <w:b w:val="0"/>
                <w:i w:val="0"/>
                <w:color w:val="202733"/>
                <w:sz w:val="15"/>
                <w:shd w:fill="EDF1F4" w:val="clear"/>
              </w:rPr>
              <w:t>CapabilityRequirement</w:t>
            </w:r>
          </w:p>
        </w:tc>
        <w:tc>
          <w:tcPr>
            <w:tcW w:type="dxa" w:w="573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world imports and capability effect atoms</w:t>
            </w:r>
          </w:p>
        </w:tc>
      </w:tr>
      <w:tr>
        <w:trPr>
          <w:trHeight w:hRule="atLeast"/>
        </w:trPr>
        <w:tc>
          <w:tcPr>
            <w:tcW w:type="dxa" w:w="4371"/>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presentation field/action brands</w:t>
            </w:r>
          </w:p>
        </w:tc>
        <w:tc>
          <w:tcPr>
            <w:tcW w:type="dxa" w:w="573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nominal UI descriptor resources</w:t>
            </w:r>
          </w:p>
        </w:tc>
      </w:tr>
      <w:tr>
        <w:trPr>
          <w:trHeight w:hRule="atLeast"/>
        </w:trPr>
        <w:tc>
          <w:tcPr>
            <w:tcW w:type="dxa" w:w="4371"/>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secret handles</w:t>
            </w:r>
          </w:p>
        </w:tc>
        <w:tc>
          <w:tcPr>
            <w:tcW w:type="dxa" w:w="573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invocation-region secret resources</w:t>
            </w:r>
          </w:p>
        </w:tc>
      </w:tr>
      <w:tr>
        <w:trPr>
          <w:trHeight w:hRule="atLeast"/>
        </w:trPr>
        <w:tc>
          <w:tcPr>
            <w:tcW w:type="dxa" w:w="4371"/>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challenge requests/evidence</w:t>
            </w:r>
          </w:p>
        </w:tc>
        <w:tc>
          <w:tcPr>
            <w:tcW w:type="dxa" w:w="573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challenge operations and native proof resources</w:t>
            </w:r>
          </w:p>
        </w:tc>
      </w:tr>
      <w:tr>
        <w:trPr>
          <w:trHeight w:hRule="atLeast"/>
        </w:trPr>
        <w:tc>
          <w:tcPr>
            <w:tcW w:type="dxa" w:w="4371"/>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 xml:space="preserve">commit </w:t>
            </w:r>
            <w:r>
              <w:rPr>
                <w:rFonts w:ascii="DejaVu Sans Mono" w:hAnsi="DejaVu Sans Mono" w:eastAsia="DejaVu Sans Mono" w:cs="DejaVu Sans Mono"/>
                <w:b w:val="0"/>
                <w:i w:val="0"/>
                <w:color w:val="202733"/>
                <w:sz w:val="15"/>
                <w:shd w:fill="EDF1F4" w:val="clear"/>
              </w:rPr>
              <w:t>EffectPlan</w:t>
            </w:r>
          </w:p>
        </w:tc>
        <w:tc>
          <w:tcPr>
            <w:tcW w:type="dxa" w:w="573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typed Tiny-IDP commit operations</w:t>
            </w:r>
          </w:p>
        </w:tc>
      </w:tr>
      <w:tr>
        <w:trPr>
          <w:trHeight w:hRule="atLeast"/>
        </w:trPr>
        <w:tc>
          <w:tcPr>
            <w:tcW w:type="dxa" w:w="4371"/>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workflow continuation</w:t>
            </w:r>
          </w:p>
        </w:tc>
        <w:tc>
          <w:tcPr>
            <w:tcW w:type="dxa" w:w="573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core suspension record specialized by Tiny-IDP bindings</w:t>
            </w:r>
          </w:p>
        </w:tc>
      </w:tr>
      <w:tr>
        <w:trPr>
          <w:trHeight w:hRule="atLeast"/>
        </w:trPr>
        <w:tc>
          <w:tcPr>
            <w:tcW w:type="dxa" w:w="4371"/>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verification plans</w:t>
            </w:r>
          </w:p>
        </w:tc>
        <w:tc>
          <w:tcPr>
            <w:tcW w:type="dxa" w:w="573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declarative scenario/test dialect</w:t>
            </w:r>
          </w:p>
        </w:tc>
      </w:tr>
      <w:tr>
        <w:trPr>
          <w:trHeight w:hRule="atLeast"/>
        </w:trPr>
        <w:tc>
          <w:tcPr>
            <w:tcW w:type="dxa" w:w="4371"/>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provider adapters</w:t>
            </w:r>
          </w:p>
        </w:tc>
        <w:tc>
          <w:tcPr>
            <w:tcW w:type="dxa" w:w="573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world-specific native effect handlers</w:t>
            </w:r>
          </w:p>
        </w:tc>
      </w:tr>
    </w:tbl>
    <w:p>
      <w:pPr>
        <w:spacing w:after="20"/>
      </w:pPr>
    </w:p>
    <w:p>
      <w:r>
        <w:rPr>
          <w:rFonts w:ascii="Noto Serif" w:hAnsi="Noto Serif" w:eastAsia="Noto Serif" w:cs="Noto Serif"/>
          <w:b w:val="0"/>
          <w:i w:val="0"/>
          <w:color w:val="202733"/>
          <w:sz w:val="18"/>
        </w:rPr>
        <w:t>The identity-specific invariants remain in Go and in Tiny-IDP dialect verifiers. The generic compiler knows only resources, effects, regions, suspension, schemas, worlds, and operation interfaces.</w:t>
      </w:r>
    </w:p>
    <w:p>
      <w:bookmarkStart w:id="138" w:name="sec_129"/>
      <w:pPr>
        <w:pStyle w:val="Heading2"/>
      </w:pPr>
      <w:r>
        <w:rPr>
          <w:rFonts w:ascii="Lato" w:hAnsi="Lato" w:eastAsia="Lato" w:cs="Lato"/>
          <w:b/>
          <w:i w:val="0"/>
          <w:color w:val="17365D"/>
          <w:sz w:val="26"/>
        </w:rPr>
        <w:t>31. Other project families</w:t>
      </w:r>
      <w:bookmarkEnd w:id="138"/>
    </w:p>
    <w:p>
      <w:r>
        <w:rPr>
          <w:rFonts w:ascii="Noto Serif" w:hAnsi="Noto Serif" w:eastAsia="Noto Serif" w:cs="Noto Serif"/>
          <w:b w:val="0"/>
          <w:i w:val="0"/>
          <w:color w:val="202733"/>
          <w:sz w:val="18"/>
        </w:rPr>
        <w:t>The same substrate could support projects with similar requirements without importing identity-specific concepts.</w:t>
      </w:r>
    </w:p>
    <w:p>
      <w:bookmarkStart w:id="139" w:name="sec_130"/>
      <w:pPr>
        <w:pStyle w:val="Heading3"/>
      </w:pPr>
      <w:r>
        <w:rPr>
          <w:rFonts w:ascii="Lato" w:hAnsi="Lato" w:eastAsia="Lato" w:cs="Lato"/>
          <w:b/>
          <w:i w:val="0"/>
          <w:color w:val="202733"/>
          <w:sz w:val="21"/>
        </w:rPr>
        <w:t>31.1 Human approval workflows</w:t>
      </w:r>
      <w:bookmarkEnd w:id="139"/>
    </w:p>
    <w:p>
      <w:r>
        <w:rPr>
          <w:rFonts w:ascii="Noto Serif" w:hAnsi="Noto Serif" w:eastAsia="Noto Serif" w:cs="Noto Serif"/>
          <w:b w:val="0"/>
          <w:i w:val="0"/>
          <w:color w:val="202733"/>
          <w:sz w:val="18"/>
        </w:rPr>
        <w:t>A deployment or financial-approval world could define:</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request approval</w:t>
        <w:br/>
      </w:r>
      <w:r>
        <w:rPr>
          <w:rFonts w:ascii="DejaVu Sans Mono" w:hAnsi="DejaVu Sans Mono" w:eastAsia="DejaVu Sans Mono" w:cs="DejaVu Sans Mono"/>
          <w:color w:val="202733"/>
          <w:sz w:val="14"/>
        </w:rPr>
        <w:t>present review UI</w:t>
        <w:br/>
      </w:r>
      <w:r>
        <w:rPr>
          <w:rFonts w:ascii="DejaVu Sans Mono" w:hAnsi="DejaVu Sans Mono" w:eastAsia="DejaVu Sans Mono" w:cs="DejaVu Sans Mono"/>
          <w:color w:val="202733"/>
          <w:sz w:val="14"/>
        </w:rPr>
        <w:t>wait for signed decision</w:t>
        <w:br/>
      </w:r>
      <w:r>
        <w:rPr>
          <w:rFonts w:ascii="DejaVu Sans Mono" w:hAnsi="DejaVu Sans Mono" w:eastAsia="DejaVu Sans Mono" w:cs="DejaVu Sans Mono"/>
          <w:color w:val="202733"/>
          <w:sz w:val="14"/>
        </w:rPr>
        <w:t>execute bounded operation</w:t>
        <w:br/>
      </w:r>
      <w:r>
        <w:rPr>
          <w:rFonts w:ascii="DejaVu Sans Mono" w:hAnsi="DejaVu Sans Mono" w:eastAsia="DejaVu Sans Mono" w:cs="DejaVu Sans Mono"/>
          <w:color w:val="202733"/>
          <w:sz w:val="14"/>
        </w:rPr>
        <w:t>record immutable audit event</w:t>
      </w:r>
    </w:p>
    <w:p>
      <w:r>
        <w:rPr>
          <w:rFonts w:ascii="Noto Serif" w:hAnsi="Noto Serif" w:eastAsia="Noto Serif" w:cs="Noto Serif"/>
          <w:b w:val="0"/>
          <w:i w:val="0"/>
          <w:color w:val="202733"/>
          <w:sz w:val="18"/>
        </w:rPr>
        <w:t xml:space="preserve">Durable </w:t>
      </w:r>
      <w:r>
        <w:rPr>
          <w:rFonts w:ascii="DejaVu Sans Mono" w:hAnsi="DejaVu Sans Mono" w:eastAsia="DejaVu Sans Mono" w:cs="DejaVu Sans Mono"/>
          <w:b w:val="0"/>
          <w:i w:val="0"/>
          <w:color w:val="202733"/>
          <w:sz w:val="16"/>
          <w:shd w:fill="EDF1F4" w:val="clear"/>
        </w:rPr>
        <w:t>await</w:t>
      </w:r>
      <w:r>
        <w:rPr>
          <w:rFonts w:ascii="Noto Serif" w:hAnsi="Noto Serif" w:eastAsia="Noto Serif" w:cs="Noto Serif"/>
          <w:b w:val="0"/>
          <w:i w:val="0"/>
          <w:color w:val="202733"/>
          <w:sz w:val="18"/>
        </w:rPr>
        <w:t xml:space="preserve"> and continuation carry analysis apply directly. Approval evidence becomes a native nominal resource.</w:t>
      </w:r>
    </w:p>
    <w:p>
      <w:bookmarkStart w:id="140" w:name="sec_131"/>
      <w:pPr>
        <w:pStyle w:val="Heading3"/>
      </w:pPr>
      <w:r>
        <w:rPr>
          <w:rFonts w:ascii="Lato" w:hAnsi="Lato" w:eastAsia="Lato" w:cs="Lato"/>
          <w:b/>
          <w:i w:val="0"/>
          <w:color w:val="202733"/>
          <w:sz w:val="21"/>
        </w:rPr>
        <w:t>31.2 Agent tool orchestration</w:t>
      </w:r>
      <w:bookmarkEnd w:id="140"/>
    </w:p>
    <w:p>
      <w:r>
        <w:rPr>
          <w:rFonts w:ascii="Noto Serif" w:hAnsi="Noto Serif" w:eastAsia="Noto Serif" w:cs="Noto Serif"/>
          <w:b w:val="0"/>
          <w:i w:val="0"/>
          <w:color w:val="202733"/>
          <w:sz w:val="18"/>
        </w:rPr>
        <w:t>An AI-agent world can expose a finite tool catalog, explicit information labels, approval gates, cost budgets, and durable task waits. The compiler can reject dynamic tool names, detached calls, unbounded parallel fan-out, or secret-to-model flows. The same effect trace supports simulation and human review.</w:t>
      </w:r>
    </w:p>
    <w:p>
      <w:bookmarkStart w:id="141" w:name="sec_132"/>
      <w:pPr>
        <w:pStyle w:val="Heading3"/>
      </w:pPr>
      <w:r>
        <w:rPr>
          <w:rFonts w:ascii="Lato" w:hAnsi="Lato" w:eastAsia="Lato" w:cs="Lato"/>
          <w:b/>
          <w:i w:val="0"/>
          <w:color w:val="202733"/>
          <w:sz w:val="21"/>
        </w:rPr>
        <w:t>31.3 Database migration orchestration</w:t>
      </w:r>
      <w:bookmarkEnd w:id="141"/>
    </w:p>
    <w:p>
      <w:r>
        <w:rPr>
          <w:rFonts w:ascii="Noto Serif" w:hAnsi="Noto Serif" w:eastAsia="Noto Serif" w:cs="Noto Serif"/>
          <w:b w:val="0"/>
          <w:i w:val="0"/>
          <w:color w:val="202733"/>
          <w:sz w:val="18"/>
        </w:rPr>
        <w:t>A migration world can model schema versions, locks, reversible and irreversible steps, checks, and compensation. A compiler can ensure that irreversible effects do not occur before required validation and that resumable checkpoints contain only stable references.</w:t>
      </w:r>
    </w:p>
    <w:p>
      <w:bookmarkStart w:id="142" w:name="sec_133"/>
      <w:pPr>
        <w:pStyle w:val="Heading3"/>
      </w:pPr>
      <w:r>
        <w:rPr>
          <w:rFonts w:ascii="Lato" w:hAnsi="Lato" w:eastAsia="Lato" w:cs="Lato"/>
          <w:b/>
          <w:i w:val="0"/>
          <w:color w:val="202733"/>
          <w:sz w:val="21"/>
        </w:rPr>
        <w:t>31.4 Notification and delivery policy</w:t>
      </w:r>
      <w:bookmarkEnd w:id="142"/>
    </w:p>
    <w:p>
      <w:r>
        <w:rPr>
          <w:rFonts w:ascii="Noto Serif" w:hAnsi="Noto Serif" w:eastAsia="Noto Serif" w:cs="Noto Serif"/>
          <w:b w:val="0"/>
          <w:i w:val="0"/>
          <w:color w:val="202733"/>
          <w:sz w:val="18"/>
        </w:rPr>
        <w:t>A notification world can select templates, audiences, channels, throttles, and fallback behavior. Plugins never receive raw network clients; they emit typed delivery effects. Test backends render the delivery plan without sending messages.</w:t>
      </w:r>
    </w:p>
    <w:p>
      <w:bookmarkStart w:id="143" w:name="sec_134"/>
      <w:pPr>
        <w:pStyle w:val="Heading3"/>
      </w:pPr>
      <w:r>
        <w:rPr>
          <w:rFonts w:ascii="Lato" w:hAnsi="Lato" w:eastAsia="Lato" w:cs="Lato"/>
          <w:b/>
          <w:i w:val="0"/>
          <w:color w:val="202733"/>
          <w:sz w:val="21"/>
        </w:rPr>
        <w:t>31.5 Build and configuration systems</w:t>
      </w:r>
      <w:bookmarkEnd w:id="143"/>
    </w:p>
    <w:p>
      <w:r>
        <w:rPr>
          <w:rFonts w:ascii="Noto Serif" w:hAnsi="Noto Serif" w:eastAsia="Noto Serif" w:cs="Noto Serif"/>
          <w:b w:val="0"/>
          <w:i w:val="0"/>
          <w:color w:val="202733"/>
          <w:sz w:val="18"/>
        </w:rPr>
        <w:t>A deterministic world can resemble Starlark: no ambient time/network/filesystem, frozen module outputs, finite loops, and structured data as the result.[15] JavaScript syntax may improve familiarity while the selected profile removes application-language hazards.</w:t>
      </w:r>
    </w:p>
    <w:p>
      <w:bookmarkStart w:id="144" w:name="sec_135"/>
      <w:pPr>
        <w:pStyle w:val="Heading3"/>
      </w:pPr>
      <w:r>
        <w:rPr>
          <w:rFonts w:ascii="Lato" w:hAnsi="Lato" w:eastAsia="Lato" w:cs="Lato"/>
          <w:b/>
          <w:i w:val="0"/>
          <w:color w:val="202733"/>
          <w:sz w:val="21"/>
        </w:rPr>
        <w:t>31.6 Edge authorization and request policy</w:t>
      </w:r>
      <w:bookmarkEnd w:id="144"/>
    </w:p>
    <w:p>
      <w:r>
        <w:rPr>
          <w:rFonts w:ascii="Noto Serif" w:hAnsi="Noto Serif" w:eastAsia="Noto Serif" w:cs="Noto Serif"/>
          <w:b w:val="0"/>
          <w:i w:val="0"/>
          <w:color w:val="202733"/>
          <w:sz w:val="18"/>
        </w:rPr>
        <w:t>For simple predicates, a world may lower to CEL or Cedar instead of Goja. Malleable JS does not need to be the evaluator for every subproblem. It can use the same world/dialect/certificate infrastructure to embed a smaller purpose-built language where appropriate.</w:t>
      </w:r>
    </w:p>
    <w:p>
      <w:bookmarkStart w:id="145" w:name="sec_136"/>
      <w:pPr>
        <w:pStyle w:val="Heading2"/>
      </w:pPr>
      <w:r>
        <w:rPr>
          <w:rFonts w:ascii="Lato" w:hAnsi="Lato" w:eastAsia="Lato" w:cs="Lato"/>
          <w:b/>
          <w:i w:val="0"/>
          <w:color w:val="17365D"/>
          <w:sz w:val="26"/>
        </w:rPr>
        <w:t>32. Multi-frontend architecture</w:t>
      </w:r>
      <w:bookmarkEnd w:id="145"/>
    </w:p>
    <w:p>
      <w:r>
        <w:rPr>
          <w:rFonts w:ascii="Noto Serif" w:hAnsi="Noto Serif" w:eastAsia="Noto Serif" w:cs="Noto Serif"/>
          <w:b w:val="0"/>
          <w:i w:val="0"/>
          <w:color w:val="202733"/>
          <w:sz w:val="18"/>
        </w:rPr>
        <w:t>Once MIR is stable, JavaScript need not be the only source language.</w:t>
      </w:r>
    </w:p>
    <w:p>
      <w:r>
        <w:rPr>
          <w:rFonts w:ascii="Noto Serif" w:hAnsi="Noto Serif" w:eastAsia="Noto Serif" w:cs="Noto Serif"/>
          <w:b w:val="0"/>
          <w:i w:val="0"/>
          <w:color w:val="202733"/>
          <w:sz w:val="18"/>
        </w:rPr>
        <w:t>Possible front ends include:</w:t>
      </w:r>
    </w:p>
    <w:p>
      <w:pPr>
        <w:pStyle w:val="ListBullet"/>
      </w:pPr>
      <w:r>
        <w:rPr>
          <w:rFonts w:ascii="Noto Serif" w:hAnsi="Noto Serif" w:eastAsia="Noto Serif" w:cs="Noto Serif"/>
          <w:b w:val="0"/>
          <w:i w:val="0"/>
          <w:color w:val="202733"/>
          <w:sz w:val="18"/>
        </w:rPr>
        <w:t>a TypeScript syntactic subset with erased or checked annotations;</w:t>
      </w:r>
    </w:p>
    <w:p>
      <w:pPr>
        <w:pStyle w:val="ListBullet"/>
      </w:pPr>
      <w:r>
        <w:rPr>
          <w:rFonts w:ascii="Noto Serif" w:hAnsi="Noto Serif" w:eastAsia="Noto Serif" w:cs="Noto Serif"/>
          <w:b w:val="0"/>
          <w:i w:val="0"/>
          <w:color w:val="202733"/>
          <w:sz w:val="18"/>
        </w:rPr>
        <w:t>a declarative YAML/JSON builder for simple programs;</w:t>
      </w:r>
    </w:p>
    <w:p>
      <w:pPr>
        <w:pStyle w:val="ListBullet"/>
      </w:pPr>
      <w:r>
        <w:rPr>
          <w:rFonts w:ascii="Noto Serif" w:hAnsi="Noto Serif" w:eastAsia="Noto Serif" w:cs="Noto Serif"/>
          <w:b w:val="0"/>
          <w:i w:val="0"/>
          <w:color w:val="202733"/>
          <w:sz w:val="18"/>
        </w:rPr>
        <w:t>CEL expressions embedded in branches;</w:t>
      </w:r>
    </w:p>
    <w:p>
      <w:pPr>
        <w:pStyle w:val="ListBullet"/>
      </w:pPr>
      <w:r>
        <w:rPr>
          <w:rFonts w:ascii="Noto Serif" w:hAnsi="Noto Serif" w:eastAsia="Noto Serif" w:cs="Noto Serif"/>
          <w:b w:val="0"/>
          <w:i w:val="0"/>
          <w:color w:val="202733"/>
          <w:sz w:val="18"/>
        </w:rPr>
        <w:t>generated programs from a visual workflow editor;</w:t>
      </w:r>
    </w:p>
    <w:p>
      <w:pPr>
        <w:pStyle w:val="ListBullet"/>
      </w:pPr>
      <w:r>
        <w:rPr>
          <w:rFonts w:ascii="Noto Serif" w:hAnsi="Noto Serif" w:eastAsia="Noto Serif" w:cs="Noto Serif"/>
          <w:b w:val="0"/>
          <w:i w:val="0"/>
          <w:color w:val="202733"/>
          <w:sz w:val="18"/>
        </w:rPr>
        <w:t>Go or Rust macros for native teams;</w:t>
      </w:r>
    </w:p>
    <w:p>
      <w:pPr>
        <w:pStyle w:val="ListBullet"/>
      </w:pPr>
      <w:r>
        <w:rPr>
          <w:rFonts w:ascii="Noto Serif" w:hAnsi="Noto Serif" w:eastAsia="Noto Serif" w:cs="Noto Serif"/>
          <w:b w:val="0"/>
          <w:i w:val="0"/>
          <w:color w:val="202733"/>
          <w:sz w:val="18"/>
        </w:rPr>
        <w:t>imported WebAssembly components whose WIT world maps to a Malleable JS world.</w:t>
      </w:r>
    </w:p>
    <w:p>
      <w:r>
        <w:rPr>
          <w:rFonts w:ascii="Noto Serif" w:hAnsi="Noto Serif" w:eastAsia="Noto Serif" w:cs="Noto Serif"/>
          <w:b w:val="0"/>
          <w:i w:val="0"/>
          <w:color w:val="202733"/>
          <w:sz w:val="18"/>
        </w:rPr>
        <w:t>This does not imply semantic fragmentation. Every front end must lower to the same MIR and satisfy the same verifier. JavaScript remains the primary ergonomic language, not the durable semantic format.</w:t>
      </w:r>
    </w:p>
    <w:p>
      <w:bookmarkStart w:id="146" w:name="sec_137"/>
      <w:pPr>
        <w:pStyle w:val="Heading1"/>
        <w:pageBreakBefore/>
      </w:pPr>
      <w:r>
        <w:rPr>
          <w:rFonts w:ascii="Lato" w:hAnsi="Lato" w:eastAsia="Lato" w:cs="Lato"/>
          <w:b/>
          <w:i w:val="0"/>
          <w:color w:val="17365D"/>
          <w:sz w:val="37"/>
        </w:rPr>
        <w:t>Part VII - The plugin-writer experience</w:t>
      </w:r>
      <w:bookmarkEnd w:id="146"/>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147" w:name="sec_138"/>
      <w:pPr>
        <w:pStyle w:val="Heading2"/>
      </w:pPr>
      <w:r>
        <w:rPr>
          <w:rFonts w:ascii="Lato" w:hAnsi="Lato" w:eastAsia="Lato" w:cs="Lato"/>
          <w:b/>
          <w:i w:val="0"/>
          <w:color w:val="17365D"/>
          <w:sz w:val="26"/>
        </w:rPr>
        <w:t>33. From manual contracts to inferred contracts</w:t>
      </w:r>
      <w:bookmarkEnd w:id="147"/>
    </w:p>
    <w:p>
      <w:r>
        <w:rPr>
          <w:rFonts w:ascii="Noto Serif" w:hAnsi="Noto Serif" w:eastAsia="Noto Serif" w:cs="Noto Serif"/>
          <w:b w:val="0"/>
          <w:i w:val="0"/>
          <w:color w:val="202733"/>
          <w:sz w:val="18"/>
        </w:rPr>
        <w:t>A current-style handler declaration may repeat identity, schemas, capabilities, outcomes, effects, and budgets around a callback. A compiler-oriented API can move those facts to module and world declarations.</w:t>
      </w:r>
    </w:p>
    <w:p>
      <w:bookmarkStart w:id="148" w:name="sec_139"/>
      <w:pPr>
        <w:pStyle w:val="Heading3"/>
      </w:pPr>
      <w:r>
        <w:rPr>
          <w:rFonts w:ascii="Lato" w:hAnsi="Lato" w:eastAsia="Lato" w:cs="Lato"/>
          <w:b/>
          <w:i w:val="0"/>
          <w:color w:val="202733"/>
          <w:sz w:val="21"/>
        </w:rPr>
        <w:t>33.1 Proposed source</w:t>
      </w:r>
      <w:bookmarkEnd w:id="148"/>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import {</w:t>
        <w:br/>
      </w:r>
      <w:r>
        <w:rPr>
          <w:rFonts w:ascii="DejaVu Sans Mono" w:hAnsi="DejaVu Sans Mono" w:eastAsia="DejaVu Sans Mono" w:cs="DejaVu Sans Mono"/>
          <w:color w:val="202733"/>
          <w:sz w:val="14"/>
        </w:rPr>
        <w:t xml:space="preserve">  workflow,</w:t>
        <w:br/>
      </w:r>
      <w:r>
        <w:rPr>
          <w:rFonts w:ascii="DejaVu Sans Mono" w:hAnsi="DejaVu Sans Mono" w:eastAsia="DejaVu Sans Mono" w:cs="DejaVu Sans Mono"/>
          <w:color w:val="202733"/>
          <w:sz w:val="14"/>
        </w:rPr>
        <w:t xml:space="preserve">  durable,</w:t>
        <w:br/>
      </w:r>
      <w:r>
        <w:rPr>
          <w:rFonts w:ascii="DejaVu Sans Mono" w:hAnsi="DejaVu Sans Mono" w:eastAsia="DejaVu Sans Mono" w:cs="DejaVu Sans Mono"/>
          <w:color w:val="202733"/>
          <w:sz w:val="14"/>
        </w:rPr>
        <w:t xml:space="preserve">  effects,</w:t>
        <w:br/>
      </w:r>
      <w:r>
        <w:rPr>
          <w:rFonts w:ascii="DejaVu Sans Mono" w:hAnsi="DejaVu Sans Mono" w:eastAsia="DejaVu Sans Mono" w:cs="DejaVu Sans Mono"/>
          <w:color w:val="202733"/>
          <w:sz w:val="14"/>
        </w:rPr>
        <w:t xml:space="preserve">  schema,</w:t>
        <w:br/>
      </w:r>
      <w:r>
        <w:rPr>
          <w:rFonts w:ascii="DejaVu Sans Mono" w:hAnsi="DejaVu Sans Mono" w:eastAsia="DejaVu Sans Mono" w:cs="DejaVu Sans Mono"/>
          <w:color w:val="202733"/>
          <w:sz w:val="14"/>
        </w:rPr>
        <w:t>} from "world:tinyidp.signup@4";</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const SignupForm = schema.form({</w:t>
        <w:br/>
      </w:r>
      <w:r>
        <w:rPr>
          <w:rFonts w:ascii="DejaVu Sans Mono" w:hAnsi="DejaVu Sans Mono" w:eastAsia="DejaVu Sans Mono" w:cs="DejaVu Sans Mono"/>
          <w:color w:val="202733"/>
          <w:sz w:val="14"/>
        </w:rPr>
        <w:t xml:space="preserve">  email: schema.email({ redisplay: true }),</w:t>
        <w:br/>
      </w:r>
      <w:r>
        <w:rPr>
          <w:rFonts w:ascii="DejaVu Sans Mono" w:hAnsi="DejaVu Sans Mono" w:eastAsia="DejaVu Sans Mono" w:cs="DejaVu Sans Mono"/>
          <w:color w:val="202733"/>
          <w:sz w:val="14"/>
        </w:rPr>
        <w:t xml:space="preserve">  displayName: schema.string({ max: 120, redisplay: true }),</w:t>
        <w:br/>
      </w:r>
      <w:r>
        <w:rPr>
          <w:rFonts w:ascii="DejaVu Sans Mono" w:hAnsi="DejaVu Sans Mono" w:eastAsia="DejaVu Sans Mono" w:cs="DejaVu Sans Mono"/>
          <w:color w:val="202733"/>
          <w:sz w:val="14"/>
        </w:rPr>
        <w:t xml:space="preserve">  password: schema.password(),</w:t>
        <w:br/>
      </w:r>
      <w:r>
        <w:rPr>
          <w:rFonts w:ascii="DejaVu Sans Mono" w:hAnsi="DejaVu Sans Mono" w:eastAsia="DejaVu Sans Mono" w:cs="DejaVu Sans Mono"/>
          <w:color w:val="202733"/>
          <w:sz w:val="14"/>
        </w:rPr>
        <w:t>});</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export default workflow("signup", async ctx =&gt; {</w:t>
        <w:br/>
      </w:r>
      <w:r>
        <w:rPr>
          <w:rFonts w:ascii="DejaVu Sans Mono" w:hAnsi="DejaVu Sans Mono" w:eastAsia="DejaVu Sans Mono" w:cs="DejaVu Sans Mono"/>
          <w:color w:val="202733"/>
          <w:sz w:val="14"/>
        </w:rPr>
        <w:t xml:space="preserve">  const invitation = await ctx.invitation.inspect(ctx.input.code);</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if (invitation.kind !== "valid") {</w:t>
        <w:br/>
      </w:r>
      <w:r>
        <w:rPr>
          <w:rFonts w:ascii="DejaVu Sans Mono" w:hAnsi="DejaVu Sans Mono" w:eastAsia="DejaVu Sans Mono" w:cs="DejaVu Sans Mono"/>
          <w:color w:val="202733"/>
          <w:sz w:val="14"/>
        </w:rPr>
        <w:t xml:space="preserve">    return effects.deny("invalid_invitation");</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const form = await durable.form(SignupForm, {</w:t>
        <w:br/>
      </w:r>
      <w:r>
        <w:rPr>
          <w:rFonts w:ascii="DejaVu Sans Mono" w:hAnsi="DejaVu Sans Mono" w:eastAsia="DejaVu Sans Mono" w:cs="DejaVu Sans Mono"/>
          <w:color w:val="202733"/>
          <w:sz w:val="14"/>
        </w:rPr>
        <w:t xml:space="preserve">    email: invitation.email,</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const proof = await durable.emailCode(form.email);</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 xml:space="preserve">  return effects.commit([</w:t>
        <w:br/>
      </w:r>
      <w:r>
        <w:rPr>
          <w:rFonts w:ascii="DejaVu Sans Mono" w:hAnsi="DejaVu Sans Mono" w:eastAsia="DejaVu Sans Mono" w:cs="DejaVu Sans Mono"/>
          <w:color w:val="202733"/>
          <w:sz w:val="14"/>
        </w:rPr>
        <w:t xml:space="preserve">    ctx.identity.create({</w:t>
        <w:br/>
      </w:r>
      <w:r>
        <w:rPr>
          <w:rFonts w:ascii="DejaVu Sans Mono" w:hAnsi="DejaVu Sans Mono" w:eastAsia="DejaVu Sans Mono" w:cs="DejaVu Sans Mono"/>
          <w:color w:val="202733"/>
          <w:sz w:val="14"/>
        </w:rPr>
        <w:t xml:space="preserve">      email: form.email,</w:t>
        <w:br/>
      </w:r>
      <w:r>
        <w:rPr>
          <w:rFonts w:ascii="DejaVu Sans Mono" w:hAnsi="DejaVu Sans Mono" w:eastAsia="DejaVu Sans Mono" w:cs="DejaVu Sans Mono"/>
          <w:color w:val="202733"/>
          <w:sz w:val="14"/>
        </w:rPr>
        <w:t xml:space="preserve">      displayName: form.displayName,</w:t>
        <w:br/>
      </w:r>
      <w:r>
        <w:rPr>
          <w:rFonts w:ascii="DejaVu Sans Mono" w:hAnsi="DejaVu Sans Mono" w:eastAsia="DejaVu Sans Mono" w:cs="DejaVu Sans Mono"/>
          <w:color w:val="202733"/>
          <w:sz w:val="14"/>
        </w:rPr>
        <w:t xml:space="preserve">      verifiedBy: proof,</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ctx.credential.bindPassword(form.password),</w:t>
        <w:br/>
      </w:r>
      <w:r>
        <w:rPr>
          <w:rFonts w:ascii="DejaVu Sans Mono" w:hAnsi="DejaVu Sans Mono" w:eastAsia="DejaVu Sans Mono" w:cs="DejaVu Sans Mono"/>
          <w:color w:val="202733"/>
          <w:sz w:val="14"/>
        </w:rPr>
        <w:t xml:space="preserve">    ctx.invitation.consume(invitation.ref),</w:t>
        <w:br/>
      </w:r>
      <w:r>
        <w:rPr>
          <w:rFonts w:ascii="DejaVu Sans Mono" w:hAnsi="DejaVu Sans Mono" w:eastAsia="DejaVu Sans Mono" w:cs="DejaVu Sans Mono"/>
          <w:color w:val="202733"/>
          <w:sz w:val="14"/>
        </w:rPr>
        <w:t xml:space="preserve">    ctx.session.establish(),</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w:t>
      </w:r>
    </w:p>
    <w:p>
      <w:bookmarkStart w:id="149" w:name="sec_140"/>
      <w:pPr>
        <w:pStyle w:val="Heading3"/>
      </w:pPr>
      <w:r>
        <w:rPr>
          <w:rFonts w:ascii="Lato" w:hAnsi="Lato" w:eastAsia="Lato" w:cs="Lato"/>
          <w:b/>
          <w:i w:val="0"/>
          <w:color w:val="202733"/>
          <w:sz w:val="21"/>
        </w:rPr>
        <w:t>33.2 Generated contract</w:t>
      </w:r>
      <w:bookmarkEnd w:id="149"/>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workflow signup@4</w:t>
        <w:br/>
      </w:r>
      <w:r>
        <w:rPr>
          <w:rFonts w:ascii="DejaVu Sans Mono" w:hAnsi="DejaVu Sans Mono" w:eastAsia="DejaVu Sans Mono" w:cs="DejaVu Sans Mono"/>
          <w:color w:val="202733"/>
          <w:sz w:val="14"/>
        </w:rPr>
        <w:t>handlers:</w:t>
        <w:br/>
      </w:r>
      <w:r>
        <w:rPr>
          <w:rFonts w:ascii="DejaVu Sans Mono" w:hAnsi="DejaVu Sans Mono" w:eastAsia="DejaVu Sans Mono" w:cs="DejaVu Sans Mono"/>
          <w:color w:val="202733"/>
          <w:sz w:val="14"/>
        </w:rPr>
        <w:t xml:space="preserve">  signup.entry</w:t>
        <w:br/>
      </w:r>
      <w:r>
        <w:rPr>
          <w:rFonts w:ascii="DejaVu Sans Mono" w:hAnsi="DejaVu Sans Mono" w:eastAsia="DejaVu Sans Mono" w:cs="DejaVu Sans Mono"/>
          <w:color w:val="202733"/>
          <w:sz w:val="14"/>
        </w:rPr>
        <w:t xml:space="preserve">  signup.after_form</w:t>
        <w:br/>
      </w:r>
      <w:r>
        <w:rPr>
          <w:rFonts w:ascii="DejaVu Sans Mono" w:hAnsi="DejaVu Sans Mono" w:eastAsia="DejaVu Sans Mono" w:cs="DejaVu Sans Mono"/>
          <w:color w:val="202733"/>
          <w:sz w:val="14"/>
        </w:rPr>
        <w:t xml:space="preserve">  signup.after_email</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imports:</w:t>
        <w:br/>
      </w:r>
      <w:r>
        <w:rPr>
          <w:rFonts w:ascii="DejaVu Sans Mono" w:hAnsi="DejaVu Sans Mono" w:eastAsia="DejaVu Sans Mono" w:cs="DejaVu Sans Mono"/>
          <w:color w:val="202733"/>
          <w:sz w:val="14"/>
        </w:rPr>
        <w:t xml:space="preserve">  invitation.inspect@1</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outcomes:</w:t>
        <w:br/>
      </w:r>
      <w:r>
        <w:rPr>
          <w:rFonts w:ascii="DejaVu Sans Mono" w:hAnsi="DejaVu Sans Mono" w:eastAsia="DejaVu Sans Mono" w:cs="DejaVu Sans Mono"/>
          <w:color w:val="202733"/>
          <w:sz w:val="14"/>
        </w:rPr>
        <w:t xml:space="preserve">  deny, present, challenge, commit, error</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effects:</w:t>
        <w:br/>
      </w:r>
      <w:r>
        <w:rPr>
          <w:rFonts w:ascii="DejaVu Sans Mono" w:hAnsi="DejaVu Sans Mono" w:eastAsia="DejaVu Sans Mono" w:cs="DejaVu Sans Mono"/>
          <w:color w:val="202733"/>
          <w:sz w:val="14"/>
        </w:rPr>
        <w:t xml:space="preserve">  identity.create@2</w:t>
        <w:br/>
      </w:r>
      <w:r>
        <w:rPr>
          <w:rFonts w:ascii="DejaVu Sans Mono" w:hAnsi="DejaVu Sans Mono" w:eastAsia="DejaVu Sans Mono" w:cs="DejaVu Sans Mono"/>
          <w:color w:val="202733"/>
          <w:sz w:val="14"/>
        </w:rPr>
        <w:t xml:space="preserve">  credential.bind-password@2</w:t>
        <w:br/>
      </w:r>
      <w:r>
        <w:rPr>
          <w:rFonts w:ascii="DejaVu Sans Mono" w:hAnsi="DejaVu Sans Mono" w:eastAsia="DejaVu Sans Mono" w:cs="DejaVu Sans Mono"/>
          <w:color w:val="202733"/>
          <w:sz w:val="14"/>
        </w:rPr>
        <w:t xml:space="preserve">  invitation.consume@1</w:t>
        <w:br/>
      </w:r>
      <w:r>
        <w:rPr>
          <w:rFonts w:ascii="DejaVu Sans Mono" w:hAnsi="DejaVu Sans Mono" w:eastAsia="DejaVu Sans Mono" w:cs="DejaVu Sans Mono"/>
          <w:color w:val="202733"/>
          <w:sz w:val="14"/>
        </w:rPr>
        <w:t xml:space="preserve">  session.establish@1</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continuations:</w:t>
        <w:br/>
      </w:r>
      <w:r>
        <w:rPr>
          <w:rFonts w:ascii="DejaVu Sans Mono" w:hAnsi="DejaVu Sans Mono" w:eastAsia="DejaVu Sans Mono" w:cs="DejaVu Sans Mono"/>
          <w:color w:val="202733"/>
          <w:sz w:val="14"/>
        </w:rPr>
        <w:t xml:space="preserve">  after_form carry SignupAfterFormCarry@sha256:...</w:t>
        <w:br/>
      </w:r>
      <w:r>
        <w:rPr>
          <w:rFonts w:ascii="DejaVu Sans Mono" w:hAnsi="DejaVu Sans Mono" w:eastAsia="DejaVu Sans Mono" w:cs="DejaVu Sans Mono"/>
          <w:color w:val="202733"/>
          <w:sz w:val="14"/>
        </w:rPr>
        <w:t xml:space="preserve">  after_email carry SignupAfterEmailCarry@sha256:...</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resources:</w:t>
        <w:br/>
      </w:r>
      <w:r>
        <w:rPr>
          <w:rFonts w:ascii="DejaVu Sans Mono" w:hAnsi="DejaVu Sans Mono" w:eastAsia="DejaVu Sans Mono" w:cs="DejaVu Sans Mono"/>
          <w:color w:val="202733"/>
          <w:sz w:val="14"/>
        </w:rPr>
        <w:t xml:space="preserve">  secret.password scoped to after_form invocation</w:t>
        <w:br/>
      </w:r>
      <w:r>
        <w:rPr>
          <w:rFonts w:ascii="DejaVu Sans Mono" w:hAnsi="DejaVu Sans Mono" w:eastAsia="DejaVu Sans Mono" w:cs="DejaVu Sans Mono"/>
          <w:color w:val="202733"/>
          <w:sz w:val="14"/>
        </w:rPr>
        <w:t xml:space="preserve">  proof.email scoped to challenge and commit</w:t>
      </w:r>
    </w:p>
    <w:p>
      <w:r>
        <w:rPr>
          <w:rFonts w:ascii="Noto Serif" w:hAnsi="Noto Serif" w:eastAsia="Noto Serif" w:cs="Noto Serif"/>
          <w:b w:val="0"/>
          <w:i w:val="0"/>
          <w:color w:val="202733"/>
          <w:sz w:val="18"/>
        </w:rPr>
        <w:t>The author can inspect and approve this manifest during review.</w:t>
      </w:r>
    </w:p>
    <w:p>
      <w:bookmarkStart w:id="150" w:name="sec_141"/>
      <w:pPr>
        <w:pStyle w:val="Heading2"/>
      </w:pPr>
      <w:r>
        <w:rPr>
          <w:rFonts w:ascii="Lato" w:hAnsi="Lato" w:eastAsia="Lato" w:cs="Lato"/>
          <w:b/>
          <w:i w:val="0"/>
          <w:color w:val="17365D"/>
          <w:sz w:val="26"/>
        </w:rPr>
        <w:t>34. Diagnostics as the primary usability feature</w:t>
      </w:r>
      <w:bookmarkEnd w:id="150"/>
    </w:p>
    <w:p>
      <w:r>
        <w:rPr>
          <w:rFonts w:ascii="Noto Serif" w:hAnsi="Noto Serif" w:eastAsia="Noto Serif" w:cs="Noto Serif"/>
          <w:b w:val="0"/>
          <w:i w:val="0"/>
          <w:color w:val="202733"/>
          <w:sz w:val="18"/>
        </w:rPr>
        <w:t>Compiler sophistication is useful only if errors explain domain meaning.</w:t>
      </w:r>
    </w:p>
    <w:p>
      <w:bookmarkStart w:id="151" w:name="sec_142"/>
      <w:pPr>
        <w:pStyle w:val="Heading3"/>
      </w:pPr>
      <w:r>
        <w:rPr>
          <w:rFonts w:ascii="Lato" w:hAnsi="Lato" w:eastAsia="Lato" w:cs="Lato"/>
          <w:b/>
          <w:i w:val="0"/>
          <w:color w:val="202733"/>
          <w:sz w:val="21"/>
        </w:rPr>
        <w:t>34.1 Capability error</w:t>
      </w:r>
      <w:bookmarkEnd w:id="151"/>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MJS-CAP-0042  Undeclared capability</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`community.lookup` is reachable from `signup.after_form`, but the selected</w:t>
        <w:br/>
      </w:r>
      <w:r>
        <w:rPr>
          <w:rFonts w:ascii="DejaVu Sans Mono" w:hAnsi="DejaVu Sans Mono" w:eastAsia="DejaVu Sans Mono" w:cs="DejaVu Sans Mono"/>
          <w:color w:val="202733"/>
          <w:sz w:val="14"/>
        </w:rPr>
        <w:t>world does not import it.</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Add the import to the world, remove the call, or route the lookup through an</w:t>
        <w:br/>
      </w:r>
      <w:r>
        <w:rPr>
          <w:rFonts w:ascii="DejaVu Sans Mono" w:hAnsi="DejaVu Sans Mono" w:eastAsia="DejaVu Sans Mono" w:cs="DejaVu Sans Mono"/>
          <w:color w:val="202733"/>
          <w:sz w:val="14"/>
        </w:rPr>
        <w:t>approved higher-level operation.</w:t>
      </w:r>
    </w:p>
    <w:p>
      <w:bookmarkStart w:id="152" w:name="sec_143"/>
      <w:pPr>
        <w:pStyle w:val="Heading3"/>
      </w:pPr>
      <w:r>
        <w:rPr>
          <w:rFonts w:ascii="Lato" w:hAnsi="Lato" w:eastAsia="Lato" w:cs="Lato"/>
          <w:b/>
          <w:i w:val="0"/>
          <w:color w:val="202733"/>
          <w:sz w:val="21"/>
        </w:rPr>
        <w:t>34.2 Secret escape</w:t>
      </w:r>
      <w:bookmarkEnd w:id="152"/>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MJS-REG-0117  Secret crosses durable boundary</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`form.password` has type Secret&lt;Password, invocation#2&gt; and is used after</w:t>
        <w:br/>
      </w:r>
      <w:r>
        <w:rPr>
          <w:rFonts w:ascii="DejaVu Sans Mono" w:hAnsi="DejaVu Sans Mono" w:eastAsia="DejaVu Sans Mono" w:cs="DejaVu Sans Mono"/>
          <w:color w:val="202733"/>
          <w:sz w:val="14"/>
        </w:rPr>
        <w:t>`await durable.emailCode(...)`. The email-code wait resumes in a new</w:t>
        <w:br/>
      </w:r>
      <w:r>
        <w:rPr>
          <w:rFonts w:ascii="DejaVu Sans Mono" w:hAnsi="DejaVu Sans Mono" w:eastAsia="DejaVu Sans Mono" w:cs="DejaVu Sans Mono"/>
          <w:color w:val="202733"/>
          <w:sz w:val="14"/>
        </w:rPr>
        <w:t>invocation, where this secret no longer exists.</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Move password verification/binding before the durable wait, or request the</w:t>
        <w:br/>
      </w:r>
      <w:r>
        <w:rPr>
          <w:rFonts w:ascii="DejaVu Sans Mono" w:hAnsi="DejaVu Sans Mono" w:eastAsia="DejaVu Sans Mono" w:cs="DejaVu Sans Mono"/>
          <w:color w:val="202733"/>
          <w:sz w:val="14"/>
        </w:rPr>
        <w:t>password again in a later native presentation.</w:t>
      </w:r>
    </w:p>
    <w:p>
      <w:bookmarkStart w:id="153" w:name="sec_144"/>
      <w:pPr>
        <w:pStyle w:val="Heading3"/>
      </w:pPr>
      <w:r>
        <w:rPr>
          <w:rFonts w:ascii="Lato" w:hAnsi="Lato" w:eastAsia="Lato" w:cs="Lato"/>
          <w:b/>
          <w:i w:val="0"/>
          <w:color w:val="202733"/>
          <w:sz w:val="21"/>
        </w:rPr>
        <w:t>34.3 Nondeterminism</w:t>
      </w:r>
      <w:bookmarkEnd w:id="153"/>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MJS-DET-0203  Unjournaled time affects durable control flow</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The result of `Date.now()` selects a branch that can reach a durable</w:t>
        <w:br/>
      </w:r>
      <w:r>
        <w:rPr>
          <w:rFonts w:ascii="DejaVu Sans Mono" w:hAnsi="DejaVu Sans Mono" w:eastAsia="DejaVu Sans Mono" w:cs="DejaVu Sans Mono"/>
          <w:color w:val="202733"/>
          <w:sz w:val="14"/>
        </w:rPr>
        <w:t>suspension. Use `ctx.clock.now()` so the value is supplied and journaled by</w:t>
        <w:br/>
      </w:r>
      <w:r>
        <w:rPr>
          <w:rFonts w:ascii="DejaVu Sans Mono" w:hAnsi="DejaVu Sans Mono" w:eastAsia="DejaVu Sans Mono" w:cs="DejaVu Sans Mono"/>
          <w:color w:val="202733"/>
          <w:sz w:val="14"/>
        </w:rPr>
        <w:t>the host.</w:t>
      </w:r>
    </w:p>
    <w:p>
      <w:bookmarkStart w:id="154" w:name="sec_145"/>
      <w:pPr>
        <w:pStyle w:val="Heading3"/>
      </w:pPr>
      <w:r>
        <w:rPr>
          <w:rFonts w:ascii="Lato" w:hAnsi="Lato" w:eastAsia="Lato" w:cs="Lato"/>
          <w:b/>
          <w:i w:val="0"/>
          <w:color w:val="202733"/>
          <w:sz w:val="21"/>
        </w:rPr>
        <w:t>34.4 Detached asynchronous task</w:t>
      </w:r>
      <w:bookmarkEnd w:id="154"/>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MJS-TASK-0308  Promise escapes invocation task scope</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The Promise returned by `ctx.audit.write(...)` is neither awaited, joined,</w:t>
        <w:br/>
      </w:r>
      <w:r>
        <w:rPr>
          <w:rFonts w:ascii="DejaVu Sans Mono" w:hAnsi="DejaVu Sans Mono" w:eastAsia="DejaVu Sans Mono" w:cs="DejaVu Sans Mono"/>
          <w:color w:val="202733"/>
          <w:sz w:val="14"/>
        </w:rPr>
        <w:t>cancelled, nor declared as a host-owned delivery effect.</w:t>
      </w:r>
    </w:p>
    <w:p>
      <w:bookmarkStart w:id="155" w:name="sec_146"/>
      <w:pPr>
        <w:pStyle w:val="Heading3"/>
      </w:pPr>
      <w:r>
        <w:rPr>
          <w:rFonts w:ascii="Lato" w:hAnsi="Lato" w:eastAsia="Lato" w:cs="Lato"/>
          <w:b/>
          <w:i w:val="0"/>
          <w:color w:val="202733"/>
          <w:sz w:val="21"/>
        </w:rPr>
        <w:t>34.5 Upgrade compatibility</w:t>
      </w:r>
      <w:bookmarkEnd w:id="155"/>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MJS-MIG-0401  Incompatible continuation schema change</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Handler `signup.after_email@2` removed field `inviteRef` and changed `email`</w:t>
        <w:br/>
      </w:r>
      <w:r>
        <w:rPr>
          <w:rFonts w:ascii="DejaVu Sans Mono" w:hAnsi="DejaVu Sans Mono" w:eastAsia="DejaVu Sans Mono" w:cs="DejaVu Sans Mono"/>
          <w:color w:val="202733"/>
          <w:sz w:val="14"/>
        </w:rPr>
        <w:t>from EmailAddress@1 to VerifiedEmail@2. There are 184 active continuation</w:t>
        <w:br/>
      </w:r>
      <w:r>
        <w:rPr>
          <w:rFonts w:ascii="DejaVu Sans Mono" w:hAnsi="DejaVu Sans Mono" w:eastAsia="DejaVu Sans Mono" w:cs="DejaVu Sans Mono"/>
          <w:color w:val="202733"/>
          <w:sz w:val="14"/>
        </w:rPr>
        <w:t>records under the prior schema.</w:t>
      </w:r>
    </w:p>
    <w:p>
      <w:bookmarkStart w:id="156" w:name="sec_147"/>
      <w:pPr>
        <w:pStyle w:val="Heading2"/>
      </w:pPr>
      <w:r>
        <w:rPr>
          <w:rFonts w:ascii="Lato" w:hAnsi="Lato" w:eastAsia="Lato" w:cs="Lato"/>
          <w:b/>
          <w:i w:val="0"/>
          <w:color w:val="17365D"/>
          <w:sz w:val="26"/>
        </w:rPr>
        <w:t>35. IDE and review tooling</w:t>
      </w:r>
      <w:bookmarkEnd w:id="156"/>
    </w:p>
    <w:p>
      <w:r>
        <w:rPr>
          <w:rFonts w:ascii="Noto Serif" w:hAnsi="Noto Serif" w:eastAsia="Noto Serif" w:cs="Noto Serif"/>
          <w:b w:val="0"/>
          <w:i w:val="0"/>
          <w:color w:val="202733"/>
          <w:sz w:val="18"/>
        </w:rPr>
        <w:t>A language server can expose domain-specific information derived from MIR.</w:t>
      </w:r>
    </w:p>
    <w:p>
      <w:bookmarkStart w:id="157" w:name="sec_148"/>
      <w:pPr>
        <w:pStyle w:val="Heading3"/>
      </w:pPr>
      <w:r>
        <w:rPr>
          <w:rFonts w:ascii="Lato" w:hAnsi="Lato" w:eastAsia="Lato" w:cs="Lato"/>
          <w:b/>
          <w:i w:val="0"/>
          <w:color w:val="202733"/>
          <w:sz w:val="21"/>
        </w:rPr>
        <w:t>35.1 Editor features</w:t>
      </w:r>
      <w:bookmarkEnd w:id="157"/>
    </w:p>
    <w:p>
      <w:pPr>
        <w:pStyle w:val="ListBullet"/>
      </w:pPr>
      <w:r>
        <w:rPr>
          <w:rFonts w:ascii="Noto Serif" w:hAnsi="Noto Serif" w:eastAsia="Noto Serif" w:cs="Noto Serif"/>
          <w:b w:val="0"/>
          <w:i w:val="0"/>
          <w:color w:val="202733"/>
          <w:sz w:val="18"/>
        </w:rPr>
        <w:t>completion only for capabilities imported by the selected world;</w:t>
      </w:r>
    </w:p>
    <w:p>
      <w:pPr>
        <w:pStyle w:val="ListBullet"/>
      </w:pPr>
      <w:r>
        <w:rPr>
          <w:rFonts w:ascii="Noto Serif" w:hAnsi="Noto Serif" w:eastAsia="Noto Serif" w:cs="Noto Serif"/>
          <w:b w:val="0"/>
          <w:i w:val="0"/>
          <w:color w:val="202733"/>
          <w:sz w:val="18"/>
        </w:rPr>
        <w:t>hover display of effects, labels, regions, and versioned native operation IDs;</w:t>
      </w:r>
    </w:p>
    <w:p>
      <w:pPr>
        <w:pStyle w:val="ListBullet"/>
      </w:pPr>
      <w:r>
        <w:rPr>
          <w:rFonts w:ascii="Noto Serif" w:hAnsi="Noto Serif" w:eastAsia="Noto Serif" w:cs="Noto Serif"/>
          <w:b w:val="0"/>
          <w:i w:val="0"/>
          <w:color w:val="202733"/>
          <w:sz w:val="18"/>
        </w:rPr>
        <w:t xml:space="preserve">go-to-definition from generated handlers to source </w:t>
      </w:r>
      <w:r>
        <w:rPr>
          <w:rFonts w:ascii="DejaVu Sans Mono" w:hAnsi="DejaVu Sans Mono" w:eastAsia="DejaVu Sans Mono" w:cs="DejaVu Sans Mono"/>
          <w:b w:val="0"/>
          <w:i w:val="0"/>
          <w:color w:val="202733"/>
          <w:sz w:val="16"/>
          <w:shd w:fill="EDF1F4" w:val="clear"/>
        </w:rPr>
        <w:t>await</w:t>
      </w:r>
      <w:r>
        <w:rPr>
          <w:rFonts w:ascii="Noto Serif" w:hAnsi="Noto Serif" w:eastAsia="Noto Serif" w:cs="Noto Serif"/>
          <w:b w:val="0"/>
          <w:i w:val="0"/>
          <w:color w:val="202733"/>
          <w:sz w:val="18"/>
        </w:rPr>
        <w:t xml:space="preserve"> sites;</w:t>
      </w:r>
    </w:p>
    <w:p>
      <w:pPr>
        <w:pStyle w:val="ListBullet"/>
      </w:pPr>
      <w:r>
        <w:rPr>
          <w:rFonts w:ascii="Noto Serif" w:hAnsi="Noto Serif" w:eastAsia="Noto Serif" w:cs="Noto Serif"/>
          <w:b w:val="0"/>
          <w:i w:val="0"/>
          <w:color w:val="202733"/>
          <w:sz w:val="18"/>
        </w:rPr>
        <w:t>inline lens showing inferred outcomes and continuation carry;</w:t>
      </w:r>
    </w:p>
    <w:p>
      <w:pPr>
        <w:pStyle w:val="ListBullet"/>
      </w:pPr>
      <w:r>
        <w:rPr>
          <w:rFonts w:ascii="Noto Serif" w:hAnsi="Noto Serif" w:eastAsia="Noto Serif" w:cs="Noto Serif"/>
          <w:b w:val="0"/>
          <w:i w:val="0"/>
          <w:color w:val="202733"/>
          <w:sz w:val="18"/>
        </w:rPr>
        <w:t>state-machine visualization;</w:t>
      </w:r>
    </w:p>
    <w:p>
      <w:pPr>
        <w:pStyle w:val="ListBullet"/>
      </w:pPr>
      <w:r>
        <w:rPr>
          <w:rFonts w:ascii="Noto Serif" w:hAnsi="Noto Serif" w:eastAsia="Noto Serif" w:cs="Noto Serif"/>
          <w:b w:val="0"/>
          <w:i w:val="0"/>
          <w:color w:val="202733"/>
          <w:sz w:val="18"/>
        </w:rPr>
        <w:t>commit-effect sequence explanation;</w:t>
      </w:r>
    </w:p>
    <w:p>
      <w:pPr>
        <w:pStyle w:val="ListBullet"/>
      </w:pPr>
      <w:r>
        <w:rPr>
          <w:rFonts w:ascii="Noto Serif" w:hAnsi="Noto Serif" w:eastAsia="Noto Serif" w:cs="Noto Serif"/>
          <w:b w:val="0"/>
          <w:i w:val="0"/>
          <w:color w:val="202733"/>
          <w:sz w:val="18"/>
        </w:rPr>
        <w:t>warning when a change alters semantic or continuation identity;</w:t>
      </w:r>
    </w:p>
    <w:p>
      <w:pPr>
        <w:pStyle w:val="ListBullet"/>
      </w:pPr>
      <w:r>
        <w:rPr>
          <w:rFonts w:ascii="Noto Serif" w:hAnsi="Noto Serif" w:eastAsia="Noto Serif" w:cs="Noto Serif"/>
          <w:b w:val="0"/>
          <w:i w:val="0"/>
          <w:color w:val="202733"/>
          <w:sz w:val="18"/>
        </w:rPr>
        <w:t>quick fixes for joining Promises or converting values to durable references;</w:t>
      </w:r>
    </w:p>
    <w:p>
      <w:pPr>
        <w:pStyle w:val="ListBullet"/>
      </w:pPr>
      <w:r>
        <w:rPr>
          <w:rFonts w:ascii="Noto Serif" w:hAnsi="Noto Serif" w:eastAsia="Noto Serif" w:cs="Noto Serif"/>
          <w:b w:val="0"/>
          <w:i w:val="0"/>
          <w:color w:val="202733"/>
          <w:sz w:val="18"/>
        </w:rPr>
        <w:t>generated schema examples and form previews.</w:t>
      </w:r>
    </w:p>
    <w:p>
      <w:bookmarkStart w:id="158" w:name="sec_149"/>
      <w:pPr>
        <w:pStyle w:val="Heading3"/>
      </w:pPr>
      <w:r>
        <w:rPr>
          <w:rFonts w:ascii="Lato" w:hAnsi="Lato" w:eastAsia="Lato" w:cs="Lato"/>
          <w:b/>
          <w:i w:val="0"/>
          <w:color w:val="202733"/>
          <w:sz w:val="21"/>
        </w:rPr>
        <w:t>35.2 Review views</w:t>
      </w:r>
      <w:bookmarkEnd w:id="158"/>
    </w:p>
    <w:p>
      <w:r>
        <w:rPr>
          <w:rFonts w:ascii="Noto Serif" w:hAnsi="Noto Serif" w:eastAsia="Noto Serif" w:cs="Noto Serif"/>
          <w:b w:val="0"/>
          <w:i w:val="0"/>
          <w:color w:val="202733"/>
          <w:sz w:val="18"/>
        </w:rPr>
        <w:t>Code review should include semantic diffs: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 imports cap.community.lookup@2</w:t>
        <w:br/>
      </w:r>
      <w:r>
        <w:rPr>
          <w:rFonts w:ascii="DejaVu Sans Mono" w:hAnsi="DejaVu Sans Mono" w:eastAsia="DejaVu Sans Mono" w:cs="DejaVu Sans Mono"/>
          <w:color w:val="202733"/>
          <w:sz w:val="14"/>
        </w:rPr>
        <w:t>+ durable state signup.after_recovery</w:t>
        <w:br/>
      </w:r>
      <w:r>
        <w:rPr>
          <w:rFonts w:ascii="DejaVu Sans Mono" w:hAnsi="DejaVu Sans Mono" w:eastAsia="DejaVu Sans Mono" w:cs="DejaVu Sans Mono"/>
          <w:color w:val="202733"/>
          <w:sz w:val="14"/>
        </w:rPr>
        <w:t>~ continuation carry after_form: 72 bytes -&gt; 416 bytes</w:t>
        <w:br/>
      </w:r>
      <w:r>
        <w:rPr>
          <w:rFonts w:ascii="DejaVu Sans Mono" w:hAnsi="DejaVu Sans Mono" w:eastAsia="DejaVu Sans Mono" w:cs="DejaVu Sans Mono"/>
          <w:color w:val="202733"/>
          <w:sz w:val="14"/>
        </w:rPr>
        <w:t>+ effect credential.bind-recovery@1</w:t>
        <w:br/>
      </w:r>
      <w:r>
        <w:rPr>
          <w:rFonts w:ascii="DejaVu Sans Mono" w:hAnsi="DejaVu Sans Mono" w:eastAsia="DejaVu Sans Mono" w:cs="DejaVu Sans Mono"/>
          <w:color w:val="202733"/>
          <w:sz w:val="14"/>
        </w:rPr>
        <w:t>- denial outcome member_exists</w:t>
        <w:br/>
      </w:r>
      <w:r>
        <w:rPr>
          <w:rFonts w:ascii="DejaVu Sans Mono" w:hAnsi="DejaVu Sans Mono" w:eastAsia="DejaVu Sans Mono" w:cs="DejaVu Sans Mono"/>
          <w:color w:val="202733"/>
          <w:sz w:val="14"/>
        </w:rPr>
        <w:t>~ maximum fuel estimate 42k -&gt; 91k</w:t>
      </w:r>
    </w:p>
    <w:p>
      <w:r>
        <w:rPr>
          <w:rFonts w:ascii="Noto Serif" w:hAnsi="Noto Serif" w:eastAsia="Noto Serif" w:cs="Noto Serif"/>
          <w:b w:val="0"/>
          <w:i w:val="0"/>
          <w:color w:val="202733"/>
          <w:sz w:val="18"/>
        </w:rPr>
        <w:t>A small source diff can have a large authority or persistence impact. Semantic diffs make that impact visible.</w:t>
      </w:r>
    </w:p>
    <w:p>
      <w:bookmarkStart w:id="159" w:name="sec_150"/>
      <w:pPr>
        <w:pStyle w:val="Heading2"/>
      </w:pPr>
      <w:r>
        <w:rPr>
          <w:rFonts w:ascii="Lato" w:hAnsi="Lato" w:eastAsia="Lato" w:cs="Lato"/>
          <w:b/>
          <w:i w:val="0"/>
          <w:color w:val="17365D"/>
          <w:sz w:val="26"/>
        </w:rPr>
        <w:t>36. Testing and simulation</w:t>
      </w:r>
      <w:bookmarkEnd w:id="159"/>
    </w:p>
    <w:p>
      <w:bookmarkStart w:id="160" w:name="sec_151"/>
      <w:pPr>
        <w:pStyle w:val="Heading3"/>
      </w:pPr>
      <w:r>
        <w:rPr>
          <w:rFonts w:ascii="Lato" w:hAnsi="Lato" w:eastAsia="Lato" w:cs="Lato"/>
          <w:b/>
          <w:i w:val="0"/>
          <w:color w:val="202733"/>
          <w:sz w:val="21"/>
        </w:rPr>
        <w:t>36.1 Virtual host</w:t>
      </w:r>
      <w:bookmarkEnd w:id="160"/>
    </w:p>
    <w:p>
      <w:r>
        <w:rPr>
          <w:rFonts w:ascii="Noto Serif" w:hAnsi="Noto Serif" w:eastAsia="Noto Serif" w:cs="Noto Serif"/>
          <w:b w:val="0"/>
          <w:i w:val="0"/>
          <w:color w:val="202733"/>
          <w:sz w:val="18"/>
        </w:rPr>
        <w:t>Tests instantiate a world with deterministic handlers:</w:t>
      </w:r>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const result = await test.run(signup, {</w:t>
        <w:br/>
      </w:r>
      <w:r>
        <w:rPr>
          <w:rFonts w:ascii="DejaVu Sans Mono" w:hAnsi="DejaVu Sans Mono" w:eastAsia="DejaVu Sans Mono" w:cs="DejaVu Sans Mono"/>
          <w:color w:val="202733"/>
          <w:sz w:val="14"/>
        </w:rPr>
        <w:t xml:space="preserve">  input: { code: "INVITE-1" },</w:t>
        <w:br/>
      </w:r>
      <w:r>
        <w:rPr>
          <w:rFonts w:ascii="DejaVu Sans Mono" w:hAnsi="DejaVu Sans Mono" w:eastAsia="DejaVu Sans Mono" w:cs="DejaVu Sans Mono"/>
          <w:color w:val="202733"/>
          <w:sz w:val="14"/>
        </w:rPr>
        <w:t xml:space="preserve">  capabilities: {</w:t>
        <w:br/>
      </w:r>
      <w:r>
        <w:rPr>
          <w:rFonts w:ascii="DejaVu Sans Mono" w:hAnsi="DejaVu Sans Mono" w:eastAsia="DejaVu Sans Mono" w:cs="DejaVu Sans Mono"/>
          <w:color w:val="202733"/>
          <w:sz w:val="14"/>
        </w:rPr>
        <w:t xml:space="preserve">    "invitation.inspect": fake.return({</w:t>
        <w:br/>
      </w:r>
      <w:r>
        <w:rPr>
          <w:rFonts w:ascii="DejaVu Sans Mono" w:hAnsi="DejaVu Sans Mono" w:eastAsia="DejaVu Sans Mono" w:cs="DejaVu Sans Mono"/>
          <w:color w:val="202733"/>
          <w:sz w:val="14"/>
        </w:rPr>
        <w:t xml:space="preserve">      kind: "valid",</w:t>
        <w:br/>
      </w:r>
      <w:r>
        <w:rPr>
          <w:rFonts w:ascii="DejaVu Sans Mono" w:hAnsi="DejaVu Sans Mono" w:eastAsia="DejaVu Sans Mono" w:cs="DejaVu Sans Mono"/>
          <w:color w:val="202733"/>
          <w:sz w:val="14"/>
        </w:rPr>
        <w:t xml:space="preserve">      email: "a@example.test",</w:t>
        <w:br/>
      </w:r>
      <w:r>
        <w:rPr>
          <w:rFonts w:ascii="DejaVu Sans Mono" w:hAnsi="DejaVu Sans Mono" w:eastAsia="DejaVu Sans Mono" w:cs="DejaVu Sans Mono"/>
          <w:color w:val="202733"/>
          <w:sz w:val="14"/>
        </w:rPr>
        <w:t xml:space="preserve">      ref: fake.resource("invite-1"),</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durable: [</w:t>
        <w:br/>
      </w:r>
      <w:r>
        <w:rPr>
          <w:rFonts w:ascii="DejaVu Sans Mono" w:hAnsi="DejaVu Sans Mono" w:eastAsia="DejaVu Sans Mono" w:cs="DejaVu Sans Mono"/>
          <w:color w:val="202733"/>
          <w:sz w:val="14"/>
        </w:rPr>
        <w:t xml:space="preserve">    form.submit({ email: "a@example.test", displayName: "A", password: secret("x") }),</w:t>
        <w:br/>
      </w:r>
      <w:r>
        <w:rPr>
          <w:rFonts w:ascii="DejaVu Sans Mono" w:hAnsi="DejaVu Sans Mono" w:eastAsia="DejaVu Sans Mono" w:cs="DejaVu Sans Mono"/>
          <w:color w:val="202733"/>
          <w:sz w:val="14"/>
        </w:rPr>
        <w:t xml:space="preserve">    challenge.succeed("email-code"),</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expect(result.effects).toEqual([</w:t>
        <w:br/>
      </w:r>
      <w:r>
        <w:rPr>
          <w:rFonts w:ascii="DejaVu Sans Mono" w:hAnsi="DejaVu Sans Mono" w:eastAsia="DejaVu Sans Mono" w:cs="DejaVu Sans Mono"/>
          <w:color w:val="202733"/>
          <w:sz w:val="14"/>
        </w:rPr>
        <w:t xml:space="preserve">  "identity.create",</w:t>
        <w:br/>
      </w:r>
      <w:r>
        <w:rPr>
          <w:rFonts w:ascii="DejaVu Sans Mono" w:hAnsi="DejaVu Sans Mono" w:eastAsia="DejaVu Sans Mono" w:cs="DejaVu Sans Mono"/>
          <w:color w:val="202733"/>
          <w:sz w:val="14"/>
        </w:rPr>
        <w:t xml:space="preserve">  "credential.bind-password",</w:t>
        <w:br/>
      </w:r>
      <w:r>
        <w:rPr>
          <w:rFonts w:ascii="DejaVu Sans Mono" w:hAnsi="DejaVu Sans Mono" w:eastAsia="DejaVu Sans Mono" w:cs="DejaVu Sans Mono"/>
          <w:color w:val="202733"/>
          <w:sz w:val="14"/>
        </w:rPr>
        <w:t xml:space="preserve">  "invitation.consume",</w:t>
        <w:br/>
      </w:r>
      <w:r>
        <w:rPr>
          <w:rFonts w:ascii="DejaVu Sans Mono" w:hAnsi="DejaVu Sans Mono" w:eastAsia="DejaVu Sans Mono" w:cs="DejaVu Sans Mono"/>
          <w:color w:val="202733"/>
          <w:sz w:val="14"/>
        </w:rPr>
        <w:t xml:space="preserve">  "session.establish",</w:t>
        <w:br/>
      </w:r>
      <w:r>
        <w:rPr>
          <w:rFonts w:ascii="DejaVu Sans Mono" w:hAnsi="DejaVu Sans Mono" w:eastAsia="DejaVu Sans Mono" w:cs="DejaVu Sans Mono"/>
          <w:color w:val="202733"/>
          <w:sz w:val="14"/>
        </w:rPr>
        <w:t>]);</w:t>
      </w:r>
    </w:p>
    <w:p>
      <w:bookmarkStart w:id="161" w:name="sec_152"/>
      <w:pPr>
        <w:pStyle w:val="Heading3"/>
      </w:pPr>
      <w:r>
        <w:rPr>
          <w:rFonts w:ascii="Lato" w:hAnsi="Lato" w:eastAsia="Lato" w:cs="Lato"/>
          <w:b/>
          <w:i w:val="0"/>
          <w:color w:val="202733"/>
          <w:sz w:val="21"/>
        </w:rPr>
        <w:t>36.2 Fault schedules</w:t>
      </w:r>
      <w:bookmarkEnd w:id="161"/>
    </w:p>
    <w:p>
      <w:r>
        <w:rPr>
          <w:rFonts w:ascii="Noto Serif" w:hAnsi="Noto Serif" w:eastAsia="Noto Serif" w:cs="Noto Serif"/>
          <w:b w:val="0"/>
          <w:i w:val="0"/>
          <w:color w:val="202733"/>
          <w:sz w:val="18"/>
        </w:rPr>
        <w:t>The test runner can inject failure at every semantic boundary:</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before capability call</w:t>
        <w:br/>
      </w:r>
      <w:r>
        <w:rPr>
          <w:rFonts w:ascii="DejaVu Sans Mono" w:hAnsi="DejaVu Sans Mono" w:eastAsia="DejaVu Sans Mono" w:cs="DejaVu Sans Mono"/>
          <w:color w:val="202733"/>
          <w:sz w:val="14"/>
        </w:rPr>
        <w:t>after capability completion before Promise settlement</w:t>
        <w:br/>
      </w:r>
      <w:r>
        <w:rPr>
          <w:rFonts w:ascii="DejaVu Sans Mono" w:hAnsi="DejaVu Sans Mono" w:eastAsia="DejaVu Sans Mono" w:cs="DejaVu Sans Mono"/>
          <w:color w:val="202733"/>
          <w:sz w:val="14"/>
        </w:rPr>
        <w:t>before continuation insert</w:t>
        <w:br/>
      </w:r>
      <w:r>
        <w:rPr>
          <w:rFonts w:ascii="DejaVu Sans Mono" w:hAnsi="DejaVu Sans Mono" w:eastAsia="DejaVu Sans Mono" w:cs="DejaVu Sans Mono"/>
          <w:color w:val="202733"/>
          <w:sz w:val="14"/>
        </w:rPr>
        <w:t>after continuation insert before response</w:t>
        <w:br/>
      </w:r>
      <w:r>
        <w:rPr>
          <w:rFonts w:ascii="DejaVu Sans Mono" w:hAnsi="DejaVu Sans Mono" w:eastAsia="DejaVu Sans Mono" w:cs="DejaVu Sans Mono"/>
          <w:color w:val="202733"/>
          <w:sz w:val="14"/>
        </w:rPr>
        <w:t>before challenge delivery</w:t>
        <w:br/>
      </w:r>
      <w:r>
        <w:rPr>
          <w:rFonts w:ascii="DejaVu Sans Mono" w:hAnsi="DejaVu Sans Mono" w:eastAsia="DejaVu Sans Mono" w:cs="DejaVu Sans Mono"/>
          <w:color w:val="202733"/>
          <w:sz w:val="14"/>
        </w:rPr>
        <w:t>after challenge proof before revision advance</w:t>
        <w:br/>
      </w:r>
      <w:r>
        <w:rPr>
          <w:rFonts w:ascii="DejaVu Sans Mono" w:hAnsi="DejaVu Sans Mono" w:eastAsia="DejaVu Sans Mono" w:cs="DejaVu Sans Mono"/>
          <w:color w:val="202733"/>
          <w:sz w:val="14"/>
        </w:rPr>
        <w:t>before commit</w:t>
        <w:br/>
      </w:r>
      <w:r>
        <w:rPr>
          <w:rFonts w:ascii="DejaVu Sans Mono" w:hAnsi="DejaVu Sans Mono" w:eastAsia="DejaVu Sans Mono" w:cs="DejaVu Sans Mono"/>
          <w:color w:val="202733"/>
          <w:sz w:val="14"/>
        </w:rPr>
        <w:t>between each native effect</w:t>
        <w:br/>
      </w:r>
      <w:r>
        <w:rPr>
          <w:rFonts w:ascii="DejaVu Sans Mono" w:hAnsi="DejaVu Sans Mono" w:eastAsia="DejaVu Sans Mono" w:cs="DejaVu Sans Mono"/>
          <w:color w:val="202733"/>
          <w:sz w:val="14"/>
        </w:rPr>
        <w:t>before transaction commit</w:t>
        <w:br/>
      </w:r>
      <w:r>
        <w:rPr>
          <w:rFonts w:ascii="DejaVu Sans Mono" w:hAnsi="DejaVu Sans Mono" w:eastAsia="DejaVu Sans Mono" w:cs="DejaVu Sans Mono"/>
          <w:color w:val="202733"/>
          <w:sz w:val="14"/>
        </w:rPr>
        <w:t>after transaction commit before terminal response</w:t>
      </w:r>
    </w:p>
    <w:p>
      <w:r>
        <w:rPr>
          <w:rFonts w:ascii="Noto Serif" w:hAnsi="Noto Serif" w:eastAsia="Noto Serif" w:cs="Noto Serif"/>
          <w:b w:val="0"/>
          <w:i w:val="0"/>
          <w:color w:val="202733"/>
          <w:sz w:val="18"/>
        </w:rPr>
        <w:t>Expected idempotency, replay, and worker-disposal behavior can be generated from operation traits.</w:t>
      </w:r>
    </w:p>
    <w:p>
      <w:bookmarkStart w:id="162" w:name="sec_153"/>
      <w:pPr>
        <w:pStyle w:val="Heading3"/>
      </w:pPr>
      <w:r>
        <w:rPr>
          <w:rFonts w:ascii="Lato" w:hAnsi="Lato" w:eastAsia="Lato" w:cs="Lato"/>
          <w:b/>
          <w:i w:val="0"/>
          <w:color w:val="202733"/>
          <w:sz w:val="21"/>
        </w:rPr>
        <w:t>36.3 Model-based coverage</w:t>
      </w:r>
      <w:bookmarkEnd w:id="162"/>
    </w:p>
    <w:p>
      <w:r>
        <w:rPr>
          <w:rFonts w:ascii="Noto Serif" w:hAnsi="Noto Serif" w:eastAsia="Noto Serif" w:cs="Noto Serif"/>
          <w:b w:val="0"/>
          <w:i w:val="0"/>
          <w:color w:val="202733"/>
          <w:sz w:val="18"/>
        </w:rPr>
        <w:t>Coverage should include:</w:t>
      </w:r>
    </w:p>
    <w:p>
      <w:pPr>
        <w:pStyle w:val="ListBullet"/>
      </w:pPr>
      <w:r>
        <w:rPr>
          <w:rFonts w:ascii="Noto Serif" w:hAnsi="Noto Serif" w:eastAsia="Noto Serif" w:cs="Noto Serif"/>
          <w:b w:val="0"/>
          <w:i w:val="0"/>
          <w:color w:val="202733"/>
          <w:sz w:val="18"/>
        </w:rPr>
        <w:t>source branches;</w:t>
      </w:r>
    </w:p>
    <w:p>
      <w:pPr>
        <w:pStyle w:val="ListBullet"/>
      </w:pPr>
      <w:r>
        <w:rPr>
          <w:rFonts w:ascii="Noto Serif" w:hAnsi="Noto Serif" w:eastAsia="Noto Serif" w:cs="Noto Serif"/>
          <w:b w:val="0"/>
          <w:i w:val="0"/>
          <w:color w:val="202733"/>
          <w:sz w:val="18"/>
        </w:rPr>
        <w:t>MIR blocks and outcomes;</w:t>
      </w:r>
    </w:p>
    <w:p>
      <w:pPr>
        <w:pStyle w:val="ListBullet"/>
      </w:pPr>
      <w:r>
        <w:rPr>
          <w:rFonts w:ascii="Noto Serif" w:hAnsi="Noto Serif" w:eastAsia="Noto Serif" w:cs="Noto Serif"/>
          <w:b w:val="0"/>
          <w:i w:val="0"/>
          <w:color w:val="202733"/>
          <w:sz w:val="18"/>
        </w:rPr>
        <w:t>capability/effect variants;</w:t>
      </w:r>
    </w:p>
    <w:p>
      <w:pPr>
        <w:pStyle w:val="ListBullet"/>
      </w:pPr>
      <w:r>
        <w:rPr>
          <w:rFonts w:ascii="Noto Serif" w:hAnsi="Noto Serif" w:eastAsia="Noto Serif" w:cs="Noto Serif"/>
          <w:b w:val="0"/>
          <w:i w:val="0"/>
          <w:color w:val="202733"/>
          <w:sz w:val="18"/>
        </w:rPr>
        <w:t>continuation states;</w:t>
      </w:r>
    </w:p>
    <w:p>
      <w:pPr>
        <w:pStyle w:val="ListBullet"/>
      </w:pPr>
      <w:r>
        <w:rPr>
          <w:rFonts w:ascii="Noto Serif" w:hAnsi="Noto Serif" w:eastAsia="Noto Serif" w:cs="Noto Serif"/>
          <w:b w:val="0"/>
          <w:i w:val="0"/>
          <w:color w:val="202733"/>
          <w:sz w:val="18"/>
        </w:rPr>
        <w:t>verifier rule cases;</w:t>
      </w:r>
    </w:p>
    <w:p>
      <w:pPr>
        <w:pStyle w:val="ListBullet"/>
      </w:pPr>
      <w:r>
        <w:rPr>
          <w:rFonts w:ascii="Noto Serif" w:hAnsi="Noto Serif" w:eastAsia="Noto Serif" w:cs="Noto Serif"/>
          <w:b w:val="0"/>
          <w:i w:val="0"/>
          <w:color w:val="202733"/>
          <w:sz w:val="18"/>
        </w:rPr>
        <w:t>failure and retry boundaries;</w:t>
      </w:r>
    </w:p>
    <w:p>
      <w:pPr>
        <w:pStyle w:val="ListBullet"/>
      </w:pPr>
      <w:r>
        <w:rPr>
          <w:rFonts w:ascii="Noto Serif" w:hAnsi="Noto Serif" w:eastAsia="Noto Serif" w:cs="Noto Serif"/>
          <w:b w:val="0"/>
          <w:i w:val="0"/>
          <w:color w:val="202733"/>
          <w:sz w:val="18"/>
        </w:rPr>
        <w:t>generation migration paths.</w:t>
      </w:r>
    </w:p>
    <w:p>
      <w:r>
        <w:rPr>
          <w:rFonts w:ascii="Noto Serif" w:hAnsi="Noto Serif" w:eastAsia="Noto Serif" w:cs="Noto Serif"/>
          <w:b w:val="0"/>
          <w:i w:val="0"/>
          <w:color w:val="202733"/>
          <w:sz w:val="18"/>
        </w:rPr>
        <w:t>This is more meaningful than line coverage alone.</w:t>
      </w:r>
    </w:p>
    <w:p>
      <w:bookmarkStart w:id="163" w:name="sec_154"/>
      <w:pPr>
        <w:pStyle w:val="Heading2"/>
      </w:pPr>
      <w:r>
        <w:rPr>
          <w:rFonts w:ascii="Lato" w:hAnsi="Lato" w:eastAsia="Lato" w:cs="Lato"/>
          <w:b/>
          <w:i w:val="0"/>
          <w:color w:val="17365D"/>
          <w:sz w:val="26"/>
        </w:rPr>
        <w:t>37. Packaging, linking, and reusable libraries</w:t>
      </w:r>
      <w:bookmarkEnd w:id="163"/>
    </w:p>
    <w:p>
      <w:r>
        <w:rPr>
          <w:rFonts w:ascii="Noto Serif" w:hAnsi="Noto Serif" w:eastAsia="Noto Serif" w:cs="Noto Serif"/>
          <w:b w:val="0"/>
          <w:i w:val="0"/>
          <w:color w:val="202733"/>
          <w:sz w:val="18"/>
        </w:rPr>
        <w:t>A package declares: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package identity.example/recovery@2.3.1</w:t>
        <w:br/>
      </w:r>
      <w:r>
        <w:rPr>
          <w:rFonts w:ascii="DejaVu Sans Mono" w:hAnsi="DejaVu Sans Mono" w:eastAsia="DejaVu Sans Mono" w:cs="DejaVu Sans Mono"/>
          <w:color w:val="202733"/>
          <w:sz w:val="14"/>
        </w:rPr>
        <w:t>requires world-interface tinyidp/recovery@2</w:t>
        <w:br/>
      </w:r>
      <w:r>
        <w:rPr>
          <w:rFonts w:ascii="DejaVu Sans Mono" w:hAnsi="DejaVu Sans Mono" w:eastAsia="DejaVu Sans Mono" w:cs="DejaVu Sans Mono"/>
          <w:color w:val="202733"/>
          <w:sz w:val="14"/>
        </w:rPr>
        <w:t>exports workflow password-recovery</w:t>
        <w:br/>
      </w:r>
      <w:r>
        <w:rPr>
          <w:rFonts w:ascii="DejaVu Sans Mono" w:hAnsi="DejaVu Sans Mono" w:eastAsia="DejaVu Sans Mono" w:cs="DejaVu Sans Mono"/>
          <w:color w:val="202733"/>
          <w:sz w:val="14"/>
        </w:rPr>
        <w:t>imports library identity.example/common-validation@1</w:t>
      </w:r>
    </w:p>
    <w:p>
      <w:r>
        <w:rPr>
          <w:rFonts w:ascii="Noto Serif" w:hAnsi="Noto Serif" w:eastAsia="Noto Serif" w:cs="Noto Serif"/>
          <w:b w:val="0"/>
          <w:i w:val="0"/>
          <w:color w:val="202733"/>
          <w:sz w:val="18"/>
        </w:rPr>
        <w:t>Libraries publish MIR summaries and source maps. The linker resolves world imports, dialect versions, resource types, and effects. A library cannot gain authority merely because its caller has it; capability values must be passed or its effect summary must be satisfied explicitly.</w:t>
      </w:r>
    </w:p>
    <w:p>
      <w:bookmarkStart w:id="164" w:name="sec_155"/>
      <w:pPr>
        <w:pStyle w:val="Heading3"/>
      </w:pPr>
      <w:r>
        <w:rPr>
          <w:rFonts w:ascii="Lato" w:hAnsi="Lato" w:eastAsia="Lato" w:cs="Lato"/>
          <w:b/>
          <w:i w:val="0"/>
          <w:color w:val="202733"/>
          <w:sz w:val="21"/>
        </w:rPr>
        <w:t>37.1 Attenuated capabilities</w:t>
      </w:r>
      <w:bookmarkEnd w:id="164"/>
    </w:p>
    <w:p>
      <w:r>
        <w:rPr>
          <w:rFonts w:ascii="Noto Serif" w:hAnsi="Noto Serif" w:eastAsia="Noto Serif" w:cs="Noto Serif"/>
          <w:b w:val="0"/>
          <w:i w:val="0"/>
          <w:color w:val="202733"/>
          <w:sz w:val="18"/>
        </w:rPr>
        <w:t>A caller may pass a narrowed wrapper:</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const lookupByEmail = attenuate(ctx.community.lookup, {</w:t>
        <w:br/>
      </w:r>
      <w:r>
        <w:rPr>
          <w:rFonts w:ascii="DejaVu Sans Mono" w:hAnsi="DejaVu Sans Mono" w:eastAsia="DejaVu Sans Mono" w:cs="DejaVu Sans Mono"/>
          <w:color w:val="202733"/>
          <w:sz w:val="14"/>
        </w:rPr>
        <w:t xml:space="preserve">  fields: ["exists"],</w:t>
        <w:br/>
      </w:r>
      <w:r>
        <w:rPr>
          <w:rFonts w:ascii="DejaVu Sans Mono" w:hAnsi="DejaVu Sans Mono" w:eastAsia="DejaVu Sans Mono" w:cs="DejaVu Sans Mono"/>
          <w:color w:val="202733"/>
          <w:sz w:val="14"/>
        </w:rPr>
        <w:t xml:space="preserve">  maxCalls: 1,</w:t>
        <w:br/>
      </w:r>
      <w:r>
        <w:rPr>
          <w:rFonts w:ascii="DejaVu Sans Mono" w:hAnsi="DejaVu Sans Mono" w:eastAsia="DejaVu Sans Mono" w:cs="DejaVu Sans Mono"/>
          <w:color w:val="202733"/>
          <w:sz w:val="14"/>
        </w:rPr>
        <w:t>});</w:t>
        <w:br/>
      </w:r>
      <w:r>
        <w:rPr>
          <w:rFonts w:ascii="DejaVu Sans Mono" w:hAnsi="DejaVu Sans Mono" w:eastAsia="DejaVu Sans Mono" w:cs="DejaVu Sans Mono"/>
          <w:color w:val="202733"/>
          <w:sz w:val="14"/>
        </w:rPr>
        <w:br/>
      </w:r>
      <w:r>
        <w:rPr>
          <w:rFonts w:ascii="DejaVu Sans Mono" w:hAnsi="DejaVu Sans Mono" w:eastAsia="DejaVu Sans Mono" w:cs="DejaVu Sans Mono"/>
          <w:color w:val="202733"/>
          <w:sz w:val="14"/>
        </w:rPr>
        <w:t>return commonCheck({ lookupByEmail });</w:t>
      </w:r>
    </w:p>
    <w:p>
      <w:r>
        <w:rPr>
          <w:rFonts w:ascii="Noto Serif" w:hAnsi="Noto Serif" w:eastAsia="Noto Serif" w:cs="Noto Serif"/>
          <w:b w:val="0"/>
          <w:i w:val="0"/>
          <w:color w:val="202733"/>
          <w:sz w:val="18"/>
        </w:rPr>
        <w:t>The compiler models attenuation as a new capability type whose result schema and budget are narrower than the original.</w:t>
      </w:r>
    </w:p>
    <w:p>
      <w:bookmarkStart w:id="165" w:name="sec_156"/>
      <w:pPr>
        <w:pStyle w:val="Heading3"/>
      </w:pPr>
      <w:r>
        <w:rPr>
          <w:rFonts w:ascii="Lato" w:hAnsi="Lato" w:eastAsia="Lato" w:cs="Lato"/>
          <w:b/>
          <w:i w:val="0"/>
          <w:color w:val="202733"/>
          <w:sz w:val="21"/>
        </w:rPr>
        <w:t>37.2 Dependency review</w:t>
      </w:r>
      <w:bookmarkEnd w:id="165"/>
    </w:p>
    <w:p>
      <w:r>
        <w:rPr>
          <w:rFonts w:ascii="Noto Serif" w:hAnsi="Noto Serif" w:eastAsia="Noto Serif" w:cs="Noto Serif"/>
          <w:b w:val="0"/>
          <w:i w:val="0"/>
          <w:color w:val="202733"/>
          <w:sz w:val="18"/>
        </w:rPr>
        <w:t>A lockfile should include semantic hashes and authority summaries, not only source package versions: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common-validation@1.4.2</w:t>
        <w:br/>
      </w:r>
      <w:r>
        <w:rPr>
          <w:rFonts w:ascii="DejaVu Sans Mono" w:hAnsi="DejaVu Sans Mono" w:eastAsia="DejaVu Sans Mono" w:cs="DejaVu Sans Mono"/>
          <w:color w:val="202733"/>
          <w:sz w:val="14"/>
        </w:rPr>
        <w:t xml:space="preserve">  mir sha256:...</w:t>
        <w:br/>
      </w:r>
      <w:r>
        <w:rPr>
          <w:rFonts w:ascii="DejaVu Sans Mono" w:hAnsi="DejaVu Sans Mono" w:eastAsia="DejaVu Sans Mono" w:cs="DejaVu Sans Mono"/>
          <w:color w:val="202733"/>
          <w:sz w:val="14"/>
        </w:rPr>
        <w:t xml:space="preserve">  effects: [cap.community.lookup]</w:t>
        <w:br/>
      </w:r>
      <w:r>
        <w:rPr>
          <w:rFonts w:ascii="DejaVu Sans Mono" w:hAnsi="DejaVu Sans Mono" w:eastAsia="DejaVu Sans Mono" w:cs="DejaVu Sans Mono"/>
          <w:color w:val="202733"/>
          <w:sz w:val="14"/>
        </w:rPr>
        <w:t xml:space="preserve">  resources: none</w:t>
        <w:br/>
      </w:r>
      <w:r>
        <w:rPr>
          <w:rFonts w:ascii="DejaVu Sans Mono" w:hAnsi="DejaVu Sans Mono" w:eastAsia="DejaVu Sans Mono" w:cs="DejaVu Sans Mono"/>
          <w:color w:val="202733"/>
          <w:sz w:val="14"/>
        </w:rPr>
        <w:t xml:space="preserve">  durable suspension: none</w:t>
        <w:br/>
      </w:r>
      <w:r>
        <w:rPr>
          <w:rFonts w:ascii="DejaVu Sans Mono" w:hAnsi="DejaVu Sans Mono" w:eastAsia="DejaVu Sans Mono" w:cs="DejaVu Sans Mono"/>
          <w:color w:val="202733"/>
          <w:sz w:val="14"/>
        </w:rPr>
        <w:t xml:space="preserve">  profile: assurance-js@1.3</w:t>
      </w:r>
    </w:p>
    <w:p>
      <w:bookmarkStart w:id="166" w:name="sec_157"/>
      <w:pPr>
        <w:pStyle w:val="Heading2"/>
      </w:pPr>
      <w:r>
        <w:rPr>
          <w:rFonts w:ascii="Lato" w:hAnsi="Lato" w:eastAsia="Lato" w:cs="Lato"/>
          <w:b/>
          <w:i w:val="0"/>
          <w:color w:val="17365D"/>
          <w:sz w:val="26"/>
        </w:rPr>
        <w:t>38. Semantic hot reload and migration</w:t>
      </w:r>
      <w:bookmarkEnd w:id="166"/>
    </w:p>
    <w:p>
      <w:r>
        <w:rPr>
          <w:rFonts w:ascii="Noto Serif" w:hAnsi="Noto Serif" w:eastAsia="Noto Serif" w:cs="Noto Serif"/>
          <w:b w:val="0"/>
          <w:i w:val="0"/>
          <w:color w:val="202733"/>
          <w:sz w:val="18"/>
        </w:rPr>
        <w:t>The current Tiny-IDP design correctly pins continuations to generation identity.[14] A compiler platform can add a migration language.</w:t>
      </w:r>
    </w:p>
    <w:p>
      <w:bookmarkStart w:id="167" w:name="sec_158"/>
      <w:pPr>
        <w:pStyle w:val="Heading3"/>
      </w:pPr>
      <w:r>
        <w:rPr>
          <w:rFonts w:ascii="Lato" w:hAnsi="Lato" w:eastAsia="Lato" w:cs="Lato"/>
          <w:b/>
          <w:i w:val="0"/>
          <w:color w:val="202733"/>
          <w:sz w:val="21"/>
        </w:rPr>
        <w:t>38.1 Compatibility categories</w:t>
      </w:r>
      <w:bookmarkEnd w:id="167"/>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backend-only change</w:t>
      </w:r>
      <w:r>
        <w:rPr>
          <w:rFonts w:ascii="Noto Serif" w:hAnsi="Noto Serif" w:eastAsia="Noto Serif" w:cs="Noto Serif"/>
          <w:b w:val="0"/>
          <w:i w:val="0"/>
          <w:color w:val="202733"/>
          <w:sz w:val="18"/>
        </w:rPr>
        <w:t>: same MIR and schemas; safe to replace workers;</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source-only equivalent change</w:t>
      </w:r>
      <w:r>
        <w:rPr>
          <w:rFonts w:ascii="Noto Serif" w:hAnsi="Noto Serif" w:eastAsia="Noto Serif" w:cs="Noto Serif"/>
          <w:b w:val="0"/>
          <w:i w:val="0"/>
          <w:color w:val="202733"/>
          <w:sz w:val="18"/>
        </w:rPr>
        <w:t>: different source, same canonical MIR;</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compatible semantic change</w:t>
      </w:r>
      <w:r>
        <w:rPr>
          <w:rFonts w:ascii="Noto Serif" w:hAnsi="Noto Serif" w:eastAsia="Noto Serif" w:cs="Noto Serif"/>
          <w:b w:val="0"/>
          <w:i w:val="0"/>
          <w:color w:val="202733"/>
          <w:sz w:val="18"/>
        </w:rPr>
        <w:t>: new branches/effects that do not affect existing continuation handlers;</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continuation migration</w:t>
      </w:r>
      <w:r>
        <w:rPr>
          <w:rFonts w:ascii="Noto Serif" w:hAnsi="Noto Serif" w:eastAsia="Noto Serif" w:cs="Noto Serif"/>
          <w:b w:val="0"/>
          <w:i w:val="0"/>
          <w:color w:val="202733"/>
          <w:sz w:val="18"/>
        </w:rPr>
        <w:t>: old carry schema transformed to new schema under an explicit total function;</w:t>
      </w:r>
    </w:p>
    <w:p>
      <w:pPr>
        <w:pStyle w:val="ListBullet"/>
      </w:pPr>
      <w:r>
        <w:rPr>
          <w:rFonts w:ascii="Noto Serif" w:hAnsi="Noto Serif" w:eastAsia="Noto Serif" w:cs="Noto Serif"/>
          <w:b w:val="0"/>
          <w:i w:val="0"/>
          <w:color w:val="202733"/>
          <w:sz w:val="18"/>
        </w:rPr>
      </w:r>
      <w:r>
        <w:rPr>
          <w:rFonts w:ascii="Noto Serif" w:hAnsi="Noto Serif" w:eastAsia="Noto Serif" w:cs="Noto Serif"/>
          <w:b/>
          <w:i w:val="0"/>
          <w:color w:val="202733"/>
          <w:sz w:val="18"/>
        </w:rPr>
        <w:t>breaking change</w:t>
      </w:r>
      <w:r>
        <w:rPr>
          <w:rFonts w:ascii="Noto Serif" w:hAnsi="Noto Serif" w:eastAsia="Noto Serif" w:cs="Noto Serif"/>
          <w:b w:val="0"/>
          <w:i w:val="0"/>
          <w:color w:val="202733"/>
          <w:sz w:val="18"/>
        </w:rPr>
        <w:t>: old generation must remain resident or active continuations must be revoked.</w:t>
      </w:r>
    </w:p>
    <w:p>
      <w:bookmarkStart w:id="168" w:name="sec_159"/>
      <w:pPr>
        <w:pStyle w:val="Heading3"/>
      </w:pPr>
      <w:r>
        <w:rPr>
          <w:rFonts w:ascii="Lato" w:hAnsi="Lato" w:eastAsia="Lato" w:cs="Lato"/>
          <w:b/>
          <w:i w:val="0"/>
          <w:color w:val="202733"/>
          <w:sz w:val="21"/>
        </w:rPr>
        <w:t>38.2 Migration functions</w:t>
      </w:r>
      <w:bookmarkEnd w:id="168"/>
    </w:p>
    <w:p>
      <w:r>
        <w:rPr>
          <w:rFonts w:ascii="Noto Serif" w:hAnsi="Noto Serif" w:eastAsia="Noto Serif" w:cs="Noto Serif"/>
          <w:b w:val="0"/>
          <w:i w:val="0"/>
          <w:color w:val="202733"/>
          <w:sz w:val="18"/>
        </w:rPr>
        <w:t>Migration code should be pure, terminating, and operate only on public carry and native references:</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JAVASCRIPT</w:t>
        <w:br/>
      </w:r>
      <w:r>
        <w:rPr>
          <w:rFonts w:ascii="DejaVu Sans Mono" w:hAnsi="DejaVu Sans Mono" w:eastAsia="DejaVu Sans Mono" w:cs="DejaVu Sans Mono"/>
          <w:color w:val="202733"/>
          <w:sz w:val="14"/>
        </w:rPr>
        <w:t>migrate("signup.after_email", from(2), to(3), old =&gt; ({</w:t>
        <w:br/>
      </w:r>
      <w:r>
        <w:rPr>
          <w:rFonts w:ascii="DejaVu Sans Mono" w:hAnsi="DejaVu Sans Mono" w:eastAsia="DejaVu Sans Mono" w:cs="DejaVu Sans Mono"/>
          <w:color w:val="202733"/>
          <w:sz w:val="14"/>
        </w:rPr>
        <w:t xml:space="preserve">  email: normalizeEmail(old.email),</w:t>
        <w:br/>
      </w:r>
      <w:r>
        <w:rPr>
          <w:rFonts w:ascii="DejaVu Sans Mono" w:hAnsi="DejaVu Sans Mono" w:eastAsia="DejaVu Sans Mono" w:cs="DejaVu Sans Mono"/>
          <w:color w:val="202733"/>
          <w:sz w:val="14"/>
        </w:rPr>
        <w:t xml:space="preserve">  inviteRef: old.inviteRef,</w:t>
        <w:br/>
      </w:r>
      <w:r>
        <w:rPr>
          <w:rFonts w:ascii="DejaVu Sans Mono" w:hAnsi="DejaVu Sans Mono" w:eastAsia="DejaVu Sans Mono" w:cs="DejaVu Sans Mono"/>
          <w:color w:val="202733"/>
          <w:sz w:val="14"/>
        </w:rPr>
        <w:t xml:space="preserve">  locale: "en-US",</w:t>
        <w:br/>
      </w:r>
      <w:r>
        <w:rPr>
          <w:rFonts w:ascii="DejaVu Sans Mono" w:hAnsi="DejaVu Sans Mono" w:eastAsia="DejaVu Sans Mono" w:cs="DejaVu Sans Mono"/>
          <w:color w:val="202733"/>
          <w:sz w:val="14"/>
        </w:rPr>
        <w:t>}));</w:t>
      </w:r>
    </w:p>
    <w:p>
      <w:r>
        <w:rPr>
          <w:rFonts w:ascii="Noto Serif" w:hAnsi="Noto Serif" w:eastAsia="Noto Serif" w:cs="Noto Serif"/>
          <w:b w:val="0"/>
          <w:i w:val="0"/>
          <w:color w:val="202733"/>
          <w:sz w:val="18"/>
        </w:rPr>
        <w:t>The compiler verifies totality over the old schema where feasible, forbids capabilities and secrets, and emits a migration artifact separately from request handlers.</w:t>
      </w:r>
    </w:p>
    <w:p>
      <w:bookmarkStart w:id="169" w:name="sec_160"/>
      <w:pPr>
        <w:pStyle w:val="Heading1"/>
        <w:pageBreakBefore/>
      </w:pPr>
      <w:r>
        <w:rPr>
          <w:rFonts w:ascii="Lato" w:hAnsi="Lato" w:eastAsia="Lato" w:cs="Lato"/>
          <w:b/>
          <w:i w:val="0"/>
          <w:color w:val="17365D"/>
          <w:sz w:val="37"/>
        </w:rPr>
        <w:t>Part VIII - Evaluation, risks, and roadmap</w:t>
      </w:r>
      <w:bookmarkEnd w:id="169"/>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170" w:name="sec_161"/>
      <w:pPr>
        <w:pStyle w:val="Heading2"/>
      </w:pPr>
      <w:r>
        <w:rPr>
          <w:rFonts w:ascii="Lato" w:hAnsi="Lato" w:eastAsia="Lato" w:cs="Lato"/>
          <w:b/>
          <w:i w:val="0"/>
          <w:color w:val="17365D"/>
          <w:sz w:val="26"/>
        </w:rPr>
        <w:t>39. Option matrix</w:t>
      </w:r>
      <w:bookmarkEnd w:id="170"/>
    </w:p>
    <w:tbl>
      <w:tblPr>
        <w:tblW w:type="auto" w:w="0"/>
        <w:jc w:val="center"/>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694"/>
        <w:gridCol w:w="1694"/>
        <w:gridCol w:w="1694"/>
        <w:gridCol w:w="1694"/>
        <w:gridCol w:w="1694"/>
        <w:gridCol w:w="1694"/>
      </w:tblGrid>
      <w:tr>
        <w:trPr>
          <w:trHeight w:hRule="atLeast"/>
          <w:tblHeader w:val="true"/>
        </w:trPr>
        <w:tc>
          <w:tcPr>
            <w:tcW w:type="dxa" w:w="2307"/>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4"/>
              </w:rPr>
              <w:t>Criterion</w:t>
            </w:r>
          </w:p>
        </w:tc>
        <w:tc>
          <w:tcPr>
            <w:tcW w:type="dxa" w:w="1289"/>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4"/>
              </w:rPr>
              <w:t>Public Goja</w:t>
            </w:r>
          </w:p>
        </w:tc>
        <w:tc>
          <w:tcPr>
            <w:tcW w:type="dxa" w:w="1696"/>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4"/>
              </w:rPr>
              <w:t>AST/front end</w:t>
            </w:r>
          </w:p>
        </w:tc>
        <w:tc>
          <w:tcPr>
            <w:tcW w:type="dxa" w:w="1153"/>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4"/>
              </w:rPr>
              <w:t>Goja fork</w:t>
            </w:r>
          </w:p>
        </w:tc>
        <w:tc>
          <w:tcPr>
            <w:tcW w:type="dxa" w:w="1425"/>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4"/>
              </w:rPr>
              <w:t>Own MIR/interpreter</w:t>
            </w:r>
          </w:p>
        </w:tc>
        <w:tc>
          <w:tcPr>
            <w:tcW w:type="dxa" w:w="2239"/>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4"/>
              </w:rPr>
              <w:t>Full JS engine</w:t>
            </w:r>
          </w:p>
        </w:tc>
      </w:tr>
      <w:tr>
        <w:trPr>
          <w:trHeight w:hRule="atLeast"/>
        </w:trPr>
        <w:tc>
          <w:tcPr>
            <w:tcW w:type="dxa" w:w="230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Initial engineering cost</w:t>
            </w:r>
          </w:p>
        </w:tc>
        <w:tc>
          <w:tcPr>
            <w:tcW w:type="dxa" w:w="128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Low</w:t>
            </w:r>
          </w:p>
        </w:tc>
        <w:tc>
          <w:tcPr>
            <w:tcW w:type="dxa" w:w="1696"/>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Medium</w:t>
            </w:r>
          </w:p>
        </w:tc>
        <w:tc>
          <w:tcPr>
            <w:tcW w:type="dxa" w:w="115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Medium-high</w:t>
            </w:r>
          </w:p>
        </w:tc>
        <w:tc>
          <w:tcPr>
            <w:tcW w:type="dxa" w:w="14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High</w:t>
            </w:r>
          </w:p>
        </w:tc>
        <w:tc>
          <w:tcPr>
            <w:tcW w:type="dxa" w:w="223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Extreme</w:t>
            </w:r>
          </w:p>
        </w:tc>
      </w:tr>
      <w:tr>
        <w:trPr>
          <w:trHeight w:hRule="atLeast"/>
        </w:trPr>
        <w:tc>
          <w:tcPr>
            <w:tcW w:type="dxa" w:w="230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Ongoing upstream burden</w:t>
            </w:r>
          </w:p>
        </w:tc>
        <w:tc>
          <w:tcPr>
            <w:tcW w:type="dxa" w:w="128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Low</w:t>
            </w:r>
          </w:p>
        </w:tc>
        <w:tc>
          <w:tcPr>
            <w:tcW w:type="dxa" w:w="1696"/>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Medium</w:t>
            </w:r>
          </w:p>
        </w:tc>
        <w:tc>
          <w:tcPr>
            <w:tcW w:type="dxa" w:w="115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High</w:t>
            </w:r>
          </w:p>
        </w:tc>
        <w:tc>
          <w:tcPr>
            <w:tcW w:type="dxa" w:w="14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Medium-high</w:t>
            </w:r>
          </w:p>
        </w:tc>
        <w:tc>
          <w:tcPr>
            <w:tcW w:type="dxa" w:w="223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Extreme</w:t>
            </w:r>
          </w:p>
        </w:tc>
      </w:tr>
      <w:tr>
        <w:trPr>
          <w:trHeight w:hRule="atLeast"/>
        </w:trPr>
        <w:tc>
          <w:tcPr>
            <w:tcW w:type="dxa" w:w="230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Static capability/effect inference</w:t>
            </w:r>
          </w:p>
        </w:tc>
        <w:tc>
          <w:tcPr>
            <w:tcW w:type="dxa" w:w="128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Limited</w:t>
            </w:r>
          </w:p>
        </w:tc>
        <w:tc>
          <w:tcPr>
            <w:tcW w:type="dxa" w:w="1696"/>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Strong</w:t>
            </w:r>
          </w:p>
        </w:tc>
        <w:tc>
          <w:tcPr>
            <w:tcW w:type="dxa" w:w="115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Strong</w:t>
            </w:r>
          </w:p>
        </w:tc>
        <w:tc>
          <w:tcPr>
            <w:tcW w:type="dxa" w:w="14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Strongest</w:t>
            </w:r>
          </w:p>
        </w:tc>
        <w:tc>
          <w:tcPr>
            <w:tcW w:type="dxa" w:w="223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Strong</w:t>
            </w:r>
          </w:p>
        </w:tc>
      </w:tr>
      <w:tr>
        <w:trPr>
          <w:trHeight w:hRule="atLeast"/>
        </w:trPr>
        <w:tc>
          <w:tcPr>
            <w:tcW w:type="dxa" w:w="230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 xml:space="preserve">Durable </w:t>
            </w:r>
            <w:r>
              <w:rPr>
                <w:rFonts w:ascii="DejaVu Sans Mono" w:hAnsi="DejaVu Sans Mono" w:eastAsia="DejaVu Sans Mono" w:cs="DejaVu Sans Mono"/>
                <w:b w:val="0"/>
                <w:i w:val="0"/>
                <w:color w:val="202733"/>
                <w:sz w:val="15"/>
                <w:shd w:fill="EDF1F4" w:val="clear"/>
              </w:rPr>
              <w:t>await</w:t>
            </w:r>
            <w:r>
              <w:rPr>
                <w:rFonts w:ascii="Noto Serif" w:hAnsi="Noto Serif" w:eastAsia="Noto Serif" w:cs="Noto Serif"/>
                <w:b w:val="0"/>
                <w:i w:val="0"/>
                <w:color w:val="202733"/>
                <w:sz w:val="14"/>
              </w:rPr>
              <w:t xml:space="preserve"> lowering</w:t>
            </w:r>
          </w:p>
        </w:tc>
        <w:tc>
          <w:tcPr>
            <w:tcW w:type="dxa" w:w="128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Source wrapper only</w:t>
            </w:r>
          </w:p>
        </w:tc>
        <w:tc>
          <w:tcPr>
            <w:tcW w:type="dxa" w:w="1696"/>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Strong</w:t>
            </w:r>
          </w:p>
        </w:tc>
        <w:tc>
          <w:tcPr>
            <w:tcW w:type="dxa" w:w="115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Strong</w:t>
            </w:r>
          </w:p>
        </w:tc>
        <w:tc>
          <w:tcPr>
            <w:tcW w:type="dxa" w:w="14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Strongest</w:t>
            </w:r>
          </w:p>
        </w:tc>
        <w:tc>
          <w:tcPr>
            <w:tcW w:type="dxa" w:w="223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Strong</w:t>
            </w:r>
          </w:p>
        </w:tc>
      </w:tr>
      <w:tr>
        <w:trPr>
          <w:trHeight w:hRule="atLeast"/>
        </w:trPr>
        <w:tc>
          <w:tcPr>
            <w:tcW w:type="dxa" w:w="230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Deterministic instruction fuel</w:t>
            </w:r>
          </w:p>
        </w:tc>
        <w:tc>
          <w:tcPr>
            <w:tcW w:type="dxa" w:w="128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No</w:t>
            </w:r>
          </w:p>
        </w:tc>
        <w:tc>
          <w:tcPr>
            <w:tcW w:type="dxa" w:w="1696"/>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Approximate</w:t>
            </w:r>
          </w:p>
        </w:tc>
        <w:tc>
          <w:tcPr>
            <w:tcW w:type="dxa" w:w="115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Strong</w:t>
            </w:r>
          </w:p>
        </w:tc>
        <w:tc>
          <w:tcPr>
            <w:tcW w:type="dxa" w:w="14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Strong</w:t>
            </w:r>
          </w:p>
        </w:tc>
        <w:tc>
          <w:tcPr>
            <w:tcW w:type="dxa" w:w="223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Strong</w:t>
            </w:r>
          </w:p>
        </w:tc>
      </w:tr>
      <w:tr>
        <w:trPr>
          <w:trHeight w:hRule="atLeast"/>
        </w:trPr>
        <w:tc>
          <w:tcPr>
            <w:tcW w:type="dxa" w:w="230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Allocation accounting</w:t>
            </w:r>
          </w:p>
        </w:tc>
        <w:tc>
          <w:tcPr>
            <w:tcW w:type="dxa" w:w="128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Weak</w:t>
            </w:r>
          </w:p>
        </w:tc>
        <w:tc>
          <w:tcPr>
            <w:tcW w:type="dxa" w:w="1696"/>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Weak</w:t>
            </w:r>
          </w:p>
        </w:tc>
        <w:tc>
          <w:tcPr>
            <w:tcW w:type="dxa" w:w="115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Medium/strong</w:t>
            </w:r>
          </w:p>
        </w:tc>
        <w:tc>
          <w:tcPr>
            <w:tcW w:type="dxa" w:w="14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Strong for MIR values</w:t>
            </w:r>
          </w:p>
        </w:tc>
        <w:tc>
          <w:tcPr>
            <w:tcW w:type="dxa" w:w="223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Strong</w:t>
            </w:r>
          </w:p>
        </w:tc>
      </w:tr>
      <w:tr>
        <w:trPr>
          <w:trHeight w:hRule="atLeast"/>
        </w:trPr>
        <w:tc>
          <w:tcPr>
            <w:tcW w:type="dxa" w:w="230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Formal verification target</w:t>
            </w:r>
          </w:p>
        </w:tc>
        <w:tc>
          <w:tcPr>
            <w:tcW w:type="dxa" w:w="128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Host contract</w:t>
            </w:r>
          </w:p>
        </w:tc>
        <w:tc>
          <w:tcPr>
            <w:tcW w:type="dxa" w:w="1696"/>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Profile/passes</w:t>
            </w:r>
          </w:p>
        </w:tc>
        <w:tc>
          <w:tcPr>
            <w:tcW w:type="dxa" w:w="115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VM subset</w:t>
            </w:r>
          </w:p>
        </w:tc>
        <w:tc>
          <w:tcPr>
            <w:tcW w:type="dxa" w:w="14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Small core</w:t>
            </w:r>
          </w:p>
        </w:tc>
        <w:tc>
          <w:tcPr>
            <w:tcW w:type="dxa" w:w="223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Entire language/runtime</w:t>
            </w:r>
          </w:p>
        </w:tc>
      </w:tr>
      <w:tr>
        <w:trPr>
          <w:trHeight w:hRule="atLeast"/>
        </w:trPr>
        <w:tc>
          <w:tcPr>
            <w:tcW w:type="dxa" w:w="230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JavaScript compatibility</w:t>
            </w:r>
          </w:p>
        </w:tc>
        <w:tc>
          <w:tcPr>
            <w:tcW w:type="dxa" w:w="128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Goja level</w:t>
            </w:r>
          </w:p>
        </w:tc>
        <w:tc>
          <w:tcPr>
            <w:tcW w:type="dxa" w:w="1696"/>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Goja level/profile subset</w:t>
            </w:r>
          </w:p>
        </w:tc>
        <w:tc>
          <w:tcPr>
            <w:tcW w:type="dxa" w:w="115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Goja level</w:t>
            </w:r>
          </w:p>
        </w:tc>
        <w:tc>
          <w:tcPr>
            <w:tcW w:type="dxa" w:w="14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Source-profile level</w:t>
            </w:r>
          </w:p>
        </w:tc>
        <w:tc>
          <w:tcPr>
            <w:tcW w:type="dxa" w:w="223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Must be implemented</w:t>
            </w:r>
          </w:p>
        </w:tc>
      </w:tr>
      <w:tr>
        <w:trPr>
          <w:trHeight w:hRule="atLeast"/>
        </w:trPr>
        <w:tc>
          <w:tcPr>
            <w:tcW w:type="dxa" w:w="230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Multi-project extensibility</w:t>
            </w:r>
          </w:p>
        </w:tc>
        <w:tc>
          <w:tcPr>
            <w:tcW w:type="dxa" w:w="128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Host libraries</w:t>
            </w:r>
          </w:p>
        </w:tc>
        <w:tc>
          <w:tcPr>
            <w:tcW w:type="dxa" w:w="1696"/>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Good</w:t>
            </w:r>
          </w:p>
        </w:tc>
        <w:tc>
          <w:tcPr>
            <w:tcW w:type="dxa" w:w="115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Good</w:t>
            </w:r>
          </w:p>
        </w:tc>
        <w:tc>
          <w:tcPr>
            <w:tcW w:type="dxa" w:w="14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Excellent</w:t>
            </w:r>
          </w:p>
        </w:tc>
        <w:tc>
          <w:tcPr>
            <w:tcW w:type="dxa" w:w="223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Potentially excellent</w:t>
            </w:r>
          </w:p>
        </w:tc>
      </w:tr>
      <w:tr>
        <w:trPr>
          <w:trHeight w:hRule="atLeast"/>
        </w:trPr>
        <w:tc>
          <w:tcPr>
            <w:tcW w:type="dxa" w:w="2307"/>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Risk of durable-engine coupling</w:t>
            </w:r>
          </w:p>
        </w:tc>
        <w:tc>
          <w:tcPr>
            <w:tcW w:type="dxa" w:w="128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Low</w:t>
            </w:r>
          </w:p>
        </w:tc>
        <w:tc>
          <w:tcPr>
            <w:tcW w:type="dxa" w:w="1696"/>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Low</w:t>
            </w:r>
          </w:p>
        </w:tc>
        <w:tc>
          <w:tcPr>
            <w:tcW w:type="dxa" w:w="115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Medium if misused</w:t>
            </w:r>
          </w:p>
        </w:tc>
        <w:tc>
          <w:tcPr>
            <w:tcW w:type="dxa" w:w="142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Low</w:t>
            </w:r>
          </w:p>
        </w:tc>
        <w:tc>
          <w:tcPr>
            <w:tcW w:type="dxa" w:w="2239"/>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4"/>
              </w:rPr>
              <w:t>High if bytecode/frames persisted</w:t>
            </w:r>
          </w:p>
        </w:tc>
      </w:tr>
      <w:tr>
        <w:trPr>
          <w:trHeight w:hRule="atLeast"/>
        </w:trPr>
        <w:tc>
          <w:tcPr>
            <w:tcW w:type="dxa" w:w="2307"/>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Recommended role</w:t>
            </w:r>
          </w:p>
        </w:tc>
        <w:tc>
          <w:tcPr>
            <w:tcW w:type="dxa" w:w="128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Baseline</w:t>
            </w:r>
          </w:p>
        </w:tc>
        <w:tc>
          <w:tcPr>
            <w:tcW w:type="dxa" w:w="1696"/>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Build now</w:t>
            </w:r>
          </w:p>
        </w:tc>
        <w:tc>
          <w:tcPr>
            <w:tcW w:type="dxa" w:w="115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Add selectively</w:t>
            </w:r>
          </w:p>
        </w:tc>
        <w:tc>
          <w:tcPr>
            <w:tcW w:type="dxa" w:w="142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Strategic core</w:t>
            </w:r>
          </w:p>
        </w:tc>
        <w:tc>
          <w:tcPr>
            <w:tcW w:type="dxa" w:w="2239"/>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4"/>
              </w:rPr>
              <w:t>Avoid initially</w:t>
            </w:r>
          </w:p>
        </w:tc>
      </w:tr>
    </w:tbl>
    <w:p>
      <w:pPr>
        <w:spacing w:after="20"/>
      </w:pPr>
    </w:p>
    <w:p>
      <w:bookmarkStart w:id="171" w:name="sec_162"/>
      <w:pPr>
        <w:pStyle w:val="Heading2"/>
      </w:pPr>
      <w:r>
        <w:rPr>
          <w:rFonts w:ascii="Lato" w:hAnsi="Lato" w:eastAsia="Lato" w:cs="Lato"/>
          <w:b/>
          <w:i w:val="0"/>
          <w:color w:val="17365D"/>
          <w:sz w:val="26"/>
        </w:rPr>
        <w:t>40. Principal risks and mitigations</w:t>
      </w:r>
      <w:bookmarkEnd w:id="171"/>
    </w:p>
    <w:p>
      <w:bookmarkStart w:id="172" w:name="sec_163"/>
      <w:pPr>
        <w:pStyle w:val="Heading3"/>
      </w:pPr>
      <w:r>
        <w:rPr>
          <w:rFonts w:ascii="Lato" w:hAnsi="Lato" w:eastAsia="Lato" w:cs="Lato"/>
          <w:b/>
          <w:i w:val="0"/>
          <w:color w:val="202733"/>
          <w:sz w:val="21"/>
        </w:rPr>
        <w:t>40.1 Goja AST instability</w:t>
      </w:r>
      <w:bookmarkEnd w:id="172"/>
    </w:p>
    <w:p>
      <w:r>
        <w:rPr>
          <w:rFonts w:ascii="Noto Serif" w:hAnsi="Noto Serif" w:eastAsia="Noto Serif" w:cs="Noto Serif"/>
          <w:b w:val="0"/>
          <w:i w:val="0"/>
          <w:color w:val="202733"/>
          <w:sz w:val="18"/>
        </w:rPr>
        <w:t>Goja's AST package explicitly warns that parser and AST interfaces remain works in progress.[29]</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isolate Goja AST access behind one adapter; immediately lower to a stable internal syntax tree; pin the Goja commit; maintain parser conformance fixtures; avoid allowing dialects to depend directly on Goja node types.</w:t>
      </w:r>
    </w:p>
    <w:p>
      <w:bookmarkStart w:id="173" w:name="sec_164"/>
      <w:pPr>
        <w:pStyle w:val="Heading3"/>
      </w:pPr>
      <w:r>
        <w:rPr>
          <w:rFonts w:ascii="Lato" w:hAnsi="Lato" w:eastAsia="Lato" w:cs="Lato"/>
          <w:b/>
          <w:i w:val="0"/>
          <w:color w:val="202733"/>
          <w:sz w:val="21"/>
        </w:rPr>
        <w:t>40.2 Fork divergence</w:t>
      </w:r>
      <w:bookmarkEnd w:id="173"/>
    </w:p>
    <w:p>
      <w:r>
        <w:rPr>
          <w:rFonts w:ascii="Noto Serif" w:hAnsi="Noto Serif" w:eastAsia="Noto Serif" w:cs="Noto Serif"/>
          <w:b w:val="0"/>
          <w:i w:val="0"/>
          <w:color w:val="202733"/>
          <w:sz w:val="18"/>
        </w:rPr>
        <w:t>VM instrumentation can conflict with upstream compiler and runtime changes.</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keep patches generic and small; maintain a continuously rebased branch; upstream hooks where possible; run upstream Goja tests and Test262; version the backend independently from semantic artifacts.</w:t>
      </w:r>
    </w:p>
    <w:p>
      <w:bookmarkStart w:id="174" w:name="sec_165"/>
      <w:pPr>
        <w:pStyle w:val="Heading3"/>
      </w:pPr>
      <w:r>
        <w:rPr>
          <w:rFonts w:ascii="Lato" w:hAnsi="Lato" w:eastAsia="Lato" w:cs="Lato"/>
          <w:b/>
          <w:i w:val="0"/>
          <w:color w:val="202733"/>
          <w:sz w:val="21"/>
        </w:rPr>
        <w:t>40.3 Nonstandard JavaScript syntax</w:t>
      </w:r>
      <w:bookmarkEnd w:id="174"/>
    </w:p>
    <w:p>
      <w:r>
        <w:rPr>
          <w:rFonts w:ascii="Noto Serif" w:hAnsi="Noto Serif" w:eastAsia="Noto Serif" w:cs="Noto Serif"/>
          <w:b w:val="0"/>
          <w:i w:val="0"/>
          <w:color w:val="202733"/>
          <w:sz w:val="18"/>
        </w:rPr>
        <w:t>Custom syntax burdens editors, formatters, linters, source maps, and developers.</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begin with standard JavaScript plus imported intrinsics, JSDoc annotations, or TypeScript-compatible declarations. Introduce syntax only when it removes substantial accidental complexity, and implement it in the language server and formatter first.</w:t>
      </w:r>
    </w:p>
    <w:p>
      <w:bookmarkStart w:id="175" w:name="sec_166"/>
      <w:pPr>
        <w:pStyle w:val="Heading3"/>
      </w:pPr>
      <w:r>
        <w:rPr>
          <w:rFonts w:ascii="Lato" w:hAnsi="Lato" w:eastAsia="Lato" w:cs="Lato"/>
          <w:b/>
          <w:i w:val="0"/>
          <w:color w:val="202733"/>
          <w:sz w:val="21"/>
        </w:rPr>
        <w:t>40.4 False confidence from static analysis</w:t>
      </w:r>
      <w:bookmarkEnd w:id="175"/>
    </w:p>
    <w:p>
      <w:r>
        <w:rPr>
          <w:rFonts w:ascii="Noto Serif" w:hAnsi="Noto Serif" w:eastAsia="Noto Serif" w:cs="Noto Serif"/>
          <w:b w:val="0"/>
          <w:i w:val="0"/>
          <w:color w:val="202733"/>
          <w:sz w:val="18"/>
        </w:rPr>
        <w:t>Full JavaScript frustrates precise analysis.</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make assurance profiles explicit; reject dynamic features at security boundaries; report inferred approximations and unknowns; retain runtime validation; distinguish proved, checked, tested, and assumed properties in certificates.</w:t>
      </w:r>
    </w:p>
    <w:p>
      <w:bookmarkStart w:id="176" w:name="sec_167"/>
      <w:pPr>
        <w:pStyle w:val="Heading3"/>
      </w:pPr>
      <w:r>
        <w:rPr>
          <w:rFonts w:ascii="Lato" w:hAnsi="Lato" w:eastAsia="Lato" w:cs="Lato"/>
          <w:b/>
          <w:i w:val="0"/>
          <w:color w:val="202733"/>
          <w:sz w:val="21"/>
        </w:rPr>
        <w:t>40.5 Compiler plugins expand the trusted base</w:t>
      </w:r>
      <w:bookmarkEnd w:id="176"/>
    </w:p>
    <w:p>
      <w:r>
        <w:rPr>
          <w:rFonts w:ascii="Noto Serif" w:hAnsi="Noto Serif" w:eastAsia="Noto Serif" w:cs="Noto Serif"/>
          <w:b w:val="0"/>
          <w:i w:val="0"/>
          <w:color w:val="202733"/>
          <w:sz w:val="18"/>
        </w:rPr>
        <w:t>An arbitrary extension pass can falsify types or remove checks.</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use declarative dialects by default; sign trusted pass distributions; verify MIR again after every untrusted transformation; compile in a controlled service; keep the production certificate checker independent.</w:t>
      </w:r>
    </w:p>
    <w:p>
      <w:bookmarkStart w:id="177" w:name="sec_168"/>
      <w:pPr>
        <w:pStyle w:val="Heading3"/>
      </w:pPr>
      <w:r>
        <w:rPr>
          <w:rFonts w:ascii="Lato" w:hAnsi="Lato" w:eastAsia="Lato" w:cs="Lato"/>
          <w:b/>
          <w:i w:val="0"/>
          <w:color w:val="202733"/>
          <w:sz w:val="21"/>
        </w:rPr>
        <w:t>40.6 Resource metering mismatch</w:t>
      </w:r>
      <w:bookmarkEnd w:id="177"/>
    </w:p>
    <w:p>
      <w:r>
        <w:rPr>
          <w:rFonts w:ascii="Noto Serif" w:hAnsi="Noto Serif" w:eastAsia="Noto Serif" w:cs="Noto Serif"/>
          <w:b w:val="0"/>
          <w:i w:val="0"/>
          <w:color w:val="202733"/>
          <w:sz w:val="18"/>
        </w:rPr>
        <w:t>Fuel and logical allocation may not track real CPU and memory perfectly.</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use layered limits: static restrictions, fuel, semantic allocation quotas, wall time, process memory, pool saturation, and OS/container limits.</w:t>
      </w:r>
    </w:p>
    <w:p>
      <w:bookmarkStart w:id="178" w:name="sec_169"/>
      <w:pPr>
        <w:pStyle w:val="Heading3"/>
      </w:pPr>
      <w:r>
        <w:rPr>
          <w:rFonts w:ascii="Lato" w:hAnsi="Lato" w:eastAsia="Lato" w:cs="Lato"/>
          <w:b/>
          <w:i w:val="0"/>
          <w:color w:val="202733"/>
          <w:sz w:val="21"/>
        </w:rPr>
        <w:t>40.7 In-process hostile code</w:t>
      </w:r>
      <w:bookmarkEnd w:id="178"/>
    </w:p>
    <w:p>
      <w:r>
        <w:rPr>
          <w:rFonts w:ascii="Noto Serif" w:hAnsi="Noto Serif" w:eastAsia="Noto Serif" w:cs="Noto Serif"/>
          <w:b w:val="0"/>
          <w:i w:val="0"/>
          <w:color w:val="202733"/>
          <w:sz w:val="18"/>
        </w:rPr>
        <w:t>A language subset and capabilities do not eliminate engine vulnerabilities or side channels.</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define the trust model. Operator-authored policy may run in-process. Third-party or adversarial code should run in a separate process, sandbox, or WebAssembly runtime with narrowly typed IPC.</w:t>
      </w:r>
    </w:p>
    <w:p>
      <w:bookmarkStart w:id="179" w:name="sec_170"/>
      <w:pPr>
        <w:pStyle w:val="Heading3"/>
      </w:pPr>
      <w:r>
        <w:rPr>
          <w:rFonts w:ascii="Lato" w:hAnsi="Lato" w:eastAsia="Lato" w:cs="Lato"/>
          <w:b/>
          <w:i w:val="0"/>
          <w:color w:val="202733"/>
          <w:sz w:val="21"/>
        </w:rPr>
        <w:t>40.8 Over-generalization</w:t>
      </w:r>
      <w:bookmarkEnd w:id="179"/>
    </w:p>
    <w:p>
      <w:r>
        <w:rPr>
          <w:rFonts w:ascii="Noto Serif" w:hAnsi="Noto Serif" w:eastAsia="Noto Serif" w:cs="Noto Serif"/>
          <w:b w:val="0"/>
          <w:i w:val="0"/>
          <w:color w:val="202733"/>
          <w:sz w:val="18"/>
        </w:rPr>
        <w:t>A cross-project platform can delay the concrete Tiny-IDP product.</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Mitigation:</w:t>
      </w:r>
      <w:r>
        <w:rPr>
          <w:rFonts w:ascii="Noto Serif" w:hAnsi="Noto Serif" w:eastAsia="Noto Serif" w:cs="Noto Serif"/>
          <w:b w:val="0"/>
          <w:i w:val="0"/>
          <w:color w:val="202733"/>
          <w:sz w:val="18"/>
        </w:rPr>
        <w:t xml:space="preserve"> derive the core only from at least two real worlds; keep Tiny-IDP as the reference customer; avoid abstractions without a verifier, lowering, or tooling use case; ship vertical slices.</w:t>
      </w:r>
    </w:p>
    <w:p>
      <w:bookmarkStart w:id="180" w:name="sec_171"/>
      <w:pPr>
        <w:pStyle w:val="Heading2"/>
      </w:pPr>
      <w:r>
        <w:rPr>
          <w:rFonts w:ascii="Lato" w:hAnsi="Lato" w:eastAsia="Lato" w:cs="Lato"/>
          <w:b/>
          <w:i w:val="0"/>
          <w:color w:val="17365D"/>
          <w:sz w:val="26"/>
        </w:rPr>
        <w:t>41. Staged implementation roadmap</w:t>
      </w:r>
      <w:bookmarkEnd w:id="180"/>
    </w:p>
    <w:p>
      <w:bookmarkStart w:id="181" w:name="sec_172"/>
      <w:pPr>
        <w:pStyle w:val="Heading3"/>
      </w:pPr>
      <w:r>
        <w:rPr>
          <w:rFonts w:ascii="Lato" w:hAnsi="Lato" w:eastAsia="Lato" w:cs="Lato"/>
          <w:b/>
          <w:i w:val="0"/>
          <w:color w:val="202733"/>
          <w:sz w:val="21"/>
        </w:rPr>
        <w:t>Phase 0 - Threat model and semantic contract</w:t>
      </w:r>
      <w:bookmarkEnd w:id="181"/>
    </w:p>
    <w:p>
      <w:r>
        <w:rPr>
          <w:rFonts w:ascii="Noto Serif" w:hAnsi="Noto Serif" w:eastAsia="Noto Serif" w:cs="Noto Serif"/>
          <w:b w:val="0"/>
          <w:i w:val="0"/>
          <w:color w:val="202733"/>
          <w:sz w:val="18"/>
        </w:rPr>
        <w:t>Define:</w:t>
      </w:r>
    </w:p>
    <w:p>
      <w:pPr>
        <w:pStyle w:val="ListBullet"/>
      </w:pPr>
      <w:r>
        <w:rPr>
          <w:rFonts w:ascii="Noto Serif" w:hAnsi="Noto Serif" w:eastAsia="Noto Serif" w:cs="Noto Serif"/>
          <w:b w:val="0"/>
          <w:i w:val="0"/>
          <w:color w:val="202733"/>
          <w:sz w:val="18"/>
        </w:rPr>
        <w:t>trusted operator scripts versus third-party plugins;</w:t>
      </w:r>
    </w:p>
    <w:p>
      <w:pPr>
        <w:pStyle w:val="ListBullet"/>
      </w:pPr>
      <w:r>
        <w:rPr>
          <w:rFonts w:ascii="Noto Serif" w:hAnsi="Noto Serif" w:eastAsia="Noto Serif" w:cs="Noto Serif"/>
          <w:b w:val="0"/>
          <w:i w:val="0"/>
          <w:color w:val="202733"/>
          <w:sz w:val="18"/>
        </w:rPr>
        <w:t>which properties are enforced statically, dynamically, or operationally;</w:t>
      </w:r>
    </w:p>
    <w:p>
      <w:pPr>
        <w:pStyle w:val="ListBullet"/>
      </w:pPr>
      <w:r>
        <w:rPr>
          <w:rFonts w:ascii="Noto Serif" w:hAnsi="Noto Serif" w:eastAsia="Noto Serif" w:cs="Noto Serif"/>
          <w:b w:val="0"/>
          <w:i w:val="0"/>
          <w:color w:val="202733"/>
          <w:sz w:val="18"/>
        </w:rPr>
        <w:t>accepted JavaScript profile;</w:t>
      </w:r>
    </w:p>
    <w:p>
      <w:pPr>
        <w:pStyle w:val="ListBullet"/>
      </w:pPr>
      <w:r>
        <w:rPr>
          <w:rFonts w:ascii="Noto Serif" w:hAnsi="Noto Serif" w:eastAsia="Noto Serif" w:cs="Noto Serif"/>
          <w:b w:val="0"/>
          <w:i w:val="0"/>
          <w:color w:val="202733"/>
          <w:sz w:val="18"/>
        </w:rPr>
        <w:t>artifact and continuation compatibility policy;</w:t>
      </w:r>
    </w:p>
    <w:p>
      <w:pPr>
        <w:pStyle w:val="ListBullet"/>
      </w:pPr>
      <w:r>
        <w:rPr>
          <w:rFonts w:ascii="Noto Serif" w:hAnsi="Noto Serif" w:eastAsia="Noto Serif" w:cs="Noto Serif"/>
          <w:b w:val="0"/>
          <w:i w:val="0"/>
          <w:color w:val="202733"/>
          <w:sz w:val="18"/>
        </w:rPr>
        <w:t>compiler/dialect governance;</w:t>
      </w:r>
    </w:p>
    <w:p>
      <w:pPr>
        <w:pStyle w:val="ListBullet"/>
      </w:pPr>
      <w:r>
        <w:rPr>
          <w:rFonts w:ascii="Noto Serif" w:hAnsi="Noto Serif" w:eastAsia="Noto Serif" w:cs="Noto Serif"/>
          <w:b w:val="0"/>
          <w:i w:val="0"/>
          <w:color w:val="202733"/>
          <w:sz w:val="18"/>
        </w:rPr>
        <w:t>out-of-process isolation requirements.</w:t>
      </w:r>
    </w:p>
    <w:p>
      <w:r>
        <w:rPr>
          <w:rFonts w:ascii="Noto Serif" w:hAnsi="Noto Serif" w:eastAsia="Noto Serif" w:cs="Noto Serif"/>
          <w:b w:val="0"/>
          <w:i w:val="0"/>
          <w:color w:val="202733"/>
          <w:sz w:val="18"/>
        </w:rPr>
        <w:t>Deliverable: an architecture decision record and conformance matrix.</w:t>
      </w:r>
    </w:p>
    <w:p>
      <w:bookmarkStart w:id="182" w:name="sec_173"/>
      <w:pPr>
        <w:pStyle w:val="Heading3"/>
      </w:pPr>
      <w:r>
        <w:rPr>
          <w:rFonts w:ascii="Lato" w:hAnsi="Lato" w:eastAsia="Lato" w:cs="Lato"/>
          <w:b/>
          <w:i w:val="0"/>
          <w:color w:val="202733"/>
          <w:sz w:val="21"/>
        </w:rPr>
        <w:t>Phase 1 - Front end above stock Goja</w:t>
      </w:r>
      <w:bookmarkEnd w:id="182"/>
    </w:p>
    <w:p>
      <w:r>
        <w:rPr>
          <w:rFonts w:ascii="Noto Serif" w:hAnsi="Noto Serif" w:eastAsia="Noto Serif" w:cs="Noto Serif"/>
          <w:b w:val="0"/>
          <w:i w:val="0"/>
          <w:color w:val="202733"/>
          <w:sz w:val="18"/>
        </w:rPr>
        <w:t>Build:</w:t>
      </w:r>
    </w:p>
    <w:p>
      <w:pPr>
        <w:pStyle w:val="ListBullet"/>
      </w:pPr>
      <w:r>
        <w:rPr>
          <w:rFonts w:ascii="Noto Serif" w:hAnsi="Noto Serif" w:eastAsia="Noto Serif" w:cs="Noto Serif"/>
          <w:b w:val="0"/>
          <w:i w:val="0"/>
          <w:color w:val="202733"/>
          <w:sz w:val="18"/>
        </w:rPr>
        <w:t>pinned Goja parser adapter;</w:t>
      </w:r>
    </w:p>
    <w:p>
      <w:pPr>
        <w:pStyle w:val="ListBullet"/>
      </w:pPr>
      <w:r>
        <w:rPr>
          <w:rFonts w:ascii="Noto Serif" w:hAnsi="Noto Serif" w:eastAsia="Noto Serif" w:cs="Noto Serif"/>
          <w:b w:val="0"/>
          <w:i w:val="0"/>
          <w:color w:val="202733"/>
          <w:sz w:val="18"/>
        </w:rPr>
        <w:t>stable internal syntax tree;</w:t>
      </w:r>
    </w:p>
    <w:p>
      <w:pPr>
        <w:pStyle w:val="ListBullet"/>
      </w:pPr>
      <w:r>
        <w:rPr>
          <w:rFonts w:ascii="Noto Serif" w:hAnsi="Noto Serif" w:eastAsia="Noto Serif" w:cs="Noto Serif"/>
          <w:b w:val="0"/>
          <w:i w:val="0"/>
          <w:color w:val="202733"/>
          <w:sz w:val="18"/>
        </w:rPr>
        <w:t>source locations and diagnostics;</w:t>
      </w:r>
    </w:p>
    <w:p>
      <w:pPr>
        <w:pStyle w:val="ListBullet"/>
      </w:pPr>
      <w:r>
        <w:rPr>
          <w:rFonts w:ascii="Noto Serif" w:hAnsi="Noto Serif" w:eastAsia="Noto Serif" w:cs="Noto Serif"/>
          <w:b w:val="0"/>
          <w:i w:val="0"/>
          <w:color w:val="202733"/>
          <w:sz w:val="18"/>
        </w:rPr>
        <w:t>profile checker;</w:t>
      </w:r>
    </w:p>
    <w:p>
      <w:pPr>
        <w:pStyle w:val="ListBullet"/>
      </w:pPr>
      <w:r>
        <w:rPr>
          <w:rFonts w:ascii="Noto Serif" w:hAnsi="Noto Serif" w:eastAsia="Noto Serif" w:cs="Noto Serif"/>
          <w:b w:val="0"/>
          <w:i w:val="0"/>
          <w:color w:val="202733"/>
          <w:sz w:val="18"/>
        </w:rPr>
        <w:t>capability/effect/outcome inference;</w:t>
      </w:r>
    </w:p>
    <w:p>
      <w:pPr>
        <w:pStyle w:val="ListBullet"/>
      </w:pPr>
      <w:r>
        <w:rPr>
          <w:rFonts w:ascii="Noto Serif" w:hAnsi="Noto Serif" w:eastAsia="Noto Serif" w:cs="Noto Serif"/>
          <w:b w:val="0"/>
          <w:i w:val="0"/>
          <w:color w:val="202733"/>
          <w:sz w:val="18"/>
        </w:rPr>
        <w:t xml:space="preserve">generated </w:t>
      </w:r>
      <w:r>
        <w:rPr>
          <w:rFonts w:ascii="DejaVu Sans Mono" w:hAnsi="DejaVu Sans Mono" w:eastAsia="DejaVu Sans Mono" w:cs="DejaVu Sans Mono"/>
          <w:b w:val="0"/>
          <w:i w:val="0"/>
          <w:color w:val="202733"/>
          <w:sz w:val="16"/>
          <w:shd w:fill="EDF1F4" w:val="clear"/>
        </w:rPr>
        <w:t>LambdaSpec</w:t>
      </w:r>
      <w:r>
        <w:rPr>
          <w:rFonts w:ascii="Noto Serif" w:hAnsi="Noto Serif" w:eastAsia="Noto Serif" w:cs="Noto Serif"/>
          <w:b w:val="0"/>
          <w:i w:val="0"/>
          <w:color w:val="202733"/>
          <w:sz w:val="18"/>
        </w:rPr>
        <w:t xml:space="preserve"> and semantic manifest;</w:t>
      </w:r>
    </w:p>
    <w:p>
      <w:pPr>
        <w:pStyle w:val="ListBullet"/>
      </w:pPr>
      <w:r>
        <w:rPr>
          <w:rFonts w:ascii="Noto Serif" w:hAnsi="Noto Serif" w:eastAsia="Noto Serif" w:cs="Noto Serif"/>
          <w:b w:val="0"/>
          <w:i w:val="0"/>
          <w:color w:val="202733"/>
          <w:sz w:val="18"/>
        </w:rPr>
        <w:t>frozen-primordial and deterministic-world initialization.</w:t>
      </w:r>
    </w:p>
    <w:p>
      <w:r>
        <w:rPr>
          <w:rFonts w:ascii="Noto Serif" w:hAnsi="Noto Serif" w:eastAsia="Noto Serif" w:cs="Noto Serif"/>
          <w:b w:val="0"/>
          <w:i w:val="0"/>
          <w:color w:val="202733"/>
          <w:sz w:val="18"/>
        </w:rPr>
        <w:t>No new syntax and no VM fork.</w:t>
      </w:r>
    </w:p>
    <w:p>
      <w:bookmarkStart w:id="183" w:name="sec_174"/>
      <w:pPr>
        <w:pStyle w:val="Heading3"/>
      </w:pPr>
      <w:r>
        <w:rPr>
          <w:rFonts w:ascii="Lato" w:hAnsi="Lato" w:eastAsia="Lato" w:cs="Lato"/>
          <w:b/>
          <w:i w:val="0"/>
          <w:color w:val="202733"/>
          <w:sz w:val="21"/>
        </w:rPr>
        <w:t xml:space="preserve">Phase 2 - Durable </w:t>
      </w:r>
      <w:r>
        <w:rPr>
          <w:rFonts w:ascii="Lato" w:hAnsi="Lato" w:eastAsia="Lato" w:cs="Lato"/>
          <w:b/>
          <w:i w:val="0"/>
          <w:color w:val="202733"/>
          <w:sz w:val="21"/>
          <w:shd w:fill="EDF1F4" w:val="clear"/>
        </w:rPr>
        <w:t>await</w:t>
      </w:r>
      <w:r>
        <w:rPr>
          <w:rFonts w:ascii="Lato" w:hAnsi="Lato" w:eastAsia="Lato" w:cs="Lato"/>
          <w:b/>
          <w:i w:val="0"/>
          <w:color w:val="202733"/>
          <w:sz w:val="21"/>
        </w:rPr>
        <w:t xml:space="preserve"> prototype</w:t>
      </w:r>
      <w:bookmarkEnd w:id="183"/>
    </w:p>
    <w:p>
      <w:r>
        <w:rPr>
          <w:rFonts w:ascii="Noto Serif" w:hAnsi="Noto Serif" w:eastAsia="Noto Serif" w:cs="Noto Serif"/>
          <w:b w:val="0"/>
          <w:i w:val="0"/>
          <w:color w:val="202733"/>
          <w:sz w:val="18"/>
        </w:rPr>
        <w:t xml:space="preserve">Implement one durable operation, such as </w:t>
      </w:r>
      <w:r>
        <w:rPr>
          <w:rFonts w:ascii="DejaVu Sans Mono" w:hAnsi="DejaVu Sans Mono" w:eastAsia="DejaVu Sans Mono" w:cs="DejaVu Sans Mono"/>
          <w:b w:val="0"/>
          <w:i w:val="0"/>
          <w:color w:val="202733"/>
          <w:sz w:val="16"/>
          <w:shd w:fill="EDF1F4" w:val="clear"/>
        </w:rPr>
        <w:t>durable.form</w:t>
      </w:r>
      <w:r>
        <w:rPr>
          <w:rFonts w:ascii="Noto Serif" w:hAnsi="Noto Serif" w:eastAsia="Noto Serif" w:cs="Noto Serif"/>
          <w:b w:val="0"/>
          <w:i w:val="0"/>
          <w:color w:val="202733"/>
          <w:sz w:val="18"/>
        </w:rPr>
        <w:t>:</w:t>
      </w:r>
    </w:p>
    <w:p>
      <w:pPr>
        <w:pStyle w:val="ListBullet"/>
      </w:pPr>
      <w:r>
        <w:rPr>
          <w:rFonts w:ascii="Noto Serif" w:hAnsi="Noto Serif" w:eastAsia="Noto Serif" w:cs="Noto Serif"/>
          <w:b w:val="0"/>
          <w:i w:val="0"/>
          <w:color w:val="202733"/>
          <w:sz w:val="18"/>
        </w:rPr>
        <w:t>identify suspension points;</w:t>
      </w:r>
    </w:p>
    <w:p>
      <w:pPr>
        <w:pStyle w:val="ListBullet"/>
      </w:pPr>
      <w:r>
        <w:rPr>
          <w:rFonts w:ascii="Noto Serif" w:hAnsi="Noto Serif" w:eastAsia="Noto Serif" w:cs="Noto Serif"/>
          <w:b w:val="0"/>
          <w:i w:val="0"/>
          <w:color w:val="202733"/>
          <w:sz w:val="18"/>
        </w:rPr>
        <w:t>split source into generated handlers;</w:t>
      </w:r>
    </w:p>
    <w:p>
      <w:pPr>
        <w:pStyle w:val="ListBullet"/>
      </w:pPr>
      <w:r>
        <w:rPr>
          <w:rFonts w:ascii="Noto Serif" w:hAnsi="Noto Serif" w:eastAsia="Noto Serif" w:cs="Noto Serif"/>
          <w:b w:val="0"/>
          <w:i w:val="0"/>
          <w:color w:val="202733"/>
          <w:sz w:val="18"/>
        </w:rPr>
        <w:t>compute live carry;</w:t>
      </w:r>
    </w:p>
    <w:p>
      <w:pPr>
        <w:pStyle w:val="ListBullet"/>
      </w:pPr>
      <w:r>
        <w:rPr>
          <w:rFonts w:ascii="Noto Serif" w:hAnsi="Noto Serif" w:eastAsia="Noto Serif" w:cs="Noto Serif"/>
          <w:b w:val="0"/>
          <w:i w:val="0"/>
          <w:color w:val="202733"/>
          <w:sz w:val="18"/>
        </w:rPr>
        <w:t>reject nonserializable and secret captures;</w:t>
      </w:r>
    </w:p>
    <w:p>
      <w:pPr>
        <w:pStyle w:val="ListBullet"/>
      </w:pPr>
      <w:r>
        <w:rPr>
          <w:rFonts w:ascii="Noto Serif" w:hAnsi="Noto Serif" w:eastAsia="Noto Serif" w:cs="Noto Serif"/>
          <w:b w:val="0"/>
          <w:i w:val="0"/>
          <w:color w:val="202733"/>
          <w:sz w:val="18"/>
        </w:rPr>
        <w:t>generate continuation schemas and stable IDs;</w:t>
      </w:r>
    </w:p>
    <w:p>
      <w:pPr>
        <w:pStyle w:val="ListBullet"/>
      </w:pPr>
      <w:r>
        <w:rPr>
          <w:rFonts w:ascii="Noto Serif" w:hAnsi="Noto Serif" w:eastAsia="Noto Serif" w:cs="Noto Serif"/>
          <w:b w:val="0"/>
          <w:i w:val="0"/>
          <w:color w:val="202733"/>
          <w:sz w:val="18"/>
        </w:rPr>
        <w:t>differential-test transformed execution against explicit hand-written handlers.</w:t>
      </w:r>
    </w:p>
    <w:p>
      <w:r>
        <w:rPr>
          <w:rFonts w:ascii="Noto Serif" w:hAnsi="Noto Serif" w:eastAsia="Noto Serif" w:cs="Noto Serif"/>
          <w:b w:val="0"/>
          <w:i w:val="0"/>
          <w:color w:val="202733"/>
          <w:sz w:val="18"/>
        </w:rPr>
        <w:t>Then add challenge waits and external callbacks.</w:t>
      </w:r>
    </w:p>
    <w:p>
      <w:bookmarkStart w:id="184" w:name="sec_175"/>
      <w:pPr>
        <w:pStyle w:val="Heading3"/>
      </w:pPr>
      <w:r>
        <w:rPr>
          <w:rFonts w:ascii="Lato" w:hAnsi="Lato" w:eastAsia="Lato" w:cs="Lato"/>
          <w:b/>
          <w:i w:val="0"/>
          <w:color w:val="202733"/>
          <w:sz w:val="21"/>
        </w:rPr>
        <w:t>Phase 3 - Structured concurrency and deterministic host</w:t>
      </w:r>
      <w:bookmarkEnd w:id="184"/>
    </w:p>
    <w:p>
      <w:r>
        <w:rPr>
          <w:rFonts w:ascii="Noto Serif" w:hAnsi="Noto Serif" w:eastAsia="Noto Serif" w:cs="Noto Serif"/>
          <w:b w:val="0"/>
          <w:i w:val="0"/>
          <w:color w:val="202733"/>
          <w:sz w:val="18"/>
        </w:rPr>
        <w:t>Add:</w:t>
      </w:r>
    </w:p>
    <w:p>
      <w:pPr>
        <w:pStyle w:val="ListBullet"/>
      </w:pPr>
      <w:r>
        <w:rPr>
          <w:rFonts w:ascii="Noto Serif" w:hAnsi="Noto Serif" w:eastAsia="Noto Serif" w:cs="Noto Serif"/>
          <w:b w:val="0"/>
          <w:i w:val="0"/>
          <w:color w:val="202733"/>
          <w:sz w:val="18"/>
        </w:rPr>
        <w:t>task-scope analysis;</w:t>
      </w:r>
    </w:p>
    <w:p>
      <w:pPr>
        <w:pStyle w:val="ListBullet"/>
      </w:pPr>
      <w:r>
        <w:rPr>
          <w:rFonts w:ascii="Noto Serif" w:hAnsi="Noto Serif" w:eastAsia="Noto Serif" w:cs="Noto Serif"/>
          <w:b w:val="0"/>
          <w:i w:val="0"/>
          <w:color w:val="202733"/>
          <w:sz w:val="18"/>
        </w:rPr>
        <w:t>detached-Promise rejection;</w:t>
      </w:r>
    </w:p>
    <w:p>
      <w:pPr>
        <w:pStyle w:val="ListBullet"/>
      </w:pPr>
      <w:r>
        <w:rPr>
          <w:rFonts w:ascii="Noto Serif" w:hAnsi="Noto Serif" w:eastAsia="Noto Serif" w:cs="Noto Serif"/>
          <w:b w:val="0"/>
          <w:i w:val="0"/>
          <w:color w:val="202733"/>
          <w:sz w:val="18"/>
        </w:rPr>
        <w:t>virtual clock and random effects;</w:t>
      </w:r>
    </w:p>
    <w:p>
      <w:pPr>
        <w:pStyle w:val="ListBullet"/>
      </w:pPr>
      <w:r>
        <w:rPr>
          <w:rFonts w:ascii="Noto Serif" w:hAnsi="Noto Serif" w:eastAsia="Noto Serif" w:cs="Noto Serif"/>
          <w:b w:val="0"/>
          <w:i w:val="0"/>
          <w:color w:val="202733"/>
          <w:sz w:val="18"/>
        </w:rPr>
        <w:t>journaled race/select primitives;</w:t>
      </w:r>
    </w:p>
    <w:p>
      <w:pPr>
        <w:pStyle w:val="ListBullet"/>
      </w:pPr>
      <w:r>
        <w:rPr>
          <w:rFonts w:ascii="Noto Serif" w:hAnsi="Noto Serif" w:eastAsia="Noto Serif" w:cs="Noto Serif"/>
          <w:b w:val="0"/>
          <w:i w:val="0"/>
          <w:color w:val="202733"/>
          <w:sz w:val="18"/>
        </w:rPr>
        <w:t>semantic traces;</w:t>
      </w:r>
    </w:p>
    <w:p>
      <w:pPr>
        <w:pStyle w:val="ListBullet"/>
      </w:pPr>
      <w:r>
        <w:rPr>
          <w:rFonts w:ascii="Noto Serif" w:hAnsi="Noto Serif" w:eastAsia="Noto Serif" w:cs="Noto Serif"/>
          <w:b w:val="0"/>
          <w:i w:val="0"/>
          <w:color w:val="202733"/>
          <w:sz w:val="18"/>
        </w:rPr>
        <w:t>improved worker quiescence checks using public APIs where possible.</w:t>
      </w:r>
    </w:p>
    <w:p>
      <w:bookmarkStart w:id="185" w:name="sec_176"/>
      <w:pPr>
        <w:pStyle w:val="Heading3"/>
      </w:pPr>
      <w:r>
        <w:rPr>
          <w:rFonts w:ascii="Lato" w:hAnsi="Lato" w:eastAsia="Lato" w:cs="Lato"/>
          <w:b/>
          <w:i w:val="0"/>
          <w:color w:val="202733"/>
          <w:sz w:val="21"/>
        </w:rPr>
        <w:t>Phase 4 - Introduce MIR and reference interpreter</w:t>
      </w:r>
      <w:bookmarkEnd w:id="185"/>
    </w:p>
    <w:p>
      <w:r>
        <w:rPr>
          <w:rFonts w:ascii="Noto Serif" w:hAnsi="Noto Serif" w:eastAsia="Noto Serif" w:cs="Noto Serif"/>
          <w:b w:val="0"/>
          <w:i w:val="0"/>
          <w:color w:val="202733"/>
          <w:sz w:val="18"/>
        </w:rPr>
        <w:t>Create project-independent packages, tentatively:</w:t>
      </w:r>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mjs/syntax</w:t>
        <w:br/>
      </w:r>
      <w:r>
        <w:rPr>
          <w:rFonts w:ascii="DejaVu Sans Mono" w:hAnsi="DejaVu Sans Mono" w:eastAsia="DejaVu Sans Mono" w:cs="DejaVu Sans Mono"/>
          <w:color w:val="202733"/>
          <w:sz w:val="14"/>
        </w:rPr>
        <w:t>mjs/ir</w:t>
        <w:br/>
      </w:r>
      <w:r>
        <w:rPr>
          <w:rFonts w:ascii="DejaVu Sans Mono" w:hAnsi="DejaVu Sans Mono" w:eastAsia="DejaVu Sans Mono" w:cs="DejaVu Sans Mono"/>
          <w:color w:val="202733"/>
          <w:sz w:val="14"/>
        </w:rPr>
        <w:t>mjs/types</w:t>
        <w:br/>
      </w:r>
      <w:r>
        <w:rPr>
          <w:rFonts w:ascii="DejaVu Sans Mono" w:hAnsi="DejaVu Sans Mono" w:eastAsia="DejaVu Sans Mono" w:cs="DejaVu Sans Mono"/>
          <w:color w:val="202733"/>
          <w:sz w:val="14"/>
        </w:rPr>
        <w:t>mjs/effects</w:t>
        <w:br/>
      </w:r>
      <w:r>
        <w:rPr>
          <w:rFonts w:ascii="DejaVu Sans Mono" w:hAnsi="DejaVu Sans Mono" w:eastAsia="DejaVu Sans Mono" w:cs="DejaVu Sans Mono"/>
          <w:color w:val="202733"/>
          <w:sz w:val="14"/>
        </w:rPr>
        <w:t>mjs/verify</w:t>
        <w:br/>
      </w:r>
      <w:r>
        <w:rPr>
          <w:rFonts w:ascii="DejaVu Sans Mono" w:hAnsi="DejaVu Sans Mono" w:eastAsia="DejaVu Sans Mono" w:cs="DejaVu Sans Mono"/>
          <w:color w:val="202733"/>
          <w:sz w:val="14"/>
        </w:rPr>
        <w:t>mjs/dialect</w:t>
        <w:br/>
      </w:r>
      <w:r>
        <w:rPr>
          <w:rFonts w:ascii="DejaVu Sans Mono" w:hAnsi="DejaVu Sans Mono" w:eastAsia="DejaVu Sans Mono" w:cs="DejaVu Sans Mono"/>
          <w:color w:val="202733"/>
          <w:sz w:val="14"/>
        </w:rPr>
        <w:t>mjs/world</w:t>
        <w:br/>
      </w:r>
      <w:r>
        <w:rPr>
          <w:rFonts w:ascii="DejaVu Sans Mono" w:hAnsi="DejaVu Sans Mono" w:eastAsia="DejaVu Sans Mono" w:cs="DejaVu Sans Mono"/>
          <w:color w:val="202733"/>
          <w:sz w:val="14"/>
        </w:rPr>
        <w:t>mjs/cert</w:t>
        <w:br/>
      </w:r>
      <w:r>
        <w:rPr>
          <w:rFonts w:ascii="DejaVu Sans Mono" w:hAnsi="DejaVu Sans Mono" w:eastAsia="DejaVu Sans Mono" w:cs="DejaVu Sans Mono"/>
          <w:color w:val="202733"/>
          <w:sz w:val="14"/>
        </w:rPr>
        <w:t>mjs/interp</w:t>
        <w:br/>
      </w:r>
      <w:r>
        <w:rPr>
          <w:rFonts w:ascii="DejaVu Sans Mono" w:hAnsi="DejaVu Sans Mono" w:eastAsia="DejaVu Sans Mono" w:cs="DejaVu Sans Mono"/>
          <w:color w:val="202733"/>
          <w:sz w:val="14"/>
        </w:rPr>
        <w:t>mjs/backend/goja</w:t>
        <w:br/>
      </w:r>
      <w:r>
        <w:rPr>
          <w:rFonts w:ascii="DejaVu Sans Mono" w:hAnsi="DejaVu Sans Mono" w:eastAsia="DejaVu Sans Mono" w:cs="DejaVu Sans Mono"/>
          <w:color w:val="202733"/>
          <w:sz w:val="14"/>
        </w:rPr>
        <w:t>mjs/tools/lsp</w:t>
      </w:r>
    </w:p>
    <w:p>
      <w:r>
        <w:rPr>
          <w:rFonts w:ascii="Noto Serif" w:hAnsi="Noto Serif" w:eastAsia="Noto Serif" w:cs="Noto Serif"/>
          <w:b w:val="0"/>
          <w:i w:val="0"/>
          <w:color w:val="202733"/>
          <w:sz w:val="18"/>
        </w:rPr>
        <w:t>Lower the existing Tiny-IDP compiler output to MIR without changing production behavior. Run the reference interpreter in tests and shadow mode.</w:t>
      </w:r>
    </w:p>
    <w:p>
      <w:bookmarkStart w:id="186" w:name="sec_177"/>
      <w:pPr>
        <w:pStyle w:val="Heading3"/>
      </w:pPr>
      <w:r>
        <w:rPr>
          <w:rFonts w:ascii="Lato" w:hAnsi="Lato" w:eastAsia="Lato" w:cs="Lato"/>
          <w:b/>
          <w:i w:val="0"/>
          <w:color w:val="202733"/>
          <w:sz w:val="21"/>
        </w:rPr>
        <w:t>Phase 5 - Dialect SDK</w:t>
      </w:r>
      <w:bookmarkEnd w:id="186"/>
    </w:p>
    <w:p>
      <w:r>
        <w:rPr>
          <w:rFonts w:ascii="Noto Serif" w:hAnsi="Noto Serif" w:eastAsia="Noto Serif" w:cs="Noto Serif"/>
          <w:b w:val="0"/>
          <w:i w:val="0"/>
          <w:color w:val="202733"/>
          <w:sz w:val="18"/>
        </w:rPr>
        <w:t>Extract Tiny-IDP operations into declarative dialect packages. Generate bindings, docs, fake hosts, and tests. Implement a second small world, such as human approval or notification policy, to test generality.</w:t>
      </w:r>
    </w:p>
    <w:p>
      <w:bookmarkStart w:id="187" w:name="sec_178"/>
      <w:pPr>
        <w:pStyle w:val="Heading3"/>
      </w:pPr>
      <w:r>
        <w:rPr>
          <w:rFonts w:ascii="Lato" w:hAnsi="Lato" w:eastAsia="Lato" w:cs="Lato"/>
          <w:b/>
          <w:i w:val="0"/>
          <w:color w:val="202733"/>
          <w:sz w:val="21"/>
        </w:rPr>
        <w:t>Phase 6 - Selective Goja instrumentation</w:t>
      </w:r>
      <w:bookmarkEnd w:id="187"/>
    </w:p>
    <w:p>
      <w:r>
        <w:rPr>
          <w:rFonts w:ascii="Noto Serif" w:hAnsi="Noto Serif" w:eastAsia="Noto Serif" w:cs="Noto Serif"/>
          <w:b w:val="0"/>
          <w:i w:val="0"/>
          <w:color w:val="202733"/>
          <w:sz w:val="18"/>
        </w:rPr>
        <w:t>Only after measurement identifies gaps, add:</w:t>
      </w:r>
    </w:p>
    <w:p>
      <w:pPr>
        <w:pStyle w:val="ListBullet"/>
      </w:pPr>
      <w:r>
        <w:rPr>
          <w:rFonts w:ascii="Noto Serif" w:hAnsi="Noto Serif" w:eastAsia="Noto Serif" w:cs="Noto Serif"/>
          <w:b w:val="0"/>
          <w:i w:val="0"/>
          <w:color w:val="202733"/>
          <w:sz w:val="18"/>
        </w:rPr>
        <w:t>instruction fuel;</w:t>
      </w:r>
    </w:p>
    <w:p>
      <w:pPr>
        <w:pStyle w:val="ListBullet"/>
      </w:pPr>
      <w:r>
        <w:rPr>
          <w:rFonts w:ascii="Noto Serif" w:hAnsi="Noto Serif" w:eastAsia="Noto Serif" w:cs="Noto Serif"/>
          <w:b w:val="0"/>
          <w:i w:val="0"/>
          <w:color w:val="202733"/>
          <w:sz w:val="18"/>
        </w:rPr>
        <w:t>logical allocation accounting;</w:t>
      </w:r>
    </w:p>
    <w:p>
      <w:pPr>
        <w:pStyle w:val="ListBullet"/>
      </w:pPr>
      <w:r>
        <w:rPr>
          <w:rFonts w:ascii="Noto Serif" w:hAnsi="Noto Serif" w:eastAsia="Noto Serif" w:cs="Noto Serif"/>
          <w:b w:val="0"/>
          <w:i w:val="0"/>
          <w:color w:val="202733"/>
          <w:sz w:val="18"/>
        </w:rPr>
        <w:t>explicit microtask/job hooks;</w:t>
      </w:r>
    </w:p>
    <w:p>
      <w:pPr>
        <w:pStyle w:val="ListBullet"/>
      </w:pPr>
      <w:r>
        <w:rPr>
          <w:rFonts w:ascii="Noto Serif" w:hAnsi="Noto Serif" w:eastAsia="Noto Serif" w:cs="Noto Serif"/>
          <w:b w:val="0"/>
          <w:i w:val="0"/>
          <w:color w:val="202733"/>
          <w:sz w:val="18"/>
        </w:rPr>
        <w:t>provenance tags for native resources;</w:t>
      </w:r>
    </w:p>
    <w:p>
      <w:pPr>
        <w:pStyle w:val="ListBullet"/>
      </w:pPr>
      <w:r>
        <w:rPr>
          <w:rFonts w:ascii="Noto Serif" w:hAnsi="Noto Serif" w:eastAsia="Noto Serif" w:cs="Noto Serif"/>
          <w:b w:val="0"/>
          <w:i w:val="0"/>
          <w:color w:val="202733"/>
          <w:sz w:val="18"/>
        </w:rPr>
        <w:t>semantic trace probes;</w:t>
      </w:r>
    </w:p>
    <w:p>
      <w:pPr>
        <w:pStyle w:val="ListBullet"/>
      </w:pPr>
      <w:r>
        <w:rPr>
          <w:rFonts w:ascii="Noto Serif" w:hAnsi="Noto Serif" w:eastAsia="Noto Serif" w:cs="Noto Serif"/>
          <w:b w:val="0"/>
          <w:i w:val="0"/>
          <w:color w:val="202733"/>
          <w:sz w:val="18"/>
        </w:rPr>
        <w:t>stronger reset/snapshot support.</w:t>
      </w:r>
    </w:p>
    <w:p>
      <w:r>
        <w:rPr>
          <w:rFonts w:ascii="Noto Serif" w:hAnsi="Noto Serif" w:eastAsia="Noto Serif" w:cs="Noto Serif"/>
          <w:b w:val="0"/>
          <w:i w:val="0"/>
          <w:color w:val="202733"/>
          <w:sz w:val="18"/>
        </w:rPr>
        <w:t>Maintain each feature behind a generic upstream-oriented interface.</w:t>
      </w:r>
    </w:p>
    <w:p>
      <w:bookmarkStart w:id="188" w:name="sec_179"/>
      <w:pPr>
        <w:pStyle w:val="Heading3"/>
      </w:pPr>
      <w:r>
        <w:rPr>
          <w:rFonts w:ascii="Lato" w:hAnsi="Lato" w:eastAsia="Lato" w:cs="Lato"/>
          <w:b/>
          <w:i w:val="0"/>
          <w:color w:val="202733"/>
          <w:sz w:val="21"/>
        </w:rPr>
        <w:t>Phase 7 - Formal assurance</w:t>
      </w:r>
      <w:bookmarkEnd w:id="188"/>
    </w:p>
    <w:p>
      <w:pPr>
        <w:pStyle w:val="ListBullet"/>
      </w:pPr>
      <w:r>
        <w:rPr>
          <w:rFonts w:ascii="Noto Serif" w:hAnsi="Noto Serif" w:eastAsia="Noto Serif" w:cs="Noto Serif"/>
          <w:b w:val="0"/>
          <w:i w:val="0"/>
          <w:color w:val="202733"/>
          <w:sz w:val="18"/>
        </w:rPr>
        <w:t>formalize core MIR semantics and typing;</w:t>
      </w:r>
    </w:p>
    <w:p>
      <w:pPr>
        <w:pStyle w:val="ListBullet"/>
      </w:pPr>
      <w:r>
        <w:rPr>
          <w:rFonts w:ascii="Noto Serif" w:hAnsi="Noto Serif" w:eastAsia="Noto Serif" w:cs="Noto Serif"/>
          <w:b w:val="0"/>
          <w:i w:val="0"/>
          <w:color w:val="202733"/>
          <w:sz w:val="18"/>
        </w:rPr>
        <w:t>prove region safety and capability confinement;</w:t>
      </w:r>
    </w:p>
    <w:p>
      <w:pPr>
        <w:pStyle w:val="ListBullet"/>
      </w:pPr>
      <w:r>
        <w:rPr>
          <w:rFonts w:ascii="Noto Serif" w:hAnsi="Noto Serif" w:eastAsia="Noto Serif" w:cs="Noto Serif"/>
          <w:b w:val="0"/>
          <w:i w:val="0"/>
          <w:color w:val="202733"/>
          <w:sz w:val="18"/>
        </w:rPr>
        <w:t>verify the continuation carry checker;</w:t>
      </w:r>
    </w:p>
    <w:p>
      <w:pPr>
        <w:pStyle w:val="ListBullet"/>
      </w:pPr>
      <w:r>
        <w:rPr>
          <w:rFonts w:ascii="Noto Serif" w:hAnsi="Noto Serif" w:eastAsia="Noto Serif" w:cs="Noto Serif"/>
          <w:b w:val="0"/>
          <w:i w:val="0"/>
          <w:color w:val="202733"/>
          <w:sz w:val="18"/>
        </w:rPr>
        <w:t>prove selected lowering rules;</w:t>
      </w:r>
    </w:p>
    <w:p>
      <w:pPr>
        <w:pStyle w:val="ListBullet"/>
      </w:pPr>
      <w:r>
        <w:rPr>
          <w:rFonts w:ascii="Noto Serif" w:hAnsi="Noto Serif" w:eastAsia="Noto Serif" w:cs="Noto Serif"/>
          <w:b w:val="0"/>
          <w:i w:val="0"/>
          <w:color w:val="202733"/>
          <w:sz w:val="18"/>
        </w:rPr>
        <w:t>differential-test formal/reference/Goja implementations;</w:t>
      </w:r>
    </w:p>
    <w:p>
      <w:pPr>
        <w:pStyle w:val="ListBullet"/>
      </w:pPr>
      <w:r>
        <w:rPr>
          <w:rFonts w:ascii="Noto Serif" w:hAnsi="Noto Serif" w:eastAsia="Noto Serif" w:cs="Noto Serif"/>
          <w:b w:val="0"/>
          <w:i w:val="0"/>
          <w:color w:val="202733"/>
          <w:sz w:val="18"/>
        </w:rPr>
        <w:t>add machine-checkable witnesses to activation certificates.</w:t>
      </w:r>
    </w:p>
    <w:p>
      <w:bookmarkStart w:id="189" w:name="sec_180"/>
      <w:pPr>
        <w:pStyle w:val="Heading3"/>
      </w:pPr>
      <w:r>
        <w:rPr>
          <w:rFonts w:ascii="Lato" w:hAnsi="Lato" w:eastAsia="Lato" w:cs="Lato"/>
          <w:b/>
          <w:i w:val="0"/>
          <w:color w:val="202733"/>
          <w:sz w:val="21"/>
        </w:rPr>
        <w:t>Phase 8 - Isolation and additional backends</w:t>
      </w:r>
      <w:bookmarkEnd w:id="189"/>
    </w:p>
    <w:p>
      <w:pPr>
        <w:pStyle w:val="ListBullet"/>
      </w:pPr>
      <w:r>
        <w:rPr>
          <w:rFonts w:ascii="Noto Serif" w:hAnsi="Noto Serif" w:eastAsia="Noto Serif" w:cs="Noto Serif"/>
          <w:b w:val="0"/>
          <w:i w:val="0"/>
          <w:color w:val="202733"/>
          <w:sz w:val="18"/>
        </w:rPr>
        <w:t>optional WebAssembly component backend;</w:t>
      </w:r>
    </w:p>
    <w:p>
      <w:pPr>
        <w:pStyle w:val="ListBullet"/>
      </w:pPr>
      <w:r>
        <w:rPr>
          <w:rFonts w:ascii="Noto Serif" w:hAnsi="Noto Serif" w:eastAsia="Noto Serif" w:cs="Noto Serif"/>
          <w:b w:val="0"/>
          <w:i w:val="0"/>
          <w:color w:val="202733"/>
          <w:sz w:val="18"/>
        </w:rPr>
        <w:t>out-of-process plugin runner;</w:t>
      </w:r>
    </w:p>
    <w:p>
      <w:pPr>
        <w:pStyle w:val="ListBullet"/>
      </w:pPr>
      <w:r>
        <w:rPr>
          <w:rFonts w:ascii="Noto Serif" w:hAnsi="Noto Serif" w:eastAsia="Noto Serif" w:cs="Noto Serif"/>
          <w:b w:val="0"/>
          <w:i w:val="0"/>
          <w:color w:val="202733"/>
          <w:sz w:val="18"/>
        </w:rPr>
        <w:t>generated Go backend;</w:t>
      </w:r>
    </w:p>
    <w:p>
      <w:pPr>
        <w:pStyle w:val="ListBullet"/>
      </w:pPr>
      <w:r>
        <w:rPr>
          <w:rFonts w:ascii="Noto Serif" w:hAnsi="Noto Serif" w:eastAsia="Noto Serif" w:cs="Noto Serif"/>
          <w:b w:val="0"/>
          <w:i w:val="0"/>
          <w:color w:val="202733"/>
          <w:sz w:val="18"/>
        </w:rPr>
        <w:t>model checker and symbolic executor;</w:t>
      </w:r>
    </w:p>
    <w:p>
      <w:pPr>
        <w:pStyle w:val="ListBullet"/>
      </w:pPr>
      <w:r>
        <w:rPr>
          <w:rFonts w:ascii="Noto Serif" w:hAnsi="Noto Serif" w:eastAsia="Noto Serif" w:cs="Noto Serif"/>
          <w:b w:val="0"/>
          <w:i w:val="0"/>
          <w:color w:val="202733"/>
          <w:sz w:val="18"/>
        </w:rPr>
        <w:t>multi-language front ends.</w:t>
      </w:r>
    </w:p>
    <w:p>
      <w:bookmarkStart w:id="190" w:name="sec_181"/>
      <w:pPr>
        <w:pStyle w:val="Heading3"/>
      </w:pPr>
      <w:r>
        <w:rPr>
          <w:rFonts w:ascii="Lato" w:hAnsi="Lato" w:eastAsia="Lato" w:cs="Lato"/>
          <w:b/>
          <w:i w:val="0"/>
          <w:color w:val="202733"/>
          <w:sz w:val="21"/>
        </w:rPr>
        <w:t>Phase 9 - Reconsider a full engine</w:t>
      </w:r>
      <w:bookmarkEnd w:id="190"/>
    </w:p>
    <w:p>
      <w:r>
        <w:rPr>
          <w:rFonts w:ascii="Noto Serif" w:hAnsi="Noto Serif" w:eastAsia="Noto Serif" w:cs="Noto Serif"/>
          <w:b w:val="0"/>
          <w:i w:val="0"/>
          <w:color w:val="202733"/>
          <w:sz w:val="18"/>
        </w:rPr>
        <w:t>A complete new JavaScript implementation is justified only if all are true:</w:t>
      </w:r>
    </w:p>
    <w:p>
      <w:pPr>
        <w:pStyle w:val="ListBullet"/>
      </w:pPr>
      <w:r>
        <w:rPr>
          <w:rFonts w:ascii="Noto Serif" w:hAnsi="Noto Serif" w:eastAsia="Noto Serif" w:cs="Noto Serif"/>
          <w:b w:val="0"/>
          <w:i w:val="0"/>
          <w:color w:val="202733"/>
          <w:sz w:val="18"/>
        </w:rPr>
        <w:t>multiple strategic products require the same language platform;</w:t>
      </w:r>
    </w:p>
    <w:p>
      <w:pPr>
        <w:pStyle w:val="ListBullet"/>
      </w:pPr>
      <w:r>
        <w:rPr>
          <w:rFonts w:ascii="Noto Serif" w:hAnsi="Noto Serif" w:eastAsia="Noto Serif" w:cs="Noto Serif"/>
          <w:b w:val="0"/>
          <w:i w:val="0"/>
          <w:color w:val="202733"/>
          <w:sz w:val="18"/>
        </w:rPr>
        <w:t>the accepted compatibility target is explicitly bounded;</w:t>
      </w:r>
    </w:p>
    <w:p>
      <w:pPr>
        <w:pStyle w:val="ListBullet"/>
      </w:pPr>
      <w:r>
        <w:rPr>
          <w:rFonts w:ascii="Noto Serif" w:hAnsi="Noto Serif" w:eastAsia="Noto Serif" w:cs="Noto Serif"/>
          <w:b w:val="0"/>
          <w:i w:val="0"/>
          <w:color w:val="202733"/>
          <w:sz w:val="18"/>
        </w:rPr>
        <w:t>a dedicated runtime/compiler team exists;</w:t>
      </w:r>
    </w:p>
    <w:p>
      <w:pPr>
        <w:pStyle w:val="ListBullet"/>
      </w:pPr>
      <w:r>
        <w:rPr>
          <w:rFonts w:ascii="Noto Serif" w:hAnsi="Noto Serif" w:eastAsia="Noto Serif" w:cs="Noto Serif"/>
          <w:b w:val="0"/>
          <w:i w:val="0"/>
          <w:color w:val="202733"/>
          <w:sz w:val="18"/>
        </w:rPr>
        <w:t>ongoing Test262, performance, security, and tooling maintenance is funded;</w:t>
      </w:r>
    </w:p>
    <w:p>
      <w:pPr>
        <w:pStyle w:val="ListBullet"/>
      </w:pPr>
      <w:r>
        <w:rPr>
          <w:rFonts w:ascii="Noto Serif" w:hAnsi="Noto Serif" w:eastAsia="Noto Serif" w:cs="Noto Serif"/>
          <w:b w:val="0"/>
          <w:i w:val="0"/>
          <w:color w:val="202733"/>
          <w:sz w:val="18"/>
        </w:rPr>
        <w:t>selective Goja modification cannot supply required guarantees;</w:t>
      </w:r>
    </w:p>
    <w:p>
      <w:pPr>
        <w:pStyle w:val="ListBullet"/>
      </w:pPr>
      <w:r>
        <w:rPr>
          <w:rFonts w:ascii="Noto Serif" w:hAnsi="Noto Serif" w:eastAsia="Noto Serif" w:cs="Noto Serif"/>
          <w:b w:val="0"/>
          <w:i w:val="0"/>
          <w:color w:val="202733"/>
          <w:sz w:val="18"/>
        </w:rPr>
        <w:t>owning the engine is itself a product advantage.</w:t>
      </w:r>
    </w:p>
    <w:p>
      <w:bookmarkStart w:id="191" w:name="sec_182"/>
      <w:pPr>
        <w:pStyle w:val="Heading2"/>
      </w:pPr>
      <w:r>
        <w:rPr>
          <w:rFonts w:ascii="Lato" w:hAnsi="Lato" w:eastAsia="Lato" w:cs="Lato"/>
          <w:b/>
          <w:i w:val="0"/>
          <w:color w:val="17365D"/>
          <w:sz w:val="26"/>
        </w:rPr>
        <w:t>42. Concrete first experiments</w:t>
      </w:r>
      <w:bookmarkEnd w:id="191"/>
    </w:p>
    <w:p>
      <w:r>
        <w:rPr>
          <w:rFonts w:ascii="Noto Serif" w:hAnsi="Noto Serif" w:eastAsia="Noto Serif" w:cs="Noto Serif"/>
          <w:b w:val="0"/>
          <w:i w:val="0"/>
          <w:color w:val="202733"/>
          <w:sz w:val="18"/>
        </w:rPr>
        <w:t>The following experiments give high information value without committing to a full platform.</w:t>
      </w:r>
    </w:p>
    <w:p>
      <w:bookmarkStart w:id="192" w:name="sec_183"/>
      <w:pPr>
        <w:pStyle w:val="Heading3"/>
      </w:pPr>
      <w:r>
        <w:rPr>
          <w:rFonts w:ascii="Lato" w:hAnsi="Lato" w:eastAsia="Lato" w:cs="Lato"/>
          <w:b/>
          <w:i w:val="0"/>
          <w:color w:val="202733"/>
          <w:sz w:val="21"/>
        </w:rPr>
        <w:t>Experiment A - Static manifest inference</w:t>
      </w:r>
      <w:bookmarkEnd w:id="192"/>
    </w:p>
    <w:p>
      <w:r>
        <w:rPr>
          <w:rFonts w:ascii="Noto Serif" w:hAnsi="Noto Serif" w:eastAsia="Noto Serif" w:cs="Noto Serif"/>
          <w:b w:val="0"/>
          <w:i w:val="0"/>
          <w:color w:val="202733"/>
          <w:sz w:val="18"/>
        </w:rPr>
        <w:t xml:space="preserve">Parse the current Tiny-IDP examples, infer capability/outcome/effect sets, and compare them to declared </w:t>
      </w:r>
      <w:r>
        <w:rPr>
          <w:rFonts w:ascii="DejaVu Sans Mono" w:hAnsi="DejaVu Sans Mono" w:eastAsia="DejaVu Sans Mono" w:cs="DejaVu Sans Mono"/>
          <w:b w:val="0"/>
          <w:i w:val="0"/>
          <w:color w:val="202733"/>
          <w:sz w:val="16"/>
          <w:shd w:fill="EDF1F4" w:val="clear"/>
        </w:rPr>
        <w:t>LambdaSpec</w:t>
      </w:r>
      <w:r>
        <w:rPr>
          <w:rFonts w:ascii="Noto Serif" w:hAnsi="Noto Serif" w:eastAsia="Noto Serif" w:cs="Noto Serif"/>
          <w:b w:val="0"/>
          <w:i w:val="0"/>
          <w:color w:val="202733"/>
          <w:sz w:val="18"/>
        </w:rPr>
        <w:t xml:space="preserve"> values. Measure false positives, dynamic constructs, and diagnostic quality.</w:t>
      </w:r>
    </w:p>
    <w:p>
      <w:bookmarkStart w:id="193" w:name="sec_184"/>
      <w:pPr>
        <w:pStyle w:val="Heading3"/>
      </w:pPr>
      <w:r>
        <w:rPr>
          <w:rFonts w:ascii="Lato" w:hAnsi="Lato" w:eastAsia="Lato" w:cs="Lato"/>
          <w:b/>
          <w:i w:val="0"/>
          <w:color w:val="202733"/>
          <w:sz w:val="21"/>
        </w:rPr>
        <w:t>Experiment B - One durable form transform</w:t>
      </w:r>
      <w:bookmarkEnd w:id="193"/>
    </w:p>
    <w:p>
      <w:r>
        <w:rPr>
          <w:rFonts w:ascii="Noto Serif" w:hAnsi="Noto Serif" w:eastAsia="Noto Serif" w:cs="Noto Serif"/>
          <w:b w:val="0"/>
          <w:i w:val="0"/>
          <w:color w:val="202733"/>
          <w:sz w:val="18"/>
        </w:rPr>
        <w:t xml:space="preserve">Compile a linear signup function with one </w:t>
      </w:r>
      <w:r>
        <w:rPr>
          <w:rFonts w:ascii="DejaVu Sans Mono" w:hAnsi="DejaVu Sans Mono" w:eastAsia="DejaVu Sans Mono" w:cs="DejaVu Sans Mono"/>
          <w:b w:val="0"/>
          <w:i w:val="0"/>
          <w:color w:val="202733"/>
          <w:sz w:val="16"/>
          <w:shd w:fill="EDF1F4" w:val="clear"/>
        </w:rPr>
        <w:t>await durable.form</w:t>
      </w:r>
      <w:r>
        <w:rPr>
          <w:rFonts w:ascii="Noto Serif" w:hAnsi="Noto Serif" w:eastAsia="Noto Serif" w:cs="Noto Serif"/>
          <w:b w:val="0"/>
          <w:i w:val="0"/>
          <w:color w:val="202733"/>
          <w:sz w:val="18"/>
        </w:rPr>
        <w:t xml:space="preserve"> into the existing explicit handler/continuation API. Verify canonical program equality and run existing workflow tests against the generated form.</w:t>
      </w:r>
    </w:p>
    <w:p>
      <w:bookmarkStart w:id="194" w:name="sec_185"/>
      <w:pPr>
        <w:pStyle w:val="Heading3"/>
      </w:pPr>
      <w:r>
        <w:rPr>
          <w:rFonts w:ascii="Lato" w:hAnsi="Lato" w:eastAsia="Lato" w:cs="Lato"/>
          <w:b/>
          <w:i w:val="0"/>
          <w:color w:val="202733"/>
          <w:sz w:val="21"/>
        </w:rPr>
        <w:t>Experiment C - Carry leak checker</w:t>
      </w:r>
      <w:bookmarkEnd w:id="194"/>
    </w:p>
    <w:p>
      <w:r>
        <w:rPr>
          <w:rFonts w:ascii="Noto Serif" w:hAnsi="Noto Serif" w:eastAsia="Noto Serif" w:cs="Noto Serif"/>
          <w:b w:val="0"/>
          <w:i w:val="0"/>
          <w:color w:val="202733"/>
          <w:sz w:val="18"/>
        </w:rPr>
        <w:t>Introduce nominal types for secret handles, evidence, capability functions, and public values in the internal analyzer. Test rejection of secret, Promise, function, cyclic object, and oversized public carry.</w:t>
      </w:r>
    </w:p>
    <w:p>
      <w:bookmarkStart w:id="195" w:name="sec_186"/>
      <w:pPr>
        <w:pStyle w:val="Heading3"/>
      </w:pPr>
      <w:r>
        <w:rPr>
          <w:rFonts w:ascii="Lato" w:hAnsi="Lato" w:eastAsia="Lato" w:cs="Lato"/>
          <w:b/>
          <w:i w:val="0"/>
          <w:color w:val="202733"/>
          <w:sz w:val="21"/>
        </w:rPr>
        <w:t>Experiment D - Task quiescence audit</w:t>
      </w:r>
      <w:bookmarkEnd w:id="195"/>
    </w:p>
    <w:p>
      <w:r>
        <w:rPr>
          <w:rFonts w:ascii="Noto Serif" w:hAnsi="Noto Serif" w:eastAsia="Noto Serif" w:cs="Noto Serif"/>
          <w:b w:val="0"/>
          <w:i w:val="0"/>
          <w:color w:val="202733"/>
          <w:sz w:val="18"/>
        </w:rPr>
        <w:t>Instrument Promise creation and native capability settlement using available Goja hooks and source transforms. Compare the observed job graph with the current pending-capability counter. This determines whether a VM job-queue patch is necessary.</w:t>
      </w:r>
    </w:p>
    <w:p>
      <w:bookmarkStart w:id="196" w:name="sec_187"/>
      <w:pPr>
        <w:pStyle w:val="Heading3"/>
      </w:pPr>
      <w:r>
        <w:rPr>
          <w:rFonts w:ascii="Lato" w:hAnsi="Lato" w:eastAsia="Lato" w:cs="Lato"/>
          <w:b/>
          <w:i w:val="0"/>
          <w:color w:val="202733"/>
          <w:sz w:val="21"/>
        </w:rPr>
        <w:t>Experiment E - Fuel prototype</w:t>
      </w:r>
      <w:bookmarkEnd w:id="196"/>
    </w:p>
    <w:p>
      <w:r>
        <w:rPr>
          <w:rFonts w:ascii="Noto Serif" w:hAnsi="Noto Serif" w:eastAsia="Noto Serif" w:cs="Noto Serif"/>
          <w:b w:val="0"/>
          <w:i w:val="0"/>
          <w:color w:val="202733"/>
          <w:sz w:val="18"/>
        </w:rPr>
        <w:t>Patch one Goja execution loop to count instructions, run Goja's tests and representative Tiny-IDP handlers, and estimate overhead. Do not merge project-specific semantics into the patch.</w:t>
      </w:r>
    </w:p>
    <w:p>
      <w:bookmarkStart w:id="197" w:name="sec_188"/>
      <w:pPr>
        <w:pStyle w:val="Heading3"/>
      </w:pPr>
      <w:r>
        <w:rPr>
          <w:rFonts w:ascii="Lato" w:hAnsi="Lato" w:eastAsia="Lato" w:cs="Lato"/>
          <w:b/>
          <w:i w:val="0"/>
          <w:color w:val="202733"/>
          <w:sz w:val="21"/>
        </w:rPr>
        <w:t>Experiment F - Dialect definition prototype</w:t>
      </w:r>
      <w:bookmarkEnd w:id="197"/>
    </w:p>
    <w:p>
      <w:r>
        <w:rPr>
          <w:rFonts w:ascii="Noto Serif" w:hAnsi="Noto Serif" w:eastAsia="Noto Serif" w:cs="Noto Serif"/>
          <w:b w:val="0"/>
          <w:i w:val="0"/>
          <w:color w:val="202733"/>
          <w:sz w:val="18"/>
        </w:rPr>
        <w:t xml:space="preserve">Describe </w:t>
      </w:r>
      <w:r>
        <w:rPr>
          <w:rFonts w:ascii="DejaVu Sans Mono" w:hAnsi="DejaVu Sans Mono" w:eastAsia="DejaVu Sans Mono" w:cs="DejaVu Sans Mono"/>
          <w:b w:val="0"/>
          <w:i w:val="0"/>
          <w:color w:val="202733"/>
          <w:sz w:val="16"/>
          <w:shd w:fill="EDF1F4" w:val="clear"/>
        </w:rPr>
        <w:t>present.form</w:t>
      </w:r>
      <w:r>
        <w:rPr>
          <w:rFonts w:ascii="Noto Serif" w:hAnsi="Noto Serif" w:eastAsia="Noto Serif" w:cs="Noto Serif"/>
          <w:b w:val="0"/>
          <w:i w:val="0"/>
          <w:color w:val="202733"/>
          <w:sz w:val="18"/>
        </w:rPr>
        <w:t xml:space="preserve">, </w:t>
      </w:r>
      <w:r>
        <w:rPr>
          <w:rFonts w:ascii="DejaVu Sans Mono" w:hAnsi="DejaVu Sans Mono" w:eastAsia="DejaVu Sans Mono" w:cs="DejaVu Sans Mono"/>
          <w:b w:val="0"/>
          <w:i w:val="0"/>
          <w:color w:val="202733"/>
          <w:sz w:val="16"/>
          <w:shd w:fill="EDF1F4" w:val="clear"/>
        </w:rPr>
        <w:t>challenge.email-code</w:t>
      </w:r>
      <w:r>
        <w:rPr>
          <w:rFonts w:ascii="Noto Serif" w:hAnsi="Noto Serif" w:eastAsia="Noto Serif" w:cs="Noto Serif"/>
          <w:b w:val="0"/>
          <w:i w:val="0"/>
          <w:color w:val="202733"/>
          <w:sz w:val="18"/>
        </w:rPr>
        <w:t>, and four commit effects declaratively. Generate bindings, verifier stubs, documentation, and fake test operations. This tests whether the proposed extension model removes more code than it adds.</w:t>
      </w:r>
    </w:p>
    <w:p>
      <w:bookmarkStart w:id="198" w:name="sec_189"/>
      <w:pPr>
        <w:pStyle w:val="Heading2"/>
      </w:pPr>
      <w:r>
        <w:rPr>
          <w:rFonts w:ascii="Lato" w:hAnsi="Lato" w:eastAsia="Lato" w:cs="Lato"/>
          <w:b/>
          <w:i w:val="0"/>
          <w:color w:val="17365D"/>
          <w:sz w:val="26"/>
        </w:rPr>
        <w:t>43. Final recommendations</w:t>
      </w:r>
      <w:bookmarkEnd w:id="198"/>
    </w:p>
    <w:p>
      <w:bookmarkStart w:id="199" w:name="sec_190"/>
      <w:pPr>
        <w:pStyle w:val="Heading3"/>
      </w:pPr>
      <w:r>
        <w:rPr>
          <w:rFonts w:ascii="Lato" w:hAnsi="Lato" w:eastAsia="Lato" w:cs="Lato"/>
          <w:b/>
          <w:i w:val="0"/>
          <w:color w:val="202733"/>
          <w:sz w:val="21"/>
        </w:rPr>
        <w:t>43.1 Preserve the current authority split</w:t>
      </w:r>
      <w:bookmarkEnd w:id="199"/>
    </w:p>
    <w:p>
      <w:r>
        <w:rPr>
          <w:rFonts w:ascii="Noto Serif" w:hAnsi="Noto Serif" w:eastAsia="Noto Serif" w:cs="Noto Serif"/>
          <w:b w:val="0"/>
          <w:i w:val="0"/>
          <w:color w:val="202733"/>
          <w:sz w:val="18"/>
        </w:rPr>
        <w:t>JavaScript should remain policy and orchestration code inside a native identity kernel. Compiler improvements should make the boundary sharper, not move protocol, secret, persistence, or transaction authority into the language.</w:t>
      </w:r>
    </w:p>
    <w:p>
      <w:bookmarkStart w:id="200" w:name="sec_191"/>
      <w:pPr>
        <w:pStyle w:val="Heading3"/>
      </w:pPr>
      <w:r>
        <w:rPr>
          <w:rFonts w:ascii="Lato" w:hAnsi="Lato" w:eastAsia="Lato" w:cs="Lato"/>
          <w:b/>
          <w:i w:val="0"/>
          <w:color w:val="202733"/>
          <w:sz w:val="21"/>
        </w:rPr>
        <w:t>43.2 Make semantics independent of Goja early</w:t>
      </w:r>
      <w:bookmarkEnd w:id="200"/>
    </w:p>
    <w:p>
      <w:r>
        <w:rPr>
          <w:rFonts w:ascii="Noto Serif" w:hAnsi="Noto Serif" w:eastAsia="Noto Serif" w:cs="Noto Serif"/>
          <w:b w:val="0"/>
          <w:i w:val="0"/>
          <w:color w:val="202733"/>
          <w:sz w:val="18"/>
        </w:rPr>
        <w:t>Use Goja as the parser and execution backend, but define a stable MIR and activation certificate before introducing many language features. Durable records must bind to semantic handler and schema identity, not Goja bytecode or VM frames.</w:t>
      </w:r>
    </w:p>
    <w:p>
      <w:bookmarkStart w:id="201" w:name="sec_192"/>
      <w:pPr>
        <w:pStyle w:val="Heading3"/>
      </w:pPr>
      <w:r>
        <w:rPr>
          <w:rFonts w:ascii="Lato" w:hAnsi="Lato" w:eastAsia="Lato" w:cs="Lato"/>
          <w:b/>
          <w:i w:val="0"/>
          <w:color w:val="202733"/>
          <w:sz w:val="21"/>
        </w:rPr>
        <w:t xml:space="preserve">43.3 Treat durable </w:t>
      </w:r>
      <w:r>
        <w:rPr>
          <w:rFonts w:ascii="Lato" w:hAnsi="Lato" w:eastAsia="Lato" w:cs="Lato"/>
          <w:b/>
          <w:i w:val="0"/>
          <w:color w:val="202733"/>
          <w:sz w:val="21"/>
          <w:shd w:fill="EDF1F4" w:val="clear"/>
        </w:rPr>
        <w:t>await</w:t>
      </w:r>
      <w:r>
        <w:rPr>
          <w:rFonts w:ascii="Lato" w:hAnsi="Lato" w:eastAsia="Lato" w:cs="Lato"/>
          <w:b/>
          <w:i w:val="0"/>
          <w:color w:val="202733"/>
          <w:sz w:val="21"/>
        </w:rPr>
        <w:t xml:space="preserve"> as the flagship feature</w:t>
      </w:r>
      <w:bookmarkEnd w:id="201"/>
    </w:p>
    <w:p>
      <w:r>
        <w:rPr>
          <w:rFonts w:ascii="Noto Serif" w:hAnsi="Noto Serif" w:eastAsia="Noto Serif" w:cs="Noto Serif"/>
          <w:b w:val="0"/>
          <w:i w:val="0"/>
          <w:color w:val="202733"/>
          <w:sz w:val="18"/>
        </w:rPr>
        <w:t>It offers the largest usability improvement while strengthening, rather than weakening, the explicit continuation architecture. The compiler should expose the generated state machine and carry schemas so the sugar remains auditable.</w:t>
      </w:r>
    </w:p>
    <w:p>
      <w:bookmarkStart w:id="202" w:name="sec_193"/>
      <w:pPr>
        <w:pStyle w:val="Heading3"/>
      </w:pPr>
      <w:r>
        <w:rPr>
          <w:rFonts w:ascii="Lato" w:hAnsi="Lato" w:eastAsia="Lato" w:cs="Lato"/>
          <w:b/>
          <w:i w:val="0"/>
          <w:color w:val="202733"/>
          <w:sz w:val="21"/>
        </w:rPr>
        <w:t>43.4 Build an effect and region system before custom syntax</w:t>
      </w:r>
      <w:bookmarkEnd w:id="202"/>
    </w:p>
    <w:p>
      <w:r>
        <w:rPr>
          <w:rFonts w:ascii="Noto Serif" w:hAnsi="Noto Serif" w:eastAsia="Noto Serif" w:cs="Noto Serif"/>
          <w:b w:val="0"/>
          <w:i w:val="0"/>
          <w:color w:val="202733"/>
          <w:sz w:val="18"/>
        </w:rPr>
        <w:t>Capability inference, outcome closure, secret lifetime, continuation safety, and structured concurrency provide more value than novel syntax. Standard JavaScript with strong diagnostics is preferable to an elegant syntax without rigorous semantics.</w:t>
      </w:r>
    </w:p>
    <w:p>
      <w:bookmarkStart w:id="203" w:name="sec_194"/>
      <w:pPr>
        <w:pStyle w:val="Heading3"/>
      </w:pPr>
      <w:r>
        <w:rPr>
          <w:rFonts w:ascii="Lato" w:hAnsi="Lato" w:eastAsia="Lato" w:cs="Lato"/>
          <w:b/>
          <w:i w:val="0"/>
          <w:color w:val="202733"/>
          <w:sz w:val="21"/>
        </w:rPr>
        <w:t>43.5 Fork Goja only for measured missing guarantees</w:t>
      </w:r>
      <w:bookmarkEnd w:id="203"/>
    </w:p>
    <w:p>
      <w:r>
        <w:rPr>
          <w:rFonts w:ascii="Noto Serif" w:hAnsi="Noto Serif" w:eastAsia="Noto Serif" w:cs="Noto Serif"/>
          <w:b w:val="0"/>
          <w:i w:val="0"/>
          <w:color w:val="202733"/>
          <w:sz w:val="18"/>
        </w:rPr>
        <w:t>Instruction fuel, allocation accounting, job-queue quiescence, provenance, and tracing are credible reasons. Tiny-IDP-specific opcodes, serialized frames, or a broad rewrite are not.</w:t>
      </w:r>
    </w:p>
    <w:p>
      <w:bookmarkStart w:id="204" w:name="sec_195"/>
      <w:pPr>
        <w:pStyle w:val="Heading3"/>
      </w:pPr>
      <w:r>
        <w:rPr>
          <w:rFonts w:ascii="Lato" w:hAnsi="Lato" w:eastAsia="Lato" w:cs="Lato"/>
          <w:b/>
          <w:i w:val="0"/>
          <w:color w:val="202733"/>
          <w:sz w:val="21"/>
        </w:rPr>
        <w:t>43.6 Verify the small core</w:t>
      </w:r>
      <w:bookmarkEnd w:id="204"/>
    </w:p>
    <w:p>
      <w:r>
        <w:rPr>
          <w:rFonts w:ascii="Noto Serif" w:hAnsi="Noto Serif" w:eastAsia="Noto Serif" w:cs="Noto Serif"/>
          <w:b w:val="0"/>
          <w:i w:val="0"/>
          <w:color w:val="202733"/>
          <w:sz w:val="18"/>
        </w:rPr>
        <w:t>Formalize MIR and its verifier; prove critical lowering properties; differentially test every backend. Avoid claims that the whole ECMAScript implementation or identity provider is verified.</w:t>
      </w:r>
    </w:p>
    <w:p>
      <w:bookmarkStart w:id="205" w:name="sec_196"/>
      <w:pPr>
        <w:pStyle w:val="Heading3"/>
      </w:pPr>
      <w:r>
        <w:rPr>
          <w:rFonts w:ascii="Lato" w:hAnsi="Lato" w:eastAsia="Lato" w:cs="Lato"/>
          <w:b/>
          <w:i w:val="0"/>
          <w:color w:val="202733"/>
          <w:sz w:val="21"/>
        </w:rPr>
        <w:t>43.7 Design extensions as worlds and dialects</w:t>
      </w:r>
      <w:bookmarkEnd w:id="205"/>
    </w:p>
    <w:p>
      <w:r>
        <w:rPr>
          <w:rFonts w:ascii="Noto Serif" w:hAnsi="Noto Serif" w:eastAsia="Noto Serif" w:cs="Noto Serif"/>
          <w:b w:val="0"/>
          <w:i w:val="0"/>
          <w:color w:val="202733"/>
          <w:sz w:val="18"/>
        </w:rPr>
        <w:t>Worlds make authority reviewable. Dialects make semantics reusable. Declarative definitions and generic operation interfaces keep the platform extensible without giving every project arbitrary access to compiler internals.</w:t>
      </w:r>
    </w:p>
    <w:p>
      <w:bookmarkStart w:id="206" w:name="sec_197"/>
      <w:pPr>
        <w:pStyle w:val="Heading1"/>
        <w:pageBreakBefore/>
      </w:pPr>
      <w:r>
        <w:rPr>
          <w:rFonts w:ascii="Lato" w:hAnsi="Lato" w:eastAsia="Lato" w:cs="Lato"/>
          <w:b/>
          <w:i w:val="0"/>
          <w:color w:val="17365D"/>
          <w:sz w:val="37"/>
        </w:rPr>
        <w:t>Appendix A - Proposed core interfaces</w:t>
      </w:r>
      <w:bookmarkEnd w:id="206"/>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bookmarkStart w:id="207" w:name="sec_198"/>
      <w:pPr>
        <w:pStyle w:val="Heading2"/>
      </w:pPr>
      <w:r>
        <w:rPr>
          <w:rFonts w:ascii="Lato" w:hAnsi="Lato" w:eastAsia="Lato" w:cs="Lato"/>
          <w:b/>
          <w:i w:val="0"/>
          <w:color w:val="17365D"/>
          <w:sz w:val="26"/>
        </w:rPr>
        <w:t>A.1 World manifest</w:t>
      </w:r>
      <w:bookmarkEnd w:id="207"/>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WorldID        string</w:t>
        <w:br/>
      </w:r>
      <w:r>
        <w:rPr>
          <w:rFonts w:ascii="DejaVu Sans Mono" w:hAnsi="DejaVu Sans Mono" w:eastAsia="DejaVu Sans Mono" w:cs="DejaVu Sans Mono"/>
          <w:color w:val="202733"/>
          <w:sz w:val="14"/>
        </w:rPr>
        <w:t>WorldVersion   semver</w:t>
        <w:br/>
      </w:r>
      <w:r>
        <w:rPr>
          <w:rFonts w:ascii="DejaVu Sans Mono" w:hAnsi="DejaVu Sans Mono" w:eastAsia="DejaVu Sans Mono" w:cs="DejaVu Sans Mono"/>
          <w:color w:val="202733"/>
          <w:sz w:val="14"/>
        </w:rPr>
        <w:t>LanguageProfile ProfileID</w:t>
        <w:br/>
      </w:r>
      <w:r>
        <w:rPr>
          <w:rFonts w:ascii="DejaVu Sans Mono" w:hAnsi="DejaVu Sans Mono" w:eastAsia="DejaVu Sans Mono" w:cs="DejaVu Sans Mono"/>
          <w:color w:val="202733"/>
          <w:sz w:val="14"/>
        </w:rPr>
        <w:t>Dialects       []DialectRequirement</w:t>
        <w:br/>
      </w:r>
      <w:r>
        <w:rPr>
          <w:rFonts w:ascii="DejaVu Sans Mono" w:hAnsi="DejaVu Sans Mono" w:eastAsia="DejaVu Sans Mono" w:cs="DejaVu Sans Mono"/>
          <w:color w:val="202733"/>
          <w:sz w:val="14"/>
        </w:rPr>
        <w:t>Imports        []CapabilityImport</w:t>
        <w:br/>
      </w:r>
      <w:r>
        <w:rPr>
          <w:rFonts w:ascii="DejaVu Sans Mono" w:hAnsi="DejaVu Sans Mono" w:eastAsia="DejaVu Sans Mono" w:cs="DejaVu Sans Mono"/>
          <w:color w:val="202733"/>
          <w:sz w:val="14"/>
        </w:rPr>
        <w:t>Exports        []EntryPoint</w:t>
        <w:br/>
      </w:r>
      <w:r>
        <w:rPr>
          <w:rFonts w:ascii="DejaVu Sans Mono" w:hAnsi="DejaVu Sans Mono" w:eastAsia="DejaVu Sans Mono" w:cs="DejaVu Sans Mono"/>
          <w:color w:val="202733"/>
          <w:sz w:val="14"/>
        </w:rPr>
        <w:t>Limits         ResourcePolicy</w:t>
        <w:br/>
      </w:r>
      <w:r>
        <w:rPr>
          <w:rFonts w:ascii="DejaVu Sans Mono" w:hAnsi="DejaVu Sans Mono" w:eastAsia="DejaVu Sans Mono" w:cs="DejaVu Sans Mono"/>
          <w:color w:val="202733"/>
          <w:sz w:val="14"/>
        </w:rPr>
        <w:t>Trust          TrustPolicy</w:t>
      </w:r>
    </w:p>
    <w:p>
      <w:bookmarkStart w:id="208" w:name="sec_199"/>
      <w:pPr>
        <w:pStyle w:val="Heading2"/>
      </w:pPr>
      <w:r>
        <w:rPr>
          <w:rFonts w:ascii="Lato" w:hAnsi="Lato" w:eastAsia="Lato" w:cs="Lato"/>
          <w:b/>
          <w:i w:val="0"/>
          <w:color w:val="17365D"/>
          <w:sz w:val="26"/>
        </w:rPr>
        <w:t>A.2 Dialect operation</w:t>
      </w:r>
      <w:bookmarkEnd w:id="208"/>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OperationDef {</w:t>
        <w:br/>
      </w:r>
      <w:r>
        <w:rPr>
          <w:rFonts w:ascii="DejaVu Sans Mono" w:hAnsi="DejaVu Sans Mono" w:eastAsia="DejaVu Sans Mono" w:cs="DejaVu Sans Mono"/>
          <w:color w:val="202733"/>
          <w:sz w:val="14"/>
        </w:rPr>
        <w:t xml:space="preserve">  ID              OperationID</w:t>
        <w:br/>
      </w:r>
      <w:r>
        <w:rPr>
          <w:rFonts w:ascii="DejaVu Sans Mono" w:hAnsi="DejaVu Sans Mono" w:eastAsia="DejaVu Sans Mono" w:cs="DejaVu Sans Mono"/>
          <w:color w:val="202733"/>
          <w:sz w:val="14"/>
        </w:rPr>
        <w:t xml:space="preserve">  Version         semver</w:t>
        <w:br/>
      </w:r>
      <w:r>
        <w:rPr>
          <w:rFonts w:ascii="DejaVu Sans Mono" w:hAnsi="DejaVu Sans Mono" w:eastAsia="DejaVu Sans Mono" w:cs="DejaVu Sans Mono"/>
          <w:color w:val="202733"/>
          <w:sz w:val="14"/>
        </w:rPr>
        <w:t xml:space="preserve">  OperandTypes    []TypeExpr</w:t>
        <w:br/>
      </w:r>
      <w:r>
        <w:rPr>
          <w:rFonts w:ascii="DejaVu Sans Mono" w:hAnsi="DejaVu Sans Mono" w:eastAsia="DejaVu Sans Mono" w:cs="DejaVu Sans Mono"/>
          <w:color w:val="202733"/>
          <w:sz w:val="14"/>
        </w:rPr>
        <w:t xml:space="preserve">  ResultTypes     []TypeExpr</w:t>
        <w:br/>
      </w:r>
      <w:r>
        <w:rPr>
          <w:rFonts w:ascii="DejaVu Sans Mono" w:hAnsi="DejaVu Sans Mono" w:eastAsia="DejaVu Sans Mono" w:cs="DejaVu Sans Mono"/>
          <w:color w:val="202733"/>
          <w:sz w:val="14"/>
        </w:rPr>
        <w:t xml:space="preserve">  Effects         EffectRow</w:t>
        <w:br/>
      </w:r>
      <w:r>
        <w:rPr>
          <w:rFonts w:ascii="DejaVu Sans Mono" w:hAnsi="DejaVu Sans Mono" w:eastAsia="DejaVu Sans Mono" w:cs="DejaVu Sans Mono"/>
          <w:color w:val="202733"/>
          <w:sz w:val="14"/>
        </w:rPr>
        <w:t xml:space="preserve">  Traits          []TraitID</w:t>
        <w:br/>
      </w:r>
      <w:r>
        <w:rPr>
          <w:rFonts w:ascii="DejaVu Sans Mono" w:hAnsi="DejaVu Sans Mono" w:eastAsia="DejaVu Sans Mono" w:cs="DejaVu Sans Mono"/>
          <w:color w:val="202733"/>
          <w:sz w:val="14"/>
        </w:rPr>
        <w:t xml:space="preserve">  Regions         RegionRule</w:t>
        <w:br/>
      </w:r>
      <w:r>
        <w:rPr>
          <w:rFonts w:ascii="DejaVu Sans Mono" w:hAnsi="DejaVu Sans Mono" w:eastAsia="DejaVu Sans Mono" w:cs="DejaVu Sans Mono"/>
          <w:color w:val="202733"/>
          <w:sz w:val="14"/>
        </w:rPr>
        <w:t xml:space="preserve">  Verifier        DeclarativeRuleSet | TrustedVerifierID</w:t>
        <w:br/>
      </w:r>
      <w:r>
        <w:rPr>
          <w:rFonts w:ascii="DejaVu Sans Mono" w:hAnsi="DejaVu Sans Mono" w:eastAsia="DejaVu Sans Mono" w:cs="DejaVu Sans Mono"/>
          <w:color w:val="202733"/>
          <w:sz w:val="14"/>
        </w:rPr>
        <w:t xml:space="preserve">  Lowerings       map[BackendID] LoweringID</w:t>
        <w:br/>
      </w:r>
      <w:r>
        <w:rPr>
          <w:rFonts w:ascii="DejaVu Sans Mono" w:hAnsi="DejaVu Sans Mono" w:eastAsia="DejaVu Sans Mono" w:cs="DejaVu Sans Mono"/>
          <w:color w:val="202733"/>
          <w:sz w:val="14"/>
        </w:rPr>
        <w:t xml:space="preserve">  Redaction       RedactionPolicy</w:t>
        <w:br/>
      </w:r>
      <w:r>
        <w:rPr>
          <w:rFonts w:ascii="DejaVu Sans Mono" w:hAnsi="DejaVu Sans Mono" w:eastAsia="DejaVu Sans Mono" w:cs="DejaVu Sans Mono"/>
          <w:color w:val="202733"/>
          <w:sz w:val="14"/>
        </w:rPr>
        <w:t xml:space="preserve">  Compatibility   CompatibilityPolicy</w:t>
        <w:br/>
      </w:r>
      <w:r>
        <w:rPr>
          <w:rFonts w:ascii="DejaVu Sans Mono" w:hAnsi="DejaVu Sans Mono" w:eastAsia="DejaVu Sans Mono" w:cs="DejaVu Sans Mono"/>
          <w:color w:val="202733"/>
          <w:sz w:val="14"/>
        </w:rPr>
        <w:t>}</w:t>
      </w:r>
    </w:p>
    <w:p>
      <w:bookmarkStart w:id="209" w:name="sec_200"/>
      <w:pPr>
        <w:pStyle w:val="Heading2"/>
      </w:pPr>
      <w:r>
        <w:rPr>
          <w:rFonts w:ascii="Lato" w:hAnsi="Lato" w:eastAsia="Lato" w:cs="Lato"/>
          <w:b/>
          <w:i w:val="0"/>
          <w:color w:val="17365D"/>
          <w:sz w:val="26"/>
        </w:rPr>
        <w:t>A.3 MIR function</w:t>
      </w:r>
      <w:bookmarkEnd w:id="209"/>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Function {</w:t>
        <w:br/>
      </w:r>
      <w:r>
        <w:rPr>
          <w:rFonts w:ascii="DejaVu Sans Mono" w:hAnsi="DejaVu Sans Mono" w:eastAsia="DejaVu Sans Mono" w:cs="DejaVu Sans Mono"/>
          <w:color w:val="202733"/>
          <w:sz w:val="14"/>
        </w:rPr>
        <w:t xml:space="preserve">  ID             StableFunctionID</w:t>
        <w:br/>
      </w:r>
      <w:r>
        <w:rPr>
          <w:rFonts w:ascii="DejaVu Sans Mono" w:hAnsi="DejaVu Sans Mono" w:eastAsia="DejaVu Sans Mono" w:cs="DejaVu Sans Mono"/>
          <w:color w:val="202733"/>
          <w:sz w:val="14"/>
        </w:rPr>
        <w:t xml:space="preserve">  Inputs         []TypedValue</w:t>
        <w:br/>
      </w:r>
      <w:r>
        <w:rPr>
          <w:rFonts w:ascii="DejaVu Sans Mono" w:hAnsi="DejaVu Sans Mono" w:eastAsia="DejaVu Sans Mono" w:cs="DejaVu Sans Mono"/>
          <w:color w:val="202733"/>
          <w:sz w:val="14"/>
        </w:rPr>
        <w:t xml:space="preserve">  Output         Type</w:t>
        <w:br/>
      </w:r>
      <w:r>
        <w:rPr>
          <w:rFonts w:ascii="DejaVu Sans Mono" w:hAnsi="DejaVu Sans Mono" w:eastAsia="DejaVu Sans Mono" w:cs="DejaVu Sans Mono"/>
          <w:color w:val="202733"/>
          <w:sz w:val="14"/>
        </w:rPr>
        <w:t xml:space="preserve">  Effects        EffectRow</w:t>
        <w:br/>
      </w:r>
      <w:r>
        <w:rPr>
          <w:rFonts w:ascii="DejaVu Sans Mono" w:hAnsi="DejaVu Sans Mono" w:eastAsia="DejaVu Sans Mono" w:cs="DejaVu Sans Mono"/>
          <w:color w:val="202733"/>
          <w:sz w:val="14"/>
        </w:rPr>
        <w:t xml:space="preserve">  Outcomes       VariantSet</w:t>
        <w:br/>
      </w:r>
      <w:r>
        <w:rPr>
          <w:rFonts w:ascii="DejaVu Sans Mono" w:hAnsi="DejaVu Sans Mono" w:eastAsia="DejaVu Sans Mono" w:cs="DejaVu Sans Mono"/>
          <w:color w:val="202733"/>
          <w:sz w:val="14"/>
        </w:rPr>
        <w:t xml:space="preserve">  Blocks         []Block</w:t>
        <w:br/>
      </w:r>
      <w:r>
        <w:rPr>
          <w:rFonts w:ascii="DejaVu Sans Mono" w:hAnsi="DejaVu Sans Mono" w:eastAsia="DejaVu Sans Mono" w:cs="DejaVu Sans Mono"/>
          <w:color w:val="202733"/>
          <w:sz w:val="14"/>
        </w:rPr>
        <w:t xml:space="preserve">  ResourceBudget Budget</w:t>
        <w:br/>
      </w:r>
      <w:r>
        <w:rPr>
          <w:rFonts w:ascii="DejaVu Sans Mono" w:hAnsi="DejaVu Sans Mono" w:eastAsia="DejaVu Sans Mono" w:cs="DejaVu Sans Mono"/>
          <w:color w:val="202733"/>
          <w:sz w:val="14"/>
        </w:rPr>
        <w:t xml:space="preserve">  SourceMap      ProvenanceMap</w:t>
        <w:br/>
      </w:r>
      <w:r>
        <w:rPr>
          <w:rFonts w:ascii="DejaVu Sans Mono" w:hAnsi="DejaVu Sans Mono" w:eastAsia="DejaVu Sans Mono" w:cs="DejaVu Sans Mono"/>
          <w:color w:val="202733"/>
          <w:sz w:val="14"/>
        </w:rPr>
        <w:t>}</w:t>
      </w:r>
    </w:p>
    <w:p>
      <w:bookmarkStart w:id="210" w:name="sec_201"/>
      <w:pPr>
        <w:pStyle w:val="Heading2"/>
      </w:pPr>
      <w:r>
        <w:rPr>
          <w:rFonts w:ascii="Lato" w:hAnsi="Lato" w:eastAsia="Lato" w:cs="Lato"/>
          <w:b/>
          <w:i w:val="0"/>
          <w:color w:val="17365D"/>
          <w:sz w:val="26"/>
        </w:rPr>
        <w:t>A.4 Suspension terminator</w:t>
      </w:r>
      <w:bookmarkEnd w:id="210"/>
    </w:p>
    <w:p>
      <w:pPr>
        <w:pStyle w:val="CodeBlock"/>
        <w:shd w:fill="F6F8FA" w:val="clear"/>
        <w:keepLines/>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TEXT</w:t>
        <w:br/>
      </w:r>
      <w:r>
        <w:rPr>
          <w:rFonts w:ascii="DejaVu Sans Mono" w:hAnsi="DejaVu Sans Mono" w:eastAsia="DejaVu Sans Mono" w:cs="DejaVu Sans Mono"/>
          <w:color w:val="202733"/>
          <w:sz w:val="14"/>
        </w:rPr>
        <w:t>Suspend {</w:t>
        <w:br/>
      </w:r>
      <w:r>
        <w:rPr>
          <w:rFonts w:ascii="DejaVu Sans Mono" w:hAnsi="DejaVu Sans Mono" w:eastAsia="DejaVu Sans Mono" w:cs="DejaVu Sans Mono"/>
          <w:color w:val="202733"/>
          <w:sz w:val="14"/>
        </w:rPr>
        <w:t xml:space="preserve">  Operation       OperationID</w:t>
        <w:br/>
      </w:r>
      <w:r>
        <w:rPr>
          <w:rFonts w:ascii="DejaVu Sans Mono" w:hAnsi="DejaVu Sans Mono" w:eastAsia="DejaVu Sans Mono" w:cs="DejaVu Sans Mono"/>
          <w:color w:val="202733"/>
          <w:sz w:val="14"/>
        </w:rPr>
        <w:t xml:space="preserve">  Arguments       []ValueID</w:t>
        <w:br/>
      </w:r>
      <w:r>
        <w:rPr>
          <w:rFonts w:ascii="DejaVu Sans Mono" w:hAnsi="DejaVu Sans Mono" w:eastAsia="DejaVu Sans Mono" w:cs="DejaVu Sans Mono"/>
          <w:color w:val="202733"/>
          <w:sz w:val="14"/>
        </w:rPr>
        <w:t xml:space="preserve">  ResumeFunction  StableFunctionID</w:t>
        <w:br/>
      </w:r>
      <w:r>
        <w:rPr>
          <w:rFonts w:ascii="DejaVu Sans Mono" w:hAnsi="DejaVu Sans Mono" w:eastAsia="DejaVu Sans Mono" w:cs="DejaVu Sans Mono"/>
          <w:color w:val="202733"/>
          <w:sz w:val="14"/>
        </w:rPr>
        <w:t xml:space="preserve">  CarrySchema     SchemaID</w:t>
        <w:br/>
      </w:r>
      <w:r>
        <w:rPr>
          <w:rFonts w:ascii="DejaVu Sans Mono" w:hAnsi="DejaVu Sans Mono" w:eastAsia="DejaVu Sans Mono" w:cs="DejaVu Sans Mono"/>
          <w:color w:val="202733"/>
          <w:sz w:val="14"/>
        </w:rPr>
        <w:t xml:space="preserve">  CarryValues     []ValueID</w:t>
        <w:br/>
      </w:r>
      <w:r>
        <w:rPr>
          <w:rFonts w:ascii="DejaVu Sans Mono" w:hAnsi="DejaVu Sans Mono" w:eastAsia="DejaVu Sans Mono" w:cs="DejaVu Sans Mono"/>
          <w:color w:val="202733"/>
          <w:sz w:val="14"/>
        </w:rPr>
        <w:t xml:space="preserve">  ExpiryPolicy    ExpiryPolicyID</w:t>
        <w:br/>
      </w:r>
      <w:r>
        <w:rPr>
          <w:rFonts w:ascii="DejaVu Sans Mono" w:hAnsi="DejaVu Sans Mono" w:eastAsia="DejaVu Sans Mono" w:cs="DejaVu Sans Mono"/>
          <w:color w:val="202733"/>
          <w:sz w:val="14"/>
        </w:rPr>
        <w:t xml:space="preserve">  BindingPolicy   BindingPolicyID</w:t>
        <w:br/>
      </w:r>
      <w:r>
        <w:rPr>
          <w:rFonts w:ascii="DejaVu Sans Mono" w:hAnsi="DejaVu Sans Mono" w:eastAsia="DejaVu Sans Mono" w:cs="DejaVu Sans Mono"/>
          <w:color w:val="202733"/>
          <w:sz w:val="14"/>
        </w:rPr>
        <w:t>}</w:t>
      </w:r>
    </w:p>
    <w:p>
      <w:bookmarkStart w:id="211" w:name="sec_202"/>
      <w:pPr>
        <w:pStyle w:val="Heading1"/>
        <w:pageBreakBefore/>
      </w:pPr>
      <w:r>
        <w:rPr>
          <w:rFonts w:ascii="Lato" w:hAnsi="Lato" w:eastAsia="Lato" w:cs="Lato"/>
          <w:b/>
          <w:i w:val="0"/>
          <w:color w:val="17365D"/>
          <w:sz w:val="37"/>
        </w:rPr>
        <w:t>Appendix B - Static check catalogue</w:t>
      </w:r>
      <w:bookmarkEnd w:id="211"/>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tbl>
      <w:tblPr>
        <w:tblW w:type="auto" w:w="0"/>
        <w:jc w:val="center"/>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389"/>
        <w:gridCol w:w="3389"/>
        <w:gridCol w:w="3389"/>
      </w:tblGrid>
      <w:tr>
        <w:trPr>
          <w:trHeight w:hRule="atLeast"/>
          <w:tblHeader w:val="true"/>
        </w:trPr>
        <w:tc>
          <w:tcPr>
            <w:tcW w:type="dxa" w:w="3968"/>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Check</w:t>
            </w:r>
          </w:p>
        </w:tc>
        <w:tc>
          <w:tcPr>
            <w:tcW w:type="dxa" w:w="2173"/>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Stage</w:t>
            </w:r>
          </w:p>
        </w:tc>
        <w:tc>
          <w:tcPr>
            <w:tcW w:type="dxa" w:w="3968"/>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Result</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Disallowed syntax/profile feature</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Parse/profile</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Dynamic capability property</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Type/effect</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Reject or conservatively widen by world policy</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Undeclared capability/effect</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Link</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Missing outcome branch</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Type/control</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Reject or warning by profile</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Secret in output/carry/log</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Region/information flow</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Invocation resource after durable wait</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Liveness/region</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Detached Promise</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Task analysis</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Unjournaled nondeterminism before suspension</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Determinism</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Mutable top-level state</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World policy</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Reject or mark worker-stateful</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Oversized statically known carry</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Resource analysis</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Potential dynamic budget excess</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Runtime policy</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Meter and fail-stop</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Continuation schema incompatibility</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Upgrade analysis</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Require migration/retention/revocation</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Illegal effect ordering</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Dialect verifier</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Unknown dialect/op version</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Link/activation</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Missing backend lowering</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Link</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Certificate/hash mismatch</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Activation</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Reject</w:t>
            </w:r>
          </w:p>
        </w:tc>
      </w:tr>
      <w:tr>
        <w:trPr>
          <w:trHeight w:hRule="atLeast"/>
        </w:trPr>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Pending jobs after invocation</w:t>
            </w:r>
          </w:p>
        </w:tc>
        <w:tc>
          <w:tcPr>
            <w:tcW w:type="dxa" w:w="2173"/>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Runtime quiescence</w:t>
            </w:r>
          </w:p>
        </w:tc>
        <w:tc>
          <w:tcPr>
            <w:tcW w:type="dxa" w:w="3968"/>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Discard worker</w:t>
            </w:r>
          </w:p>
        </w:tc>
      </w:tr>
      <w:tr>
        <w:trPr>
          <w:trHeight w:hRule="atLeast"/>
        </w:trPr>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Runtime interruption uncertainty</w:t>
            </w:r>
          </w:p>
        </w:tc>
        <w:tc>
          <w:tcPr>
            <w:tcW w:type="dxa" w:w="2173"/>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Runtime lifecycle</w:t>
            </w:r>
          </w:p>
        </w:tc>
        <w:tc>
          <w:tcPr>
            <w:tcW w:type="dxa" w:w="3968"/>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Discard worker</w:t>
            </w:r>
          </w:p>
        </w:tc>
      </w:tr>
    </w:tbl>
    <w:p>
      <w:pPr>
        <w:spacing w:after="20"/>
      </w:pPr>
    </w:p>
    <w:p>
      <w:bookmarkStart w:id="212" w:name="sec_203"/>
      <w:pPr>
        <w:pStyle w:val="Heading1"/>
        <w:pageBreakBefore/>
      </w:pPr>
      <w:r>
        <w:rPr>
          <w:rFonts w:ascii="Lato" w:hAnsi="Lato" w:eastAsia="Lato" w:cs="Lato"/>
          <w:b/>
          <w:i w:val="0"/>
          <w:color w:val="17365D"/>
          <w:sz w:val="37"/>
        </w:rPr>
        <w:t>Appendix C - Example activation certificate</w:t>
      </w:r>
      <w:bookmarkEnd w:id="212"/>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pPr>
        <w:pStyle w:val="CodeBlock"/>
        <w:shd w:fill="F6F8FA" w:val="clear"/>
        <w:keepLines w:val="0"/>
        <w:pBdr>
          <w:top w:val="single" w:sz="5" w:space="5" w:color="C9D3DC"/>
          <w:left w:val="single" w:sz="5" w:space="5" w:color="C9D3DC"/>
          <w:bottom w:val="single" w:sz="5" w:space="5" w:color="C9D3DC"/>
          <w:right w:val="single" w:sz="5" w:space="5" w:color="C9D3DC"/>
        </w:pBdr>
      </w:pPr>
      <w:r>
        <w:rPr>
          <w:rFonts w:ascii="Lato" w:hAnsi="Lato" w:eastAsia="Lato" w:cs="Lato"/>
          <w:b/>
          <w:color w:val="1F6D6B"/>
          <w:sz w:val="13"/>
        </w:rPr>
        <w:t>JSON</w:t>
        <w:br/>
      </w:r>
      <w:r>
        <w:rPr>
          <w:rFonts w:ascii="DejaVu Sans Mono" w:hAnsi="DejaVu Sans Mono" w:eastAsia="DejaVu Sans Mono" w:cs="DejaVu Sans Mono"/>
          <w:color w:val="202733"/>
          <w:sz w:val="14"/>
        </w:rPr>
        <w:t>{</w:t>
        <w:br/>
      </w:r>
      <w:r>
        <w:rPr>
          <w:rFonts w:ascii="DejaVu Sans Mono" w:hAnsi="DejaVu Sans Mono" w:eastAsia="DejaVu Sans Mono" w:cs="DejaVu Sans Mono"/>
          <w:color w:val="202733"/>
          <w:sz w:val="14"/>
        </w:rPr>
        <w:t xml:space="preserve">  "format": "mjs-certificate/v1",</w:t>
        <w:br/>
      </w:r>
      <w:r>
        <w:rPr>
          <w:rFonts w:ascii="DejaVu Sans Mono" w:hAnsi="DejaVu Sans Mono" w:eastAsia="DejaVu Sans Mono" w:cs="DejaVu Sans Mono"/>
          <w:color w:val="202733"/>
          <w:sz w:val="14"/>
        </w:rPr>
        <w:t xml:space="preserve">  "sourceHash": "sha256:...",</w:t>
        <w:br/>
      </w:r>
      <w:r>
        <w:rPr>
          <w:rFonts w:ascii="DejaVu Sans Mono" w:hAnsi="DejaVu Sans Mono" w:eastAsia="DejaVu Sans Mono" w:cs="DejaVu Sans Mono"/>
          <w:color w:val="202733"/>
          <w:sz w:val="14"/>
        </w:rPr>
        <w:t xml:space="preserve">  "frontend": "mjs-js/0.4.0",</w:t>
        <w:br/>
      </w:r>
      <w:r>
        <w:rPr>
          <w:rFonts w:ascii="DejaVu Sans Mono" w:hAnsi="DejaVu Sans Mono" w:eastAsia="DejaVu Sans Mono" w:cs="DejaVu Sans Mono"/>
          <w:color w:val="202733"/>
          <w:sz w:val="14"/>
        </w:rPr>
        <w:t xml:space="preserve">  "profile": "assurance-js/1.3",</w:t>
        <w:br/>
      </w:r>
      <w:r>
        <w:rPr>
          <w:rFonts w:ascii="DejaVu Sans Mono" w:hAnsi="DejaVu Sans Mono" w:eastAsia="DejaVu Sans Mono" w:cs="DejaVu Sans Mono"/>
          <w:color w:val="202733"/>
          <w:sz w:val="14"/>
        </w:rPr>
        <w:t xml:space="preserve">  "world": "tinyidp.signup/4.0.0",</w:t>
        <w:br/>
      </w:r>
      <w:r>
        <w:rPr>
          <w:rFonts w:ascii="DejaVu Sans Mono" w:hAnsi="DejaVu Sans Mono" w:eastAsia="DejaVu Sans Mono" w:cs="DejaVu Sans Mono"/>
          <w:color w:val="202733"/>
          <w:sz w:val="14"/>
        </w:rPr>
        <w:t xml:space="preserve">  "dialects": {</w:t>
        <w:br/>
      </w:r>
      <w:r>
        <w:rPr>
          <w:rFonts w:ascii="DejaVu Sans Mono" w:hAnsi="DejaVu Sans Mono" w:eastAsia="DejaVu Sans Mono" w:cs="DejaVu Sans Mono"/>
          <w:color w:val="202733"/>
          <w:sz w:val="14"/>
        </w:rPr>
        <w:t xml:space="preserve">    "core.control": "1.1.0",</w:t>
        <w:br/>
      </w:r>
      <w:r>
        <w:rPr>
          <w:rFonts w:ascii="DejaVu Sans Mono" w:hAnsi="DejaVu Sans Mono" w:eastAsia="DejaVu Sans Mono" w:cs="DejaVu Sans Mono"/>
          <w:color w:val="202733"/>
          <w:sz w:val="14"/>
        </w:rPr>
        <w:t xml:space="preserve">    "core.schema": "2.0.0",</w:t>
        <w:br/>
      </w:r>
      <w:r>
        <w:rPr>
          <w:rFonts w:ascii="DejaVu Sans Mono" w:hAnsi="DejaVu Sans Mono" w:eastAsia="DejaVu Sans Mono" w:cs="DejaVu Sans Mono"/>
          <w:color w:val="202733"/>
          <w:sz w:val="14"/>
        </w:rPr>
        <w:t xml:space="preserve">    "tinyidp.workflow": "3.2.0",</w:t>
        <w:br/>
      </w:r>
      <w:r>
        <w:rPr>
          <w:rFonts w:ascii="DejaVu Sans Mono" w:hAnsi="DejaVu Sans Mono" w:eastAsia="DejaVu Sans Mono" w:cs="DejaVu Sans Mono"/>
          <w:color w:val="202733"/>
          <w:sz w:val="14"/>
        </w:rPr>
        <w:t xml:space="preserve">    "tinyidp.challenge": "2.1.0",</w:t>
        <w:br/>
      </w:r>
      <w:r>
        <w:rPr>
          <w:rFonts w:ascii="DejaVu Sans Mono" w:hAnsi="DejaVu Sans Mono" w:eastAsia="DejaVu Sans Mono" w:cs="DejaVu Sans Mono"/>
          <w:color w:val="202733"/>
          <w:sz w:val="14"/>
        </w:rPr>
        <w:t xml:space="preserve">    "tinyidp.commit": "4.0.0"</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"pipelineHash": "sha256:...",</w:t>
        <w:br/>
      </w:r>
      <w:r>
        <w:rPr>
          <w:rFonts w:ascii="DejaVu Sans Mono" w:hAnsi="DejaVu Sans Mono" w:eastAsia="DejaVu Sans Mono" w:cs="DejaVu Sans Mono"/>
          <w:color w:val="202733"/>
          <w:sz w:val="14"/>
        </w:rPr>
        <w:t xml:space="preserve">  "mirHash": "sha256:...",</w:t>
        <w:br/>
      </w:r>
      <w:r>
        <w:rPr>
          <w:rFonts w:ascii="DejaVu Sans Mono" w:hAnsi="DejaVu Sans Mono" w:eastAsia="DejaVu Sans Mono" w:cs="DejaVu Sans Mono"/>
          <w:color w:val="202733"/>
          <w:sz w:val="14"/>
        </w:rPr>
        <w:t xml:space="preserve">  "imports": ["invitation.inspect@1"],</w:t>
        <w:br/>
      </w:r>
      <w:r>
        <w:rPr>
          <w:rFonts w:ascii="DejaVu Sans Mono" w:hAnsi="DejaVu Sans Mono" w:eastAsia="DejaVu Sans Mono" w:cs="DejaVu Sans Mono"/>
          <w:color w:val="202733"/>
          <w:sz w:val="14"/>
        </w:rPr>
        <w:t xml:space="preserve">  "effects": [</w:t>
        <w:br/>
      </w:r>
      <w:r>
        <w:rPr>
          <w:rFonts w:ascii="DejaVu Sans Mono" w:hAnsi="DejaVu Sans Mono" w:eastAsia="DejaVu Sans Mono" w:cs="DejaVu Sans Mono"/>
          <w:color w:val="202733"/>
          <w:sz w:val="14"/>
        </w:rPr>
        <w:t xml:space="preserve">    "identity.create@2",</w:t>
        <w:br/>
      </w:r>
      <w:r>
        <w:rPr>
          <w:rFonts w:ascii="DejaVu Sans Mono" w:hAnsi="DejaVu Sans Mono" w:eastAsia="DejaVu Sans Mono" w:cs="DejaVu Sans Mono"/>
          <w:color w:val="202733"/>
          <w:sz w:val="14"/>
        </w:rPr>
        <w:t xml:space="preserve">    "credential.bind-password@2",</w:t>
        <w:br/>
      </w:r>
      <w:r>
        <w:rPr>
          <w:rFonts w:ascii="DejaVu Sans Mono" w:hAnsi="DejaVu Sans Mono" w:eastAsia="DejaVu Sans Mono" w:cs="DejaVu Sans Mono"/>
          <w:color w:val="202733"/>
          <w:sz w:val="14"/>
        </w:rPr>
        <w:t xml:space="preserve">    "invitation.consume@1",</w:t>
        <w:br/>
      </w:r>
      <w:r>
        <w:rPr>
          <w:rFonts w:ascii="DejaVu Sans Mono" w:hAnsi="DejaVu Sans Mono" w:eastAsia="DejaVu Sans Mono" w:cs="DejaVu Sans Mono"/>
          <w:color w:val="202733"/>
          <w:sz w:val="14"/>
        </w:rPr>
        <w:t xml:space="preserve">    "session.establish@1"</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"handlers": [</w:t>
        <w:br/>
      </w:r>
      <w:r>
        <w:rPr>
          <w:rFonts w:ascii="DejaVu Sans Mono" w:hAnsi="DejaVu Sans Mono" w:eastAsia="DejaVu Sans Mono" w:cs="DejaVu Sans Mono"/>
          <w:color w:val="202733"/>
          <w:sz w:val="14"/>
        </w:rPr>
        <w:t xml:space="preserve">    "signup.entry@4",</w:t>
        <w:br/>
      </w:r>
      <w:r>
        <w:rPr>
          <w:rFonts w:ascii="DejaVu Sans Mono" w:hAnsi="DejaVu Sans Mono" w:eastAsia="DejaVu Sans Mono" w:cs="DejaVu Sans Mono"/>
          <w:color w:val="202733"/>
          <w:sz w:val="14"/>
        </w:rPr>
        <w:t xml:space="preserve">    "signup.after_form@4",</w:t>
        <w:br/>
      </w:r>
      <w:r>
        <w:rPr>
          <w:rFonts w:ascii="DejaVu Sans Mono" w:hAnsi="DejaVu Sans Mono" w:eastAsia="DejaVu Sans Mono" w:cs="DejaVu Sans Mono"/>
          <w:color w:val="202733"/>
          <w:sz w:val="14"/>
        </w:rPr>
        <w:t xml:space="preserve">    "signup.after_email@4"</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"continuations": {</w:t>
        <w:br/>
      </w:r>
      <w:r>
        <w:rPr>
          <w:rFonts w:ascii="DejaVu Sans Mono" w:hAnsi="DejaVu Sans Mono" w:eastAsia="DejaVu Sans Mono" w:cs="DejaVu Sans Mono"/>
          <w:color w:val="202733"/>
          <w:sz w:val="14"/>
        </w:rPr>
        <w:t xml:space="preserve">    "signup.after_form@4": "sha256:...",</w:t>
        <w:br/>
      </w:r>
      <w:r>
        <w:rPr>
          <w:rFonts w:ascii="DejaVu Sans Mono" w:hAnsi="DejaVu Sans Mono" w:eastAsia="DejaVu Sans Mono" w:cs="DejaVu Sans Mono"/>
          <w:color w:val="202733"/>
          <w:sz w:val="14"/>
        </w:rPr>
        <w:t xml:space="preserve">    "signup.after_email@4": "sha256:..."</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"verified": {</w:t>
        <w:br/>
      </w:r>
      <w:r>
        <w:rPr>
          <w:rFonts w:ascii="DejaVu Sans Mono" w:hAnsi="DejaVu Sans Mono" w:eastAsia="DejaVu Sans Mono" w:cs="DejaVu Sans Mono"/>
          <w:color w:val="202733"/>
          <w:sz w:val="14"/>
        </w:rPr>
        <w:t xml:space="preserve">    "wellTyped": true,</w:t>
        <w:br/>
      </w:r>
      <w:r>
        <w:rPr>
          <w:rFonts w:ascii="DejaVu Sans Mono" w:hAnsi="DejaVu Sans Mono" w:eastAsia="DejaVu Sans Mono" w:cs="DejaVu Sans Mono"/>
          <w:color w:val="202733"/>
          <w:sz w:val="14"/>
        </w:rPr>
        <w:t xml:space="preserve">    "regionsSafe": true,</w:t>
        <w:br/>
      </w:r>
      <w:r>
        <w:rPr>
          <w:rFonts w:ascii="DejaVu Sans Mono" w:hAnsi="DejaVu Sans Mono" w:eastAsia="DejaVu Sans Mono" w:cs="DejaVu Sans Mono"/>
          <w:color w:val="202733"/>
          <w:sz w:val="14"/>
        </w:rPr>
        <w:t xml:space="preserve">    "worldImportsSatisfied": true,</w:t>
        <w:br/>
      </w:r>
      <w:r>
        <w:rPr>
          <w:rFonts w:ascii="DejaVu Sans Mono" w:hAnsi="DejaVu Sans Mono" w:eastAsia="DejaVu Sans Mono" w:cs="DejaVu Sans Mono"/>
          <w:color w:val="202733"/>
          <w:sz w:val="14"/>
        </w:rPr>
        <w:t xml:space="preserve">    "effectSequencesValid": true,</w:t>
        <w:br/>
      </w:r>
      <w:r>
        <w:rPr>
          <w:rFonts w:ascii="DejaVu Sans Mono" w:hAnsi="DejaVu Sans Mono" w:eastAsia="DejaVu Sans Mono" w:cs="DejaVu Sans Mono"/>
          <w:color w:val="202733"/>
          <w:sz w:val="14"/>
        </w:rPr>
        <w:t xml:space="preserve">    "continuationCarryBounded": true</w:t>
        <w:br/>
      </w:r>
      <w:r>
        <w:rPr>
          <w:rFonts w:ascii="DejaVu Sans Mono" w:hAnsi="DejaVu Sans Mono" w:eastAsia="DejaVu Sans Mono" w:cs="DejaVu Sans Mono"/>
          <w:color w:val="202733"/>
          <w:sz w:val="14"/>
        </w:rPr>
        <w:t xml:space="preserve">  },</w:t>
        <w:br/>
      </w:r>
      <w:r>
        <w:rPr>
          <w:rFonts w:ascii="DejaVu Sans Mono" w:hAnsi="DejaVu Sans Mono" w:eastAsia="DejaVu Sans Mono" w:cs="DejaVu Sans Mono"/>
          <w:color w:val="202733"/>
          <w:sz w:val="14"/>
        </w:rPr>
        <w:t xml:space="preserve">  "signature": "ed25519:..."</w:t>
        <w:br/>
      </w:r>
      <w:r>
        <w:rPr>
          <w:rFonts w:ascii="DejaVu Sans Mono" w:hAnsi="DejaVu Sans Mono" w:eastAsia="DejaVu Sans Mono" w:cs="DejaVu Sans Mono"/>
          <w:color w:val="202733"/>
          <w:sz w:val="14"/>
        </w:rPr>
        <w:t>}</w:t>
      </w:r>
    </w:p>
    <w:p>
      <w:bookmarkStart w:id="213" w:name="sec_204"/>
      <w:pPr>
        <w:pStyle w:val="Heading1"/>
        <w:pageBreakBefore/>
      </w:pPr>
      <w:r>
        <w:rPr>
          <w:rFonts w:ascii="Lato" w:hAnsi="Lato" w:eastAsia="Lato" w:cs="Lato"/>
          <w:b/>
          <w:i w:val="0"/>
          <w:color w:val="17365D"/>
          <w:sz w:val="37"/>
        </w:rPr>
        <w:t>Appendix D - Comparison with adjacent systems</w:t>
      </w:r>
      <w:bookmarkEnd w:id="213"/>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tbl>
      <w:tblPr>
        <w:tblW w:type="auto" w:w="0"/>
        <w:jc w:val="center"/>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389"/>
        <w:gridCol w:w="3389"/>
        <w:gridCol w:w="3389"/>
      </w:tblGrid>
      <w:tr>
        <w:trPr>
          <w:trHeight w:hRule="atLeast"/>
          <w:tblHeader w:val="true"/>
        </w:trPr>
        <w:tc>
          <w:tcPr>
            <w:tcW w:type="dxa" w:w="1865"/>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System</w:t>
            </w:r>
          </w:p>
        </w:tc>
        <w:tc>
          <w:tcPr>
            <w:tcW w:type="dxa" w:w="4122"/>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Relevant lesson</w:t>
            </w:r>
          </w:p>
        </w:tc>
        <w:tc>
          <w:tcPr>
            <w:tcW w:type="dxa" w:w="4122"/>
            <w:vAlign w:val="center"/>
            <w:tcMar>
              <w:top w:w="65" w:type="dxa"/>
              <w:start w:w="70" w:type="dxa"/>
              <w:bottom w:w="65" w:type="dxa"/>
              <w:end w:w="70" w:type="dxa"/>
            </w:tcMar>
            <w:shd w:fill="17365D" w:val="clear"/>
          </w:tcPr>
          <w:p>
            <w:pPr>
              <w:spacing w:after="0" w:line="240" w:lineRule="auto"/>
            </w:pPr>
            <w:r>
              <w:rPr>
                <w:rFonts w:ascii="Lato" w:hAnsi="Lato" w:eastAsia="Lato" w:cs="Lato"/>
                <w:b/>
                <w:i w:val="0"/>
                <w:color w:val="FFFFFF"/>
                <w:sz w:val="15"/>
              </w:rPr>
              <w:t>What not to copy blindly</w:t>
            </w:r>
          </w:p>
        </w:tc>
      </w:tr>
      <w:tr>
        <w:trPr>
          <w:trHeight w:hRule="atLeast"/>
        </w:trPr>
        <w:tc>
          <w:tcPr>
            <w:tcW w:type="dxa" w:w="186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HardenedJS/SES</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Frozen primordials, compartments, explicit endowments, deterministic subset</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A shim alone does not provide CPU/memory isolation or Tiny-IDP semantics</w:t>
            </w:r>
          </w:p>
        </w:tc>
      </w:tr>
      <w:tr>
        <w:trPr>
          <w:trHeight w:hRule="atLeast"/>
        </w:trPr>
        <w:tc>
          <w:tcPr>
            <w:tcW w:type="dxa" w:w="186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Starlark</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Small deterministic hermetic language, finite execution, frozen module values</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Python-like syntax and build-specific semantics are not required</w:t>
            </w:r>
          </w:p>
        </w:tc>
      </w:tr>
      <w:tr>
        <w:trPr>
          <w:trHeight w:hRule="atLeast"/>
        </w:trPr>
        <w:tc>
          <w:tcPr>
            <w:tcW w:type="dxa" w:w="186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CEL</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Checked canonical AST, explicit typed environment, control-plane compilation</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Expression-only and non-Turing-complete model cannot express full workflows</w:t>
            </w:r>
          </w:p>
        </w:tc>
      </w:tr>
      <w:tr>
        <w:trPr>
          <w:trHeight w:hRule="atLeast"/>
        </w:trPr>
        <w:tc>
          <w:tcPr>
            <w:tcW w:type="dxa" w:w="186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Cedar</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Purpose-built analyzable policy language, verified validator, differential testing</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Authorization semantics do not generalize directly to durable identity workflows</w:t>
            </w:r>
          </w:p>
        </w:tc>
      </w:tr>
      <w:tr>
        <w:trPr>
          <w:trHeight w:hRule="atLeast"/>
        </w:trPr>
        <w:tc>
          <w:tcPr>
            <w:tcW w:type="dxa" w:w="186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WIT Component Model</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Worlds, typed imports/exports, resources, package versions</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WebAssembly need not be the first execution backend</w:t>
            </w:r>
          </w:p>
        </w:tc>
      </w:tr>
      <w:tr>
        <w:trPr>
          <w:trHeight w:hRule="atLeast"/>
        </w:trPr>
        <w:tc>
          <w:tcPr>
            <w:tcW w:type="dxa" w:w="186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MLIR/IRDL</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Dialects, interfaces, declarative verifiers, extensible IR and passes</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General compiler complexity should be reduced to the project's needs</w:t>
            </w:r>
          </w:p>
        </w:tc>
      </w:tr>
      <w:tr>
        <w:trPr>
          <w:trHeight w:hRule="atLeast"/>
        </w:trPr>
        <w:tc>
          <w:tcPr>
            <w:tcW w:type="dxa" w:w="186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Koka</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Effect rows and handlers make control/effects compositional</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A new strongly typed functional source language would sacrifice JS familiarity</w:t>
            </w:r>
          </w:p>
        </w:tc>
      </w:tr>
      <w:tr>
        <w:trPr>
          <w:trHeight w:hRule="atLeast"/>
        </w:trPr>
        <w:tc>
          <w:tcPr>
            <w:tcW w:type="dxa" w:w="186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Restate/Temporal</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Durable normal-code style through journaling/replay and explicit durable operations</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Replaying arbitrary identity code without strict effect and continuation contracts is insufficient</w:t>
            </w:r>
          </w:p>
        </w:tc>
      </w:tr>
      <w:tr>
        <w:trPr>
          <w:trHeight w:hRule="atLeast"/>
        </w:trPr>
        <w:tc>
          <w:tcPr>
            <w:tcW w:type="dxa" w:w="186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QuickJS</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Memory limits, interrupt hooks, compact compiler/VM implementation</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Version-specific unvalidated bytecode is not a durable or untrusted artifact format</w:t>
            </w:r>
          </w:p>
        </w:tc>
      </w:tr>
      <w:tr>
        <w:trPr>
          <w:trHeight w:hRule="atLeast"/>
        </w:trPr>
        <w:tc>
          <w:tcPr>
            <w:tcW w:type="dxa" w:w="186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Wasmtime</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Fuel, epoch interruption, resource limiting</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WebAssembly's instruction model does not directly solve host semantic correctness</w:t>
            </w:r>
          </w:p>
        </w:tc>
      </w:tr>
      <w:tr>
        <w:trPr>
          <w:trHeight w:hRule="atLeast"/>
        </w:trPr>
        <w:tc>
          <w:tcPr>
            <w:tcW w:type="dxa" w:w="1865"/>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eBPF verifier</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Admission verification plus bounded execution</w:t>
            </w:r>
          </w:p>
        </w:tc>
        <w:tc>
          <w:tcPr>
            <w:tcW w:type="dxa" w:w="4122"/>
            <w:vAlign w:val="center"/>
            <w:tcMar>
              <w:top w:w="65" w:type="dxa"/>
              <w:start w:w="70" w:type="dxa"/>
              <w:bottom w:w="65" w:type="dxa"/>
              <w:end w:w="70" w:type="dxa"/>
            </w:tcMar>
          </w:tcPr>
          <w:p>
            <w:pPr>
              <w:spacing w:after="0" w:line="240" w:lineRule="auto"/>
            </w:pPr>
            <w:r>
              <w:rPr>
                <w:rFonts w:ascii="Noto Serif" w:hAnsi="Noto Serif" w:eastAsia="Noto Serif" w:cs="Noto Serif"/>
                <w:b w:val="0"/>
                <w:i w:val="0"/>
                <w:color w:val="202733"/>
                <w:sz w:val="15"/>
              </w:rPr>
              <w:t>Full JavaScript cannot meet eBPF's restricted control/data model without a profile</w:t>
            </w:r>
          </w:p>
        </w:tc>
      </w:tr>
      <w:tr>
        <w:trPr>
          <w:trHeight w:hRule="atLeast"/>
        </w:trPr>
        <w:tc>
          <w:tcPr>
            <w:tcW w:type="dxa" w:w="1865"/>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JSCert/KJS</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Formal executable semantics and conformance testing are possible</w:t>
            </w:r>
          </w:p>
        </w:tc>
        <w:tc>
          <w:tcPr>
            <w:tcW w:type="dxa" w:w="4122"/>
            <w:vAlign w:val="center"/>
            <w:tcMar>
              <w:top w:w="65" w:type="dxa"/>
              <w:start w:w="70" w:type="dxa"/>
              <w:bottom w:w="65" w:type="dxa"/>
              <w:end w:w="70" w:type="dxa"/>
            </w:tcMar>
            <w:shd w:fill="F6F8FA" w:val="clear"/>
          </w:tcPr>
          <w:p>
            <w:pPr>
              <w:spacing w:after="0" w:line="240" w:lineRule="auto"/>
            </w:pPr>
            <w:r>
              <w:rPr>
                <w:rFonts w:ascii="Noto Serif" w:hAnsi="Noto Serif" w:eastAsia="Noto Serif" w:cs="Noto Serif"/>
                <w:b w:val="0"/>
                <w:i w:val="0"/>
                <w:color w:val="202733"/>
                <w:sz w:val="15"/>
              </w:rPr>
              <w:t>Full modern ECMAScript formalization is too broad as the first verification target</w:t>
            </w:r>
          </w:p>
        </w:tc>
      </w:tr>
    </w:tbl>
    <w:p>
      <w:pPr>
        <w:spacing w:after="20"/>
      </w:pPr>
    </w:p>
    <w:p>
      <w:bookmarkStart w:id="214" w:name="sec_205"/>
      <w:pPr>
        <w:pStyle w:val="Heading1"/>
        <w:pageBreakBefore/>
      </w:pPr>
      <w:r>
        <w:rPr>
          <w:rFonts w:ascii="Lato" w:hAnsi="Lato" w:eastAsia="Lato" w:cs="Lato"/>
          <w:b/>
          <w:i w:val="0"/>
          <w:color w:val="17365D"/>
          <w:sz w:val="37"/>
        </w:rPr>
        <w:t>Appendix E - Glossary</w:t>
      </w:r>
      <w:bookmarkEnd w:id="214"/>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r>
        <w:rPr>
          <w:rFonts w:ascii="Noto Serif" w:hAnsi="Noto Serif" w:eastAsia="Noto Serif" w:cs="Noto Serif"/>
          <w:b w:val="0"/>
          <w:i w:val="0"/>
          <w:color w:val="202733"/>
          <w:sz w:val="18"/>
        </w:rPr>
      </w:r>
      <w:r>
        <w:rPr>
          <w:rFonts w:ascii="Noto Serif" w:hAnsi="Noto Serif" w:eastAsia="Noto Serif" w:cs="Noto Serif"/>
          <w:b/>
          <w:i w:val="0"/>
          <w:color w:val="202733"/>
          <w:sz w:val="18"/>
        </w:rPr>
        <w:t>Activation artifact</w:t>
      </w:r>
      <w:r>
        <w:rPr>
          <w:rFonts w:ascii="Noto Serif" w:hAnsi="Noto Serif" w:eastAsia="Noto Serif" w:cs="Noto Serif"/>
          <w:b w:val="0"/>
          <w:i w:val="0"/>
          <w:color w:val="202733"/>
          <w:sz w:val="18"/>
        </w:rPr>
        <w:t xml:space="preserve"> - Immutable compiled package plus canonical semantic program, source maps, fingerprints, and certificate.</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Capability</w:t>
      </w:r>
      <w:r>
        <w:rPr>
          <w:rFonts w:ascii="Noto Serif" w:hAnsi="Noto Serif" w:eastAsia="Noto Serif" w:cs="Noto Serif"/>
          <w:b w:val="0"/>
          <w:i w:val="0"/>
          <w:color w:val="202733"/>
          <w:sz w:val="18"/>
        </w:rPr>
        <w:t xml:space="preserve"> - An explicit reference or imported operation that confers bounded authority.</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Continuation carry</w:t>
      </w:r>
      <w:r>
        <w:rPr>
          <w:rFonts w:ascii="Noto Serif" w:hAnsi="Noto Serif" w:eastAsia="Noto Serif" w:cs="Noto Serif"/>
          <w:b w:val="0"/>
          <w:i w:val="0"/>
          <w:color w:val="202733"/>
          <w:sz w:val="18"/>
        </w:rPr>
        <w:t xml:space="preserve"> - The minimal schema-checked values and native references persisted for a future resume handler.</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Defunctionalization</w:t>
      </w:r>
      <w:r>
        <w:rPr>
          <w:rFonts w:ascii="Noto Serif" w:hAnsi="Noto Serif" w:eastAsia="Noto Serif" w:cs="Noto Serif"/>
          <w:b w:val="0"/>
          <w:i w:val="0"/>
          <w:color w:val="202733"/>
          <w:sz w:val="18"/>
        </w:rPr>
        <w:t xml:space="preserve"> - Replacing higher-order continuations or closures with a finite data representation and an interpreter that dispatches on stable labels.</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Dialect</w:t>
      </w:r>
      <w:r>
        <w:rPr>
          <w:rFonts w:ascii="Noto Serif" w:hAnsi="Noto Serif" w:eastAsia="Noto Serif" w:cs="Noto Serif"/>
          <w:b w:val="0"/>
          <w:i w:val="0"/>
          <w:color w:val="202733"/>
          <w:sz w:val="18"/>
        </w:rPr>
        <w:t xml:space="preserve"> - A versioned package of MIR types, operations, effects, verifiers, and lowerings for one domain.</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Durable await</w:t>
      </w:r>
      <w:r>
        <w:rPr>
          <w:rFonts w:ascii="Noto Serif" w:hAnsi="Noto Serif" w:eastAsia="Noto Serif" w:cs="Noto Serif"/>
          <w:b w:val="0"/>
          <w:i w:val="0"/>
          <w:color w:val="202733"/>
          <w:sz w:val="18"/>
        </w:rPr>
        <w:t xml:space="preserve"> - Source syntax that compiles to an explicit persistence boundary, continuation record, and fresh resume invocation.</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Effect row</w:t>
      </w:r>
      <w:r>
        <w:rPr>
          <w:rFonts w:ascii="Noto Serif" w:hAnsi="Noto Serif" w:eastAsia="Noto Serif" w:cs="Noto Serif"/>
          <w:b w:val="0"/>
          <w:i w:val="0"/>
          <w:color w:val="202733"/>
          <w:sz w:val="18"/>
        </w:rPr>
        <w:t xml:space="preserve"> - The finite set of abstract operations a function may perform.</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Fuel</w:t>
      </w:r>
      <w:r>
        <w:rPr>
          <w:rFonts w:ascii="Noto Serif" w:hAnsi="Noto Serif" w:eastAsia="Noto Serif" w:cs="Noto Serif"/>
          <w:b w:val="0"/>
          <w:i w:val="0"/>
          <w:color w:val="202733"/>
          <w:sz w:val="18"/>
        </w:rPr>
        <w:t xml:space="preserve"> - Deterministic runtime budget charged as VM or MIR operations execute.</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MIR</w:t>
      </w:r>
      <w:r>
        <w:rPr>
          <w:rFonts w:ascii="Noto Serif" w:hAnsi="Noto Serif" w:eastAsia="Noto Serif" w:cs="Noto Serif"/>
          <w:b w:val="0"/>
          <w:i w:val="0"/>
          <w:color w:val="202733"/>
          <w:sz w:val="18"/>
        </w:rPr>
        <w:t xml:space="preserve"> - The stable Malleable JS semantic intermediate representation.</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Profile</w:t>
      </w:r>
      <w:r>
        <w:rPr>
          <w:rFonts w:ascii="Noto Serif" w:hAnsi="Noto Serif" w:eastAsia="Noto Serif" w:cs="Noto Serif"/>
          <w:b w:val="0"/>
          <w:i w:val="0"/>
          <w:color w:val="202733"/>
          <w:sz w:val="18"/>
        </w:rPr>
        <w:t xml:space="preserve"> - A named, versioned subset and policy for accepted JavaScript syntax and semantics.</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Region</w:t>
      </w:r>
      <w:r>
        <w:rPr>
          <w:rFonts w:ascii="Noto Serif" w:hAnsi="Noto Serif" w:eastAsia="Noto Serif" w:cs="Noto Serif"/>
          <w:b w:val="0"/>
          <w:i w:val="0"/>
          <w:color w:val="202733"/>
          <w:sz w:val="18"/>
        </w:rPr>
        <w:t xml:space="preserve"> - A lifetime domain such as static, invocation, secret, transaction, or continuation.</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Semantic identity</w:t>
      </w:r>
      <w:r>
        <w:rPr>
          <w:rFonts w:ascii="Noto Serif" w:hAnsi="Noto Serif" w:eastAsia="Noto Serif" w:cs="Noto Serif"/>
          <w:b w:val="0"/>
          <w:i w:val="0"/>
          <w:color w:val="202733"/>
          <w:sz w:val="18"/>
        </w:rPr>
        <w:t xml:space="preserve"> - Hash and stable IDs derived from canonical MIR and its versioned world/dialect context.</w:t>
      </w:r>
    </w:p>
    <w:p>
      <w:r>
        <w:rPr>
          <w:rFonts w:ascii="Noto Serif" w:hAnsi="Noto Serif" w:eastAsia="Noto Serif" w:cs="Noto Serif"/>
          <w:b w:val="0"/>
          <w:i w:val="0"/>
          <w:color w:val="202733"/>
          <w:sz w:val="18"/>
        </w:rPr>
      </w:r>
      <w:r>
        <w:rPr>
          <w:rFonts w:ascii="Noto Serif" w:hAnsi="Noto Serif" w:eastAsia="Noto Serif" w:cs="Noto Serif"/>
          <w:b/>
          <w:i w:val="0"/>
          <w:color w:val="202733"/>
          <w:sz w:val="18"/>
        </w:rPr>
        <w:t>World</w:t>
      </w:r>
      <w:r>
        <w:rPr>
          <w:rFonts w:ascii="Noto Serif" w:hAnsi="Noto Serif" w:eastAsia="Noto Serif" w:cs="Noto Serif"/>
          <w:b w:val="0"/>
          <w:i w:val="0"/>
          <w:color w:val="202733"/>
          <w:sz w:val="18"/>
        </w:rPr>
        <w:t xml:space="preserve"> - A project-level contract selecting allowed dialects, imported capabilities, exported entry points, limits, and trust policy.</w:t>
      </w:r>
    </w:p>
    <w:p>
      <w:bookmarkStart w:id="215" w:name="sec_206"/>
      <w:pPr>
        <w:pStyle w:val="Heading1"/>
        <w:pageBreakBefore/>
      </w:pPr>
      <w:r>
        <w:rPr>
          <w:rFonts w:ascii="Lato" w:hAnsi="Lato" w:eastAsia="Lato" w:cs="Lato"/>
          <w:b/>
          <w:i w:val="0"/>
          <w:color w:val="17365D"/>
          <w:sz w:val="37"/>
        </w:rPr>
        <w:t>References</w:t>
      </w:r>
      <w:bookmarkEnd w:id="215"/>
      <w:r>
        <w:rPr>
          <w:rFonts w:ascii="Lato" w:hAnsi="Lato" w:eastAsia="Lato" w:cs="Lato"/>
          <w:color w:val="52606D"/>
          <w:sz w:val="14"/>
        </w:rPr>
        <w:t xml:space="preserve">   </w:t>
      </w:r>
      <w:hyperlink w:anchor="contents">
        <w:r>
          <w:rPr>
            <w:rFonts w:ascii="Lato" w:hAnsi="Lato" w:eastAsia="Lato" w:cs="Lato"/>
            <w:color w:val="52606D"/>
            <w:sz w:val="14"/>
            <w:szCs w:val="14"/>
          </w:rPr>
          <w:t>Contents</w:t>
        </w:r>
      </w:hyperlink>
    </w:p>
    <w:p>
      <w:pPr>
        <w:spacing w:after="80"/>
        <w:ind w:left="317" w:hanging="317"/>
      </w:pPr>
      <w:r>
        <w:rPr>
          <w:rFonts w:ascii="Noto Serif" w:hAnsi="Noto Serif" w:eastAsia="Noto Serif" w:cs="Noto Serif"/>
          <w:b w:val="0"/>
          <w:i w:val="0"/>
          <w:color w:val="202733"/>
          <w:sz w:val="16"/>
        </w:rPr>
        <w:t xml:space="preserve">[1] Go-Go-Golems, “Lambda-first Tiny-IDP JavaScript API with explicit browser continuations,” pinned Tiny-IDP design document, 2026. </w:t>
      </w:r>
      <w:hyperlink r:id="rId13">
        <w:r>
          <w:rPr>
            <w:rFonts w:ascii="Noto Serif" w:hAnsi="Noto Serif" w:eastAsia="Noto Serif" w:cs="Noto Serif"/>
            <w:color w:val="1B5E8C"/>
            <w:u w:val="single"/>
            <w:sz w:val="16"/>
            <w:szCs w:val="16"/>
          </w:rPr>
          <w:t>https://github.com/go-go-golems/tiny-idp/blob/d164ae59408bdd8bc21516274b446339b1761b1e/ttmp/2026/07/10/TINYIDP-GOJA-001--go-go-goja-identity-microkernel-scripting-layer/design-doc/03-lambda-first-tiny-idp-javascript-api-with-explicit-browser-continuations.md</w:t>
        </w:r>
      </w:hyperlink>
    </w:p>
    <w:p>
      <w:pPr>
        <w:spacing w:after="80"/>
        <w:ind w:left="317" w:hanging="317"/>
      </w:pPr>
      <w:r>
        <w:rPr>
          <w:rFonts w:ascii="Noto Serif" w:hAnsi="Noto Serif" w:eastAsia="Noto Serif" w:cs="Noto Serif"/>
          <w:b w:val="0"/>
          <w:i w:val="0"/>
          <w:color w:val="202733"/>
          <w:sz w:val="16"/>
        </w:rPr>
        <w:t xml:space="preserve">[2] Go-Go-Golems, Tiny-IDP </w:t>
      </w:r>
      <w:r>
        <w:rPr>
          <w:rFonts w:ascii="DejaVu Sans Mono" w:hAnsi="DejaVu Sans Mono" w:eastAsia="DejaVu Sans Mono" w:cs="DejaVu Sans Mono"/>
          <w:b w:val="0"/>
          <w:i w:val="0"/>
          <w:color w:val="202733"/>
          <w:sz w:val="15"/>
          <w:shd w:fill="EDF1F4" w:val="clear"/>
        </w:rPr>
        <w:t>pkg/idpscript</w:t>
      </w:r>
      <w:r>
        <w:rPr>
          <w:rFonts w:ascii="Noto Serif" w:hAnsi="Noto Serif" w:eastAsia="Noto Serif" w:cs="Noto Serif"/>
          <w:b w:val="0"/>
          <w:i w:val="0"/>
          <w:color w:val="202733"/>
          <w:sz w:val="16"/>
        </w:rPr>
        <w:t xml:space="preserve"> compiler and runtime factory, pinned commit. </w:t>
      </w:r>
      <w:hyperlink r:id="rId14">
        <w:r>
          <w:rPr>
            <w:rFonts w:ascii="Noto Serif" w:hAnsi="Noto Serif" w:eastAsia="Noto Serif" w:cs="Noto Serif"/>
            <w:color w:val="1B5E8C"/>
            <w:u w:val="single"/>
            <w:sz w:val="16"/>
            <w:szCs w:val="16"/>
          </w:rPr>
          <w:t>https://github.com/go-go-golems/tiny-idp/tree/d164ae59408bdd8bc21516274b446339b1761b1e/pkg/idpscript</w:t>
        </w:r>
      </w:hyperlink>
    </w:p>
    <w:p>
      <w:pPr>
        <w:spacing w:after="80"/>
        <w:ind w:left="317" w:hanging="317"/>
      </w:pPr>
      <w:r>
        <w:rPr>
          <w:rFonts w:ascii="Noto Serif" w:hAnsi="Noto Serif" w:eastAsia="Noto Serif" w:cs="Noto Serif"/>
          <w:b w:val="0"/>
          <w:i w:val="0"/>
          <w:color w:val="202733"/>
          <w:sz w:val="16"/>
        </w:rPr>
        <w:t xml:space="preserve">[3] Ecma International TC39, “ECMAScript 2025 Language Specification,” especially Hosts, Execution Contexts, and Jobs. </w:t>
      </w:r>
      <w:hyperlink r:id="rId15">
        <w:r>
          <w:rPr>
            <w:rFonts w:ascii="Noto Serif" w:hAnsi="Noto Serif" w:eastAsia="Noto Serif" w:cs="Noto Serif"/>
            <w:color w:val="1B5E8C"/>
            <w:u w:val="single"/>
            <w:sz w:val="16"/>
            <w:szCs w:val="16"/>
          </w:rPr>
          <w:t>https://tc39.es/ecma262/2025/</w:t>
        </w:r>
      </w:hyperlink>
    </w:p>
    <w:p>
      <w:pPr>
        <w:spacing w:after="80"/>
        <w:ind w:left="317" w:hanging="317"/>
      </w:pPr>
      <w:r>
        <w:rPr>
          <w:rFonts w:ascii="Noto Serif" w:hAnsi="Noto Serif" w:eastAsia="Noto Serif" w:cs="Noto Serif"/>
          <w:b w:val="0"/>
          <w:i w:val="0"/>
          <w:color w:val="202733"/>
          <w:sz w:val="16"/>
        </w:rPr>
        <w:t xml:space="preserve">[4] TC39, “Test262: Official ECMAScript Conformance Test Suite.” </w:t>
      </w:r>
      <w:hyperlink r:id="rId16">
        <w:r>
          <w:rPr>
            <w:rFonts w:ascii="Noto Serif" w:hAnsi="Noto Serif" w:eastAsia="Noto Serif" w:cs="Noto Serif"/>
            <w:color w:val="1B5E8C"/>
            <w:u w:val="single"/>
            <w:sz w:val="16"/>
            <w:szCs w:val="16"/>
          </w:rPr>
          <w:t>https://github.com/tc39/test262</w:t>
        </w:r>
      </w:hyperlink>
    </w:p>
    <w:p>
      <w:pPr>
        <w:spacing w:after="80"/>
        <w:ind w:left="317" w:hanging="317"/>
      </w:pPr>
      <w:r>
        <w:rPr>
          <w:rFonts w:ascii="Noto Serif" w:hAnsi="Noto Serif" w:eastAsia="Noto Serif" w:cs="Noto Serif"/>
          <w:b w:val="0"/>
          <w:i w:val="0"/>
          <w:color w:val="202733"/>
          <w:sz w:val="16"/>
        </w:rPr>
        <w:t xml:space="preserve">[5] Endo, “Endo and HardenedJS (SES) Programming Guide.” </w:t>
      </w:r>
      <w:hyperlink r:id="rId17">
        <w:r>
          <w:rPr>
            <w:rFonts w:ascii="Noto Serif" w:hAnsi="Noto Serif" w:eastAsia="Noto Serif" w:cs="Noto Serif"/>
            <w:color w:val="1B5E8C"/>
            <w:u w:val="single"/>
            <w:sz w:val="16"/>
            <w:szCs w:val="16"/>
          </w:rPr>
          <w:t>https://docs.endojs.org/documents/guide.html</w:t>
        </w:r>
      </w:hyperlink>
    </w:p>
    <w:p>
      <w:pPr>
        <w:spacing w:after="80"/>
        <w:ind w:left="317" w:hanging="317"/>
      </w:pPr>
      <w:r>
        <w:rPr>
          <w:rFonts w:ascii="Noto Serif" w:hAnsi="Noto Serif" w:eastAsia="Noto Serif" w:cs="Noto Serif"/>
          <w:b w:val="0"/>
          <w:i w:val="0"/>
          <w:color w:val="202733"/>
          <w:sz w:val="16"/>
        </w:rPr>
        <w:t xml:space="preserve">[6] LLVM Project, “Defining Dialects” and “IRDL Dialect,” MLIR documentation. </w:t>
      </w:r>
      <w:hyperlink r:id="rId18">
        <w:r>
          <w:rPr>
            <w:rFonts w:ascii="Noto Serif" w:hAnsi="Noto Serif" w:eastAsia="Noto Serif" w:cs="Noto Serif"/>
            <w:color w:val="1B5E8C"/>
            <w:u w:val="single"/>
            <w:sz w:val="16"/>
            <w:szCs w:val="16"/>
          </w:rPr>
          <w:t>https://mlir.llvm.org/docs/DefiningDialects/</w:t>
        </w:r>
      </w:hyperlink>
      <w:r>
        <w:rPr>
          <w:rFonts w:ascii="Noto Serif" w:hAnsi="Noto Serif" w:eastAsia="Noto Serif" w:cs="Noto Serif"/>
          <w:b w:val="0"/>
          <w:i w:val="0"/>
          <w:color w:val="202733"/>
          <w:sz w:val="16"/>
        </w:rPr>
        <w:t xml:space="preserve"> and </w:t>
      </w:r>
      <w:hyperlink r:id="rId19">
        <w:r>
          <w:rPr>
            <w:rFonts w:ascii="Noto Serif" w:hAnsi="Noto Serif" w:eastAsia="Noto Serif" w:cs="Noto Serif"/>
            <w:color w:val="1B5E8C"/>
            <w:u w:val="single"/>
            <w:sz w:val="16"/>
            <w:szCs w:val="16"/>
          </w:rPr>
          <w:t>https://mlir.llvm.org/docs/Dialects/IRDL/</w:t>
        </w:r>
      </w:hyperlink>
    </w:p>
    <w:p>
      <w:pPr>
        <w:spacing w:after="80"/>
        <w:ind w:left="317" w:hanging="317"/>
      </w:pPr>
      <w:r>
        <w:rPr>
          <w:rFonts w:ascii="Noto Serif" w:hAnsi="Noto Serif" w:eastAsia="Noto Serif" w:cs="Noto Serif"/>
          <w:b w:val="0"/>
          <w:i w:val="0"/>
          <w:color w:val="202733"/>
          <w:sz w:val="16"/>
        </w:rPr>
        <w:t xml:space="preserve">[7] Cedar Policy, “Policy validation,” and Cedar formal specification repositories. </w:t>
      </w:r>
      <w:hyperlink r:id="rId20">
        <w:r>
          <w:rPr>
            <w:rFonts w:ascii="Noto Serif" w:hAnsi="Noto Serif" w:eastAsia="Noto Serif" w:cs="Noto Serif"/>
            <w:color w:val="1B5E8C"/>
            <w:u w:val="single"/>
            <w:sz w:val="16"/>
            <w:szCs w:val="16"/>
          </w:rPr>
          <w:t>https://docs.cedarpolicy.com/policies/validation.html</w:t>
        </w:r>
      </w:hyperlink>
      <w:r>
        <w:rPr>
          <w:rFonts w:ascii="Noto Serif" w:hAnsi="Noto Serif" w:eastAsia="Noto Serif" w:cs="Noto Serif"/>
          <w:b w:val="0"/>
          <w:i w:val="0"/>
          <w:color w:val="202733"/>
          <w:sz w:val="16"/>
        </w:rPr>
        <w:t xml:space="preserve"> and </w:t>
      </w:r>
      <w:hyperlink r:id="rId21">
        <w:r>
          <w:rPr>
            <w:rFonts w:ascii="Noto Serif" w:hAnsi="Noto Serif" w:eastAsia="Noto Serif" w:cs="Noto Serif"/>
            <w:color w:val="1B5E8C"/>
            <w:u w:val="single"/>
            <w:sz w:val="16"/>
            <w:szCs w:val="16"/>
          </w:rPr>
          <w:t>https://github.com/cedar-policy/cedar-spec</w:t>
        </w:r>
      </w:hyperlink>
    </w:p>
    <w:p>
      <w:pPr>
        <w:spacing w:after="80"/>
        <w:ind w:left="317" w:hanging="317"/>
      </w:pPr>
      <w:r>
        <w:rPr>
          <w:rFonts w:ascii="Noto Serif" w:hAnsi="Noto Serif" w:eastAsia="Noto Serif" w:cs="Noto Serif"/>
          <w:b w:val="0"/>
          <w:i w:val="0"/>
          <w:color w:val="202733"/>
          <w:sz w:val="16"/>
        </w:rPr>
        <w:t xml:space="preserve">[8] Google, “Common Expression Language specification and binary representation.” </w:t>
      </w:r>
      <w:hyperlink r:id="rId22">
        <w:r>
          <w:rPr>
            <w:rFonts w:ascii="Noto Serif" w:hAnsi="Noto Serif" w:eastAsia="Noto Serif" w:cs="Noto Serif"/>
            <w:color w:val="1B5E8C"/>
            <w:u w:val="single"/>
            <w:sz w:val="16"/>
            <w:szCs w:val="16"/>
          </w:rPr>
          <w:t>https://github.com/google/cel-spec</w:t>
        </w:r>
      </w:hyperlink>
    </w:p>
    <w:p>
      <w:pPr>
        <w:spacing w:after="80"/>
        <w:ind w:left="317" w:hanging="317"/>
      </w:pPr>
      <w:r>
        <w:rPr>
          <w:rFonts w:ascii="Noto Serif" w:hAnsi="Noto Serif" w:eastAsia="Noto Serif" w:cs="Noto Serif"/>
          <w:b w:val="0"/>
          <w:i w:val="0"/>
          <w:color w:val="202733"/>
          <w:sz w:val="16"/>
        </w:rPr>
        <w:t xml:space="preserve">[9] Dop251, Goja package documentation and pinned source. </w:t>
      </w:r>
      <w:hyperlink r:id="rId23">
        <w:r>
          <w:rPr>
            <w:rFonts w:ascii="Noto Serif" w:hAnsi="Noto Serif" w:eastAsia="Noto Serif" w:cs="Noto Serif"/>
            <w:color w:val="1B5E8C"/>
            <w:u w:val="single"/>
            <w:sz w:val="16"/>
            <w:szCs w:val="16"/>
          </w:rPr>
          <w:t>https://pkg.go.dev/github.com/dop251/goja</w:t>
        </w:r>
      </w:hyperlink>
      <w:r>
        <w:rPr>
          <w:rFonts w:ascii="Noto Serif" w:hAnsi="Noto Serif" w:eastAsia="Noto Serif" w:cs="Noto Serif"/>
          <w:b w:val="0"/>
          <w:i w:val="0"/>
          <w:color w:val="202733"/>
          <w:sz w:val="16"/>
        </w:rPr>
        <w:t xml:space="preserve"> and </w:t>
      </w:r>
      <w:hyperlink r:id="rId24">
        <w:r>
          <w:rPr>
            <w:rFonts w:ascii="Noto Serif" w:hAnsi="Noto Serif" w:eastAsia="Noto Serif" w:cs="Noto Serif"/>
            <w:color w:val="1B5E8C"/>
            <w:u w:val="single"/>
            <w:sz w:val="16"/>
            <w:szCs w:val="16"/>
          </w:rPr>
          <w:t>https://github.com/dop251/goja/tree/af2ceb9156d7feaff65273b8bfde778077fb4b7e</w:t>
        </w:r>
      </w:hyperlink>
    </w:p>
    <w:p>
      <w:pPr>
        <w:spacing w:after="80"/>
        <w:ind w:left="317" w:hanging="317"/>
      </w:pPr>
      <w:r>
        <w:rPr>
          <w:rFonts w:ascii="Noto Serif" w:hAnsi="Noto Serif" w:eastAsia="Noto Serif" w:cs="Noto Serif"/>
          <w:b w:val="0"/>
          <w:i w:val="0"/>
          <w:color w:val="202733"/>
          <w:sz w:val="16"/>
        </w:rPr>
        <w:t xml:space="preserve">[10] JSCert project, “Certified JavaScript.” </w:t>
      </w:r>
      <w:hyperlink r:id="rId25">
        <w:r>
          <w:rPr>
            <w:rFonts w:ascii="Noto Serif" w:hAnsi="Noto Serif" w:eastAsia="Noto Serif" w:cs="Noto Serif"/>
            <w:color w:val="1B5E8C"/>
            <w:u w:val="single"/>
            <w:sz w:val="16"/>
            <w:szCs w:val="16"/>
          </w:rPr>
          <w:t>https://jscert.org/</w:t>
        </w:r>
      </w:hyperlink>
    </w:p>
    <w:p>
      <w:pPr>
        <w:spacing w:after="80"/>
        <w:ind w:left="317" w:hanging="317"/>
      </w:pPr>
      <w:r>
        <w:rPr>
          <w:rFonts w:ascii="Noto Serif" w:hAnsi="Noto Serif" w:eastAsia="Noto Serif" w:cs="Noto Serif"/>
          <w:b w:val="0"/>
          <w:i w:val="0"/>
          <w:color w:val="202733"/>
          <w:sz w:val="16"/>
        </w:rPr>
        <w:t xml:space="preserve">[11] D. Park, A. Stefănescu, and G. Roşu, “KJS: A Complete Formal Semantics of JavaScript,” PLDI 2015. </w:t>
      </w:r>
      <w:hyperlink r:id="rId26">
        <w:r>
          <w:rPr>
            <w:rFonts w:ascii="Noto Serif" w:hAnsi="Noto Serif" w:eastAsia="Noto Serif" w:cs="Noto Serif"/>
            <w:color w:val="1B5E8C"/>
            <w:u w:val="single"/>
            <w:sz w:val="16"/>
            <w:szCs w:val="16"/>
          </w:rPr>
          <w:t>https://fsl.cs.illinois.edu/publications/park-stefanescu-rosu-2015-pldi.html</w:t>
        </w:r>
      </w:hyperlink>
    </w:p>
    <w:p>
      <w:pPr>
        <w:spacing w:after="80"/>
        <w:ind w:left="317" w:hanging="317"/>
      </w:pPr>
      <w:r>
        <w:rPr>
          <w:rFonts w:ascii="Noto Serif" w:hAnsi="Noto Serif" w:eastAsia="Noto Serif" w:cs="Noto Serif"/>
          <w:b w:val="0"/>
          <w:i w:val="0"/>
          <w:color w:val="202733"/>
          <w:sz w:val="16"/>
        </w:rPr>
        <w:t xml:space="preserve">[12] Go-Go-Golems, Tiny-IDP request-time invocation implementation. </w:t>
      </w:r>
      <w:hyperlink r:id="rId27">
        <w:r>
          <w:rPr>
            <w:rFonts w:ascii="Noto Serif" w:hAnsi="Noto Serif" w:eastAsia="Noto Serif" w:cs="Noto Serif"/>
            <w:color w:val="1B5E8C"/>
            <w:u w:val="single"/>
            <w:sz w:val="16"/>
            <w:szCs w:val="16"/>
          </w:rPr>
          <w:t>https://github.com/go-go-golems/tiny-idp/blob/d164ae59408bdd8bc21516274b446339b1761b1e/pkg/idpscript/invoke.go</w:t>
        </w:r>
      </w:hyperlink>
    </w:p>
    <w:p>
      <w:pPr>
        <w:spacing w:after="80"/>
        <w:ind w:left="317" w:hanging="317"/>
      </w:pPr>
      <w:r>
        <w:rPr>
          <w:rFonts w:ascii="Noto Serif" w:hAnsi="Noto Serif" w:eastAsia="Noto Serif" w:cs="Noto Serif"/>
          <w:b w:val="0"/>
          <w:i w:val="0"/>
          <w:color w:val="202733"/>
          <w:sz w:val="16"/>
        </w:rPr>
        <w:t xml:space="preserve">[13] Go-Go-Golems, Tiny-IDP invocation capability implementation. </w:t>
      </w:r>
      <w:hyperlink r:id="rId28">
        <w:r>
          <w:rPr>
            <w:rFonts w:ascii="Noto Serif" w:hAnsi="Noto Serif" w:eastAsia="Noto Serif" w:cs="Noto Serif"/>
            <w:color w:val="1B5E8C"/>
            <w:u w:val="single"/>
            <w:sz w:val="16"/>
            <w:szCs w:val="16"/>
          </w:rPr>
          <w:t>https://github.com/go-go-golems/tiny-idp/blob/d164ae59408bdd8bc21516274b446339b1761b1e/pkg/idpscript/capabilities.go</w:t>
        </w:r>
      </w:hyperlink>
    </w:p>
    <w:p>
      <w:pPr>
        <w:spacing w:after="80"/>
        <w:ind w:left="317" w:hanging="317"/>
      </w:pPr>
      <w:r>
        <w:rPr>
          <w:rFonts w:ascii="Noto Serif" w:hAnsi="Noto Serif" w:eastAsia="Noto Serif" w:cs="Noto Serif"/>
          <w:b w:val="0"/>
          <w:i w:val="0"/>
          <w:color w:val="202733"/>
          <w:sz w:val="16"/>
        </w:rPr>
        <w:t xml:space="preserve">[14] Go-Go-Golems, Tiny-IDP durable continuation types. </w:t>
      </w:r>
      <w:hyperlink r:id="rId29">
        <w:r>
          <w:rPr>
            <w:rFonts w:ascii="Noto Serif" w:hAnsi="Noto Serif" w:eastAsia="Noto Serif" w:cs="Noto Serif"/>
            <w:color w:val="1B5E8C"/>
            <w:u w:val="single"/>
            <w:sz w:val="16"/>
            <w:szCs w:val="16"/>
          </w:rPr>
          <w:t>https://github.com/go-go-golems/tiny-idp/blob/d164ae59408bdd8bc21516274b446339b1761b1e/pkg/idpcontinuation/types.go</w:t>
        </w:r>
      </w:hyperlink>
    </w:p>
    <w:p>
      <w:pPr>
        <w:spacing w:after="80"/>
        <w:ind w:left="317" w:hanging="317"/>
      </w:pPr>
      <w:r>
        <w:rPr>
          <w:rFonts w:ascii="Noto Serif" w:hAnsi="Noto Serif" w:eastAsia="Noto Serif" w:cs="Noto Serif"/>
          <w:b w:val="0"/>
          <w:i w:val="0"/>
          <w:color w:val="202733"/>
          <w:sz w:val="16"/>
        </w:rPr>
        <w:t xml:space="preserve">[15] Bazel Project, “Starlark Language” and specification. </w:t>
      </w:r>
      <w:hyperlink r:id="rId30">
        <w:r>
          <w:rPr>
            <w:rFonts w:ascii="Noto Serif" w:hAnsi="Noto Serif" w:eastAsia="Noto Serif" w:cs="Noto Serif"/>
            <w:color w:val="1B5E8C"/>
            <w:u w:val="single"/>
            <w:sz w:val="16"/>
            <w:szCs w:val="16"/>
          </w:rPr>
          <w:t>https://github.com/bazelbuild/starlark</w:t>
        </w:r>
      </w:hyperlink>
      <w:r>
        <w:rPr>
          <w:rFonts w:ascii="Noto Serif" w:hAnsi="Noto Serif" w:eastAsia="Noto Serif" w:cs="Noto Serif"/>
          <w:b w:val="0"/>
          <w:i w:val="0"/>
          <w:color w:val="202733"/>
          <w:sz w:val="16"/>
        </w:rPr>
        <w:t xml:space="preserve"> and </w:t>
      </w:r>
      <w:hyperlink r:id="rId31">
        <w:r>
          <w:rPr>
            <w:rFonts w:ascii="Noto Serif" w:hAnsi="Noto Serif" w:eastAsia="Noto Serif" w:cs="Noto Serif"/>
            <w:color w:val="1B5E8C"/>
            <w:u w:val="single"/>
            <w:sz w:val="16"/>
            <w:szCs w:val="16"/>
          </w:rPr>
          <w:t>https://github.com/bazelbuild/starlark/blob/master/spec.md</w:t>
        </w:r>
      </w:hyperlink>
    </w:p>
    <w:p>
      <w:pPr>
        <w:spacing w:after="80"/>
        <w:ind w:left="317" w:hanging="317"/>
      </w:pPr>
      <w:r>
        <w:rPr>
          <w:rFonts w:ascii="Noto Serif" w:hAnsi="Noto Serif" w:eastAsia="Noto Serif" w:cs="Noto Serif"/>
          <w:b w:val="0"/>
          <w:i w:val="0"/>
          <w:color w:val="202733"/>
          <w:sz w:val="16"/>
        </w:rPr>
        <w:t xml:space="preserve">[16] Go-Go-Golems, Tiny-IDP </w:t>
      </w:r>
      <w:r>
        <w:rPr>
          <w:rFonts w:ascii="DejaVu Sans Mono" w:hAnsi="DejaVu Sans Mono" w:eastAsia="DejaVu Sans Mono" w:cs="DejaVu Sans Mono"/>
          <w:b w:val="0"/>
          <w:i w:val="0"/>
          <w:color w:val="202733"/>
          <w:sz w:val="15"/>
          <w:shd w:fill="EDF1F4" w:val="clear"/>
        </w:rPr>
        <w:t>LambdaSpec</w:t>
      </w:r>
      <w:r>
        <w:rPr>
          <w:rFonts w:ascii="Noto Serif" w:hAnsi="Noto Serif" w:eastAsia="Noto Serif" w:cs="Noto Serif"/>
          <w:b w:val="0"/>
          <w:i w:val="0"/>
          <w:color w:val="202733"/>
          <w:sz w:val="16"/>
        </w:rPr>
        <w:t xml:space="preserve">. </w:t>
      </w:r>
      <w:hyperlink r:id="rId32">
        <w:r>
          <w:rPr>
            <w:rFonts w:ascii="Noto Serif" w:hAnsi="Noto Serif" w:eastAsia="Noto Serif" w:cs="Noto Serif"/>
            <w:color w:val="1B5E8C"/>
            <w:u w:val="single"/>
            <w:sz w:val="16"/>
            <w:szCs w:val="16"/>
          </w:rPr>
          <w:t>https://github.com/go-go-golems/tiny-idp/blob/d164ae59408bdd8bc21516274b446339b1761b1e/pkg/idpprogram/lambda.go</w:t>
        </w:r>
      </w:hyperlink>
    </w:p>
    <w:p>
      <w:pPr>
        <w:spacing w:after="80"/>
        <w:ind w:left="317" w:hanging="317"/>
      </w:pPr>
      <w:r>
        <w:rPr>
          <w:rFonts w:ascii="Noto Serif" w:hAnsi="Noto Serif" w:eastAsia="Noto Serif" w:cs="Noto Serif"/>
          <w:b w:val="0"/>
          <w:i w:val="0"/>
          <w:color w:val="202733"/>
          <w:sz w:val="16"/>
        </w:rPr>
        <w:t xml:space="preserve">[17] Koka Project, “Effect Handlers,” Koka language book. </w:t>
      </w:r>
      <w:hyperlink r:id="rId33">
        <w:r>
          <w:rPr>
            <w:rFonts w:ascii="Noto Serif" w:hAnsi="Noto Serif" w:eastAsia="Noto Serif" w:cs="Noto Serif"/>
            <w:color w:val="1B5E8C"/>
            <w:u w:val="single"/>
            <w:sz w:val="16"/>
            <w:szCs w:val="16"/>
          </w:rPr>
          <w:t>https://koka-lang.github.io/koka/doc/book.html</w:t>
        </w:r>
      </w:hyperlink>
    </w:p>
    <w:p>
      <w:pPr>
        <w:spacing w:after="80"/>
        <w:ind w:left="317" w:hanging="317"/>
      </w:pPr>
      <w:r>
        <w:rPr>
          <w:rFonts w:ascii="Noto Serif" w:hAnsi="Noto Serif" w:eastAsia="Noto Serif" w:cs="Noto Serif"/>
          <w:b w:val="0"/>
          <w:i w:val="0"/>
          <w:color w:val="202733"/>
          <w:sz w:val="16"/>
        </w:rPr>
        <w:t xml:space="preserve">[18] TC39, “ShadowRealm Proposal.” </w:t>
      </w:r>
      <w:hyperlink r:id="rId34">
        <w:r>
          <w:rPr>
            <w:rFonts w:ascii="Noto Serif" w:hAnsi="Noto Serif" w:eastAsia="Noto Serif" w:cs="Noto Serif"/>
            <w:color w:val="1B5E8C"/>
            <w:u w:val="single"/>
            <w:sz w:val="16"/>
            <w:szCs w:val="16"/>
          </w:rPr>
          <w:t>https://github.com/tc39/proposal-shadowrealm</w:t>
        </w:r>
      </w:hyperlink>
    </w:p>
    <w:p>
      <w:pPr>
        <w:spacing w:after="80"/>
        <w:ind w:left="317" w:hanging="317"/>
      </w:pPr>
      <w:r>
        <w:rPr>
          <w:rFonts w:ascii="Noto Serif" w:hAnsi="Noto Serif" w:eastAsia="Noto Serif" w:cs="Noto Serif"/>
          <w:b w:val="0"/>
          <w:i w:val="0"/>
          <w:color w:val="202733"/>
          <w:sz w:val="16"/>
        </w:rPr>
        <w:t xml:space="preserve">[19] Restate, “Durable Execution,” “Concurrent Tasks,” and external-event documentation. </w:t>
      </w:r>
      <w:hyperlink r:id="rId35">
        <w:r>
          <w:rPr>
            <w:rFonts w:ascii="Noto Serif" w:hAnsi="Noto Serif" w:eastAsia="Noto Serif" w:cs="Noto Serif"/>
            <w:color w:val="1B5E8C"/>
            <w:u w:val="single"/>
            <w:sz w:val="16"/>
            <w:szCs w:val="16"/>
          </w:rPr>
          <w:t>https://docs.restate.dev/foundations/key-concepts</w:t>
        </w:r>
      </w:hyperlink>
      <w:r>
        <w:rPr>
          <w:rFonts w:ascii="Noto Serif" w:hAnsi="Noto Serif" w:eastAsia="Noto Serif" w:cs="Noto Serif"/>
          <w:b w:val="0"/>
          <w:i w:val="0"/>
          <w:color w:val="202733"/>
          <w:sz w:val="16"/>
        </w:rPr>
        <w:t xml:space="preserve"> and </w:t>
      </w:r>
      <w:hyperlink r:id="rId36">
        <w:r>
          <w:rPr>
            <w:rFonts w:ascii="Noto Serif" w:hAnsi="Noto Serif" w:eastAsia="Noto Serif" w:cs="Noto Serif"/>
            <w:color w:val="1B5E8C"/>
            <w:u w:val="single"/>
            <w:sz w:val="16"/>
            <w:szCs w:val="16"/>
          </w:rPr>
          <w:t>https://docs.restate.dev/develop/go/concurrent-tasks</w:t>
        </w:r>
      </w:hyperlink>
    </w:p>
    <w:p>
      <w:pPr>
        <w:spacing w:after="80"/>
        <w:ind w:left="317" w:hanging="317"/>
      </w:pPr>
      <w:r>
        <w:rPr>
          <w:rFonts w:ascii="Noto Serif" w:hAnsi="Noto Serif" w:eastAsia="Noto Serif" w:cs="Noto Serif"/>
          <w:b w:val="0"/>
          <w:i w:val="0"/>
          <w:color w:val="202733"/>
          <w:sz w:val="16"/>
        </w:rPr>
        <w:t xml:space="preserve">[20] Go-Go-Golems, Tiny-IDP Goja native module and runtime-local nominal handle maps. </w:t>
      </w:r>
      <w:hyperlink r:id="rId37">
        <w:r>
          <w:rPr>
            <w:rFonts w:ascii="Noto Serif" w:hAnsi="Noto Serif" w:eastAsia="Noto Serif" w:cs="Noto Serif"/>
            <w:color w:val="1B5E8C"/>
            <w:u w:val="single"/>
            <w:sz w:val="16"/>
            <w:szCs w:val="16"/>
          </w:rPr>
          <w:t>https://github.com/go-go-golems/tiny-idp/blob/d164ae59408bdd8bc21516274b446339b1761b1e/internal/gojamodules/tinyidp/module.go</w:t>
        </w:r>
      </w:hyperlink>
    </w:p>
    <w:p>
      <w:pPr>
        <w:spacing w:after="80"/>
        <w:ind w:left="317" w:hanging="317"/>
      </w:pPr>
      <w:r>
        <w:rPr>
          <w:rFonts w:ascii="Noto Serif" w:hAnsi="Noto Serif" w:eastAsia="Noto Serif" w:cs="Noto Serif"/>
          <w:b w:val="0"/>
          <w:i w:val="0"/>
          <w:color w:val="202733"/>
          <w:sz w:val="16"/>
        </w:rPr>
        <w:t xml:space="preserve">[21] Go-Go-Golems, Tiny-IDP closed outcomes and native effect plans. </w:t>
      </w:r>
      <w:hyperlink r:id="rId38">
        <w:r>
          <w:rPr>
            <w:rFonts w:ascii="Noto Serif" w:hAnsi="Noto Serif" w:eastAsia="Noto Serif" w:cs="Noto Serif"/>
            <w:color w:val="1B5E8C"/>
            <w:u w:val="single"/>
            <w:sz w:val="16"/>
            <w:szCs w:val="16"/>
          </w:rPr>
          <w:t>https://github.com/go-go-golems/tiny-idp/blob/d164ae59408bdd8bc21516274b446339b1761b1e/pkg/idpprogram/outcomes.go</w:t>
        </w:r>
      </w:hyperlink>
    </w:p>
    <w:p>
      <w:pPr>
        <w:spacing w:after="80"/>
        <w:ind w:left="317" w:hanging="317"/>
      </w:pPr>
      <w:r>
        <w:rPr>
          <w:rFonts w:ascii="Noto Serif" w:hAnsi="Noto Serif" w:eastAsia="Noto Serif" w:cs="Noto Serif"/>
          <w:b w:val="0"/>
          <w:i w:val="0"/>
          <w:color w:val="202733"/>
          <w:sz w:val="16"/>
        </w:rPr>
        <w:t xml:space="preserve">[22] Bytecode Alliance, Wasmtime resource limiting, fuel, and epoch interruption documentation. </w:t>
      </w:r>
      <w:hyperlink r:id="rId39">
        <w:r>
          <w:rPr>
            <w:rFonts w:ascii="Noto Serif" w:hAnsi="Noto Serif" w:eastAsia="Noto Serif" w:cs="Noto Serif"/>
            <w:color w:val="1B5E8C"/>
            <w:u w:val="single"/>
            <w:sz w:val="16"/>
            <w:szCs w:val="16"/>
          </w:rPr>
          <w:t>https://docs.wasmtime.dev/api/wasmtime/struct.Config.html</w:t>
        </w:r>
      </w:hyperlink>
    </w:p>
    <w:p>
      <w:pPr>
        <w:spacing w:after="80"/>
        <w:ind w:left="317" w:hanging="317"/>
      </w:pPr>
      <w:r>
        <w:rPr>
          <w:rFonts w:ascii="Noto Serif" w:hAnsi="Noto Serif" w:eastAsia="Noto Serif" w:cs="Noto Serif"/>
          <w:b w:val="0"/>
          <w:i w:val="0"/>
          <w:color w:val="202733"/>
          <w:sz w:val="16"/>
        </w:rPr>
        <w:t xml:space="preserve">[23] Linux Kernel documentation, “eBPF verifier.” </w:t>
      </w:r>
      <w:hyperlink r:id="rId40">
        <w:r>
          <w:rPr>
            <w:rFonts w:ascii="Noto Serif" w:hAnsi="Noto Serif" w:eastAsia="Noto Serif" w:cs="Noto Serif"/>
            <w:color w:val="1B5E8C"/>
            <w:u w:val="single"/>
            <w:sz w:val="16"/>
            <w:szCs w:val="16"/>
          </w:rPr>
          <w:t>https://docs.kernel.org/bpf/verifier.html</w:t>
        </w:r>
      </w:hyperlink>
    </w:p>
    <w:p>
      <w:pPr>
        <w:spacing w:after="80"/>
        <w:ind w:left="317" w:hanging="317"/>
      </w:pPr>
      <w:r>
        <w:rPr>
          <w:rFonts w:ascii="Noto Serif" w:hAnsi="Noto Serif" w:eastAsia="Noto Serif" w:cs="Noto Serif"/>
          <w:b w:val="0"/>
          <w:i w:val="0"/>
          <w:color w:val="202733"/>
          <w:sz w:val="16"/>
        </w:rPr>
        <w:t xml:space="preserve">[24] Fabrice Bellard and Charlie Gordon, “QuickJS JavaScript Engine,” C API and internals. </w:t>
      </w:r>
      <w:hyperlink r:id="rId41">
        <w:r>
          <w:rPr>
            <w:rFonts w:ascii="Noto Serif" w:hAnsi="Noto Serif" w:eastAsia="Noto Serif" w:cs="Noto Serif"/>
            <w:color w:val="1B5E8C"/>
            <w:u w:val="single"/>
            <w:sz w:val="16"/>
            <w:szCs w:val="16"/>
          </w:rPr>
          <w:t>https://bellard.org/quickjs/quickjs.html</w:t>
        </w:r>
      </w:hyperlink>
    </w:p>
    <w:p>
      <w:pPr>
        <w:spacing w:after="80"/>
        <w:ind w:left="317" w:hanging="317"/>
      </w:pPr>
      <w:r>
        <w:rPr>
          <w:rFonts w:ascii="Noto Serif" w:hAnsi="Noto Serif" w:eastAsia="Noto Serif" w:cs="Noto Serif"/>
          <w:b w:val="0"/>
          <w:i w:val="0"/>
          <w:color w:val="202733"/>
          <w:sz w:val="16"/>
        </w:rPr>
        <w:t xml:space="preserve">[25] Go-Go-Golems, Tiny-IDP runtime worker pool and fail-stop replacement. </w:t>
      </w:r>
      <w:hyperlink r:id="rId42">
        <w:r>
          <w:rPr>
            <w:rFonts w:ascii="Noto Serif" w:hAnsi="Noto Serif" w:eastAsia="Noto Serif" w:cs="Noto Serif"/>
            <w:color w:val="1B5E8C"/>
            <w:u w:val="single"/>
            <w:sz w:val="16"/>
            <w:szCs w:val="16"/>
          </w:rPr>
          <w:t>https://github.com/go-go-golems/tiny-idp/blob/d164ae59408bdd8bc21516274b446339b1761b1e/pkg/idpscript/pool.go</w:t>
        </w:r>
      </w:hyperlink>
    </w:p>
    <w:p>
      <w:pPr>
        <w:spacing w:after="80"/>
        <w:ind w:left="317" w:hanging="317"/>
      </w:pPr>
      <w:r>
        <w:rPr>
          <w:rFonts w:ascii="Noto Serif" w:hAnsi="Noto Serif" w:eastAsia="Noto Serif" w:cs="Noto Serif"/>
          <w:b w:val="0"/>
          <w:i w:val="0"/>
          <w:color w:val="202733"/>
          <w:sz w:val="16"/>
        </w:rPr>
        <w:t xml:space="preserve">[26] Dop251, Goja VM execution-context suspension and resumption, pinned source. </w:t>
      </w:r>
      <w:hyperlink r:id="rId43">
        <w:r>
          <w:rPr>
            <w:rFonts w:ascii="Noto Serif" w:hAnsi="Noto Serif" w:eastAsia="Noto Serif" w:cs="Noto Serif"/>
            <w:color w:val="1B5E8C"/>
            <w:u w:val="single"/>
            <w:sz w:val="16"/>
            <w:szCs w:val="16"/>
          </w:rPr>
          <w:t>https://github.com/dop251/goja/blob/af2ceb9156d7feaff65273b8bfde778077fb4b7e/vm.go</w:t>
        </w:r>
      </w:hyperlink>
    </w:p>
    <w:p>
      <w:pPr>
        <w:spacing w:after="80"/>
        <w:ind w:left="317" w:hanging="317"/>
      </w:pPr>
      <w:r>
        <w:rPr>
          <w:rFonts w:ascii="Noto Serif" w:hAnsi="Noto Serif" w:eastAsia="Noto Serif" w:cs="Noto Serif"/>
          <w:b w:val="0"/>
          <w:i w:val="0"/>
          <w:color w:val="202733"/>
          <w:sz w:val="16"/>
        </w:rPr>
        <w:t xml:space="preserve">[27] LLVM Project, “Interfaces,” MLIR documentation. </w:t>
      </w:r>
      <w:hyperlink r:id="rId44">
        <w:r>
          <w:rPr>
            <w:rFonts w:ascii="Noto Serif" w:hAnsi="Noto Serif" w:eastAsia="Noto Serif" w:cs="Noto Serif"/>
            <w:color w:val="1B5E8C"/>
            <w:u w:val="single"/>
            <w:sz w:val="16"/>
            <w:szCs w:val="16"/>
          </w:rPr>
          <w:t>https://mlir.llvm.org/docs/Interfaces/</w:t>
        </w:r>
      </w:hyperlink>
    </w:p>
    <w:p>
      <w:pPr>
        <w:spacing w:after="80"/>
        <w:ind w:left="317" w:hanging="317"/>
      </w:pPr>
      <w:r>
        <w:rPr>
          <w:rFonts w:ascii="Noto Serif" w:hAnsi="Noto Serif" w:eastAsia="Noto Serif" w:cs="Noto Serif"/>
          <w:b w:val="0"/>
          <w:i w:val="0"/>
          <w:color w:val="202733"/>
          <w:sz w:val="16"/>
        </w:rPr>
        <w:t xml:space="preserve">[28] Bytecode Alliance, “WIT Worlds” and WIT reference, WebAssembly Component Model. </w:t>
      </w:r>
      <w:hyperlink r:id="rId45">
        <w:r>
          <w:rPr>
            <w:rFonts w:ascii="Noto Serif" w:hAnsi="Noto Serif" w:eastAsia="Noto Serif" w:cs="Noto Serif"/>
            <w:color w:val="1B5E8C"/>
            <w:u w:val="single"/>
            <w:sz w:val="16"/>
            <w:szCs w:val="16"/>
          </w:rPr>
          <w:t>https://component-model.bytecodealliance.org/design/worlds.html</w:t>
        </w:r>
      </w:hyperlink>
      <w:r>
        <w:rPr>
          <w:rFonts w:ascii="Noto Serif" w:hAnsi="Noto Serif" w:eastAsia="Noto Serif" w:cs="Noto Serif"/>
          <w:b w:val="0"/>
          <w:i w:val="0"/>
          <w:color w:val="202733"/>
          <w:sz w:val="16"/>
        </w:rPr>
        <w:t xml:space="preserve"> and </w:t>
      </w:r>
      <w:hyperlink r:id="rId46">
        <w:r>
          <w:rPr>
            <w:rFonts w:ascii="Noto Serif" w:hAnsi="Noto Serif" w:eastAsia="Noto Serif" w:cs="Noto Serif"/>
            <w:color w:val="1B5E8C"/>
            <w:u w:val="single"/>
            <w:sz w:val="16"/>
            <w:szCs w:val="16"/>
          </w:rPr>
          <w:t>https://component-model.bytecodealliance.org/design/wit.html</w:t>
        </w:r>
      </w:hyperlink>
    </w:p>
    <w:p>
      <w:pPr>
        <w:spacing w:after="80"/>
        <w:ind w:left="317" w:hanging="317"/>
      </w:pPr>
      <w:r>
        <w:rPr>
          <w:rFonts w:ascii="Noto Serif" w:hAnsi="Noto Serif" w:eastAsia="Noto Serif" w:cs="Noto Serif"/>
          <w:b w:val="0"/>
          <w:i w:val="0"/>
          <w:color w:val="202733"/>
          <w:sz w:val="16"/>
        </w:rPr>
        <w:t xml:space="preserve">[29] Dop251, Goja AST package warning, pinned source. </w:t>
      </w:r>
      <w:hyperlink r:id="rId47">
        <w:r>
          <w:rPr>
            <w:rFonts w:ascii="Noto Serif" w:hAnsi="Noto Serif" w:eastAsia="Noto Serif" w:cs="Noto Serif"/>
            <w:color w:val="1B5E8C"/>
            <w:u w:val="single"/>
            <w:sz w:val="16"/>
            <w:szCs w:val="16"/>
          </w:rPr>
          <w:t>https://github.com/dop251/goja/blob/af2ceb9156d7feaff65273b8bfde778077fb4b7e/ast/node.go</w:t>
        </w:r>
      </w:hyperlink>
    </w:p>
    <w:sectPr w:rsidR="00FC693F" w:rsidRPr="0006063C" w:rsidSect="00034616">
      <w:headerReference w:type="default" r:id="rId9"/>
      <w:footerReference w:type="default" r:id="rId10"/>
      <w:pgSz w:w="12240" w:h="15840"/>
      <w:pgMar w:top="922" w:right="1037" w:bottom="835" w:left="1037" w:header="374" w:footer="36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Lato" w:hAnsi="Lato" w:eastAsia="Lato" w:cs="Lato"/>
        <w:color w:val="52606D"/>
        <w:sz w:val="15"/>
      </w:rPr>
      <w:t xml:space="preserve">TINYIDP-GOJA-001 follow-on study   |   </w:t>
    </w:r>
    <w:r>
      <w:rPr>
        <w:rFonts w:ascii="Lato" w:hAnsi="Lato" w:eastAsia="Lato" w:cs="Lato"/>
        <w:color w:val="52606D"/>
        <w:sz w:val="16"/>
      </w:rPr>
      <w:t xml:space="preserve">Page </w:t>
    </w:r>
    <w:r>
      <w:rPr>
        <w:rFonts w:ascii="Lato" w:hAnsi="Lato" w:eastAsia="Lato" w:cs="Lato"/>
        <w:color w:val="52606D"/>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B8C5D1"/>
      </w:pBdr>
    </w:pPr>
    <w:r>
      <w:rPr>
        <w:rFonts w:ascii="Lato" w:hAnsi="Lato" w:eastAsia="Lato" w:cs="Lato"/>
        <w:b/>
        <w:color w:val="52606D"/>
        <w:sz w:val="14"/>
      </w:rPr>
      <w:t>MALLEABLE JAVASCRIPT FOR ASSURANCE-ORIENTED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4" w:line="259" w:lineRule="auto"/>
    </w:pPr>
    <w:rPr>
      <w:rFonts w:ascii="Noto Serif" w:hAnsi="Noto Serif" w:eastAsia="Noto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Lato" w:hAnsi="Lato" w:eastAsia="Lato"/>
      <w:b/>
      <w:bCs/>
      <w:color w:val="17365D"/>
      <w:sz w:val="37"/>
      <w:szCs w:val="28"/>
    </w:rPr>
  </w:style>
  <w:style w:type="paragraph" w:styleId="Heading2">
    <w:name w:val="heading 2"/>
    <w:basedOn w:val="Normal"/>
    <w:next w:val="Normal"/>
    <w:link w:val="Heading2Char"/>
    <w:uiPriority w:val="9"/>
    <w:unhideWhenUsed/>
    <w:qFormat/>
    <w:rsid w:val="00FC693F"/>
    <w:pPr>
      <w:keepNext/>
      <w:keepLines/>
      <w:widowControl/>
      <w:spacing w:before="240" w:after="90"/>
      <w:outlineLvl w:val="1"/>
    </w:pPr>
    <w:rPr>
      <w:rFonts w:asciiTheme="majorHAnsi" w:eastAsiaTheme="majorEastAsia" w:hAnsiTheme="majorHAnsi" w:cstheme="majorBidi" w:ascii="Lato" w:hAnsi="Lato" w:eastAsia="Lato"/>
      <w:b/>
      <w:bCs/>
      <w:color w:val="17365D"/>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Lato" w:hAnsi="Lato" w:eastAsia="Lato"/>
      <w:b/>
      <w:bCs/>
      <w:color w:val="202733"/>
      <w:sz w:val="21"/>
    </w:rPr>
  </w:style>
  <w:style w:type="paragraph" w:styleId="Heading4">
    <w:name w:val="heading 4"/>
    <w:basedOn w:val="Normal"/>
    <w:next w:val="Normal"/>
    <w:link w:val="Heading4Char"/>
    <w:uiPriority w:val="9"/>
    <w:semiHidden/>
    <w:unhideWhenUsed/>
    <w:qFormat/>
    <w:rsid w:val="00FC693F"/>
    <w:pPr>
      <w:keepNext/>
      <w:keepLines/>
      <w:widowControl/>
      <w:spacing w:before="120" w:after="40"/>
      <w:outlineLvl w:val="3"/>
    </w:pPr>
    <w:rPr>
      <w:rFonts w:asciiTheme="majorHAnsi" w:eastAsiaTheme="majorEastAsia" w:hAnsiTheme="majorHAnsi" w:cstheme="majorBidi" w:ascii="Lato" w:hAnsi="Lato" w:eastAsia="Lato"/>
      <w:b/>
      <w:bCs/>
      <w:i/>
      <w:iCs/>
      <w:color w:val="20273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ato" w:hAnsi="Lato"/>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Lato" w:hAnsi="Lato"/>
      <w:i/>
      <w:iCs/>
      <w:color w:val="1F6D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6" w:line="252" w:lineRule="auto"/>
      <w:contextualSpacing/>
    </w:pPr>
    <w:rPr>
      <w:rFonts w:ascii="Noto Serif" w:hAnsi="Noto Serif"/>
      <w:sz w:val="18"/>
    </w:rPr>
  </w:style>
  <w:style w:type="paragraph" w:styleId="ListBullet2">
    <w:name w:val="List Bullet 2"/>
    <w:basedOn w:val="Normal"/>
    <w:uiPriority w:val="99"/>
    <w:unhideWhenUsed/>
    <w:rsid w:val="00326F90"/>
    <w:pPr>
      <w:numPr>
        <w:numId w:val="2"/>
      </w:numPr>
      <w:spacing w:after="46" w:line="252" w:lineRule="auto"/>
      <w:contextualSpacing/>
    </w:pPr>
    <w:rPr>
      <w:rFonts w:ascii="Noto Serif" w:hAnsi="Noto Serif"/>
      <w:sz w:val="18"/>
    </w:rPr>
  </w:style>
  <w:style w:type="paragraph" w:styleId="ListBullet3">
    <w:name w:val="List Bullet 3"/>
    <w:basedOn w:val="Normal"/>
    <w:uiPriority w:val="99"/>
    <w:unhideWhenUsed/>
    <w:rsid w:val="00326F90"/>
    <w:pPr>
      <w:numPr>
        <w:numId w:val="3"/>
      </w:numPr>
      <w:spacing w:after="46" w:line="252" w:lineRule="auto"/>
      <w:contextualSpacing/>
    </w:pPr>
    <w:rPr>
      <w:rFonts w:ascii="Noto Serif" w:hAnsi="Noto Serif"/>
      <w:sz w:val="18"/>
    </w:rPr>
  </w:style>
  <w:style w:type="paragraph" w:styleId="ListNumber">
    <w:name w:val="List Number"/>
    <w:basedOn w:val="Normal"/>
    <w:uiPriority w:val="99"/>
    <w:unhideWhenUsed/>
    <w:rsid w:val="00326F90"/>
    <w:pPr>
      <w:numPr>
        <w:numId w:val="5"/>
      </w:numPr>
      <w:spacing w:after="46" w:line="252" w:lineRule="auto"/>
      <w:contextualSpacing/>
    </w:pPr>
    <w:rPr>
      <w:rFonts w:ascii="Noto Serif" w:hAnsi="Noto Serif"/>
      <w:sz w:val="18"/>
    </w:rPr>
  </w:style>
  <w:style w:type="paragraph" w:styleId="ListNumber2">
    <w:name w:val="List Number 2"/>
    <w:basedOn w:val="Normal"/>
    <w:uiPriority w:val="99"/>
    <w:unhideWhenUsed/>
    <w:rsid w:val="0029639D"/>
    <w:pPr>
      <w:numPr>
        <w:numId w:val="6"/>
      </w:numPr>
      <w:spacing w:after="46" w:line="252" w:lineRule="auto"/>
      <w:contextualSpacing/>
    </w:pPr>
    <w:rPr>
      <w:rFonts w:ascii="Noto Serif" w:hAnsi="Noto Serif"/>
      <w:sz w:val="18"/>
    </w:rPr>
  </w:style>
  <w:style w:type="paragraph" w:styleId="ListNumber3">
    <w:name w:val="List Number 3"/>
    <w:basedOn w:val="Normal"/>
    <w:uiPriority w:val="99"/>
    <w:unhideWhenUsed/>
    <w:rsid w:val="0029639D"/>
    <w:pPr>
      <w:numPr>
        <w:numId w:val="7"/>
      </w:numPr>
      <w:spacing w:after="46" w:line="252" w:lineRule="auto"/>
      <w:contextualSpacing/>
    </w:pPr>
    <w:rPr>
      <w:rFonts w:ascii="Noto Serif" w:hAnsi="Noto Serif"/>
      <w:sz w:val="18"/>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before="80" w:after="100" w:line="240" w:lineRule="auto"/>
      <w:ind w:left="173" w:right="173"/>
    </w:pPr>
    <w:rPr>
      <w:rFonts w:ascii="DejaVu Sans Mono" w:hAnsi="DejaVu Sans Mono"/>
      <w:color w:val="202733"/>
      <w:sz w:val="14"/>
    </w:rPr>
  </w:style>
  <w:style w:type="paragraph" w:customStyle="1" w:styleId="TechnicalQuote">
    <w:name w:val="Technical Quote"/>
    <w:pPr>
      <w:spacing w:before="80" w:after="100"/>
      <w:ind w:left="403" w:right="259"/>
    </w:pPr>
    <w:rPr>
      <w:rFonts w:ascii="Noto Serif" w:hAnsi="Noto Serif"/>
      <w:i/>
      <w:color w:val="5260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o-go-golems/tiny-idp/commit/d164ae59408bdd8bc21516274b446339b1761b1e" TargetMode="External"/><Relationship Id="rId12" Type="http://schemas.openxmlformats.org/officeDocument/2006/relationships/hyperlink" Target="https://github.com/dop251/goja/commit/af2ceb9156d7feaff65273b8bfde778077fb4b7e" TargetMode="External"/><Relationship Id="rId13"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 TargetMode="External"/><Relationship Id="rId14" Type="http://schemas.openxmlformats.org/officeDocument/2006/relationships/hyperlink" Target="https://github.com/go-go-golems/tiny-idp/tree/d164ae59408bdd8bc21516274b446339b1761b1e/pkg/idpscript" TargetMode="External"/><Relationship Id="rId15" Type="http://schemas.openxmlformats.org/officeDocument/2006/relationships/hyperlink" Target="https://tc39.es/ecma262/2025/" TargetMode="External"/><Relationship Id="rId16" Type="http://schemas.openxmlformats.org/officeDocument/2006/relationships/hyperlink" Target="https://github.com/tc39/test262" TargetMode="External"/><Relationship Id="rId17" Type="http://schemas.openxmlformats.org/officeDocument/2006/relationships/hyperlink" Target="https://docs.endojs.org/documents/guide.html" TargetMode="External"/><Relationship Id="rId18" Type="http://schemas.openxmlformats.org/officeDocument/2006/relationships/hyperlink" Target="https://mlir.llvm.org/docs/DefiningDialects/" TargetMode="External"/><Relationship Id="rId19" Type="http://schemas.openxmlformats.org/officeDocument/2006/relationships/hyperlink" Target="https://mlir.llvm.org/docs/Dialects/IRDL/" TargetMode="External"/><Relationship Id="rId20" Type="http://schemas.openxmlformats.org/officeDocument/2006/relationships/hyperlink" Target="https://docs.cedarpolicy.com/policies/validation.html" TargetMode="External"/><Relationship Id="rId21" Type="http://schemas.openxmlformats.org/officeDocument/2006/relationships/hyperlink" Target="https://github.com/cedar-policy/cedar-spec" TargetMode="External"/><Relationship Id="rId22" Type="http://schemas.openxmlformats.org/officeDocument/2006/relationships/hyperlink" Target="https://github.com/google/cel-spec" TargetMode="External"/><Relationship Id="rId23" Type="http://schemas.openxmlformats.org/officeDocument/2006/relationships/hyperlink" Target="https://pkg.go.dev/github.com/dop251/goja" TargetMode="External"/><Relationship Id="rId24" Type="http://schemas.openxmlformats.org/officeDocument/2006/relationships/hyperlink" Target="https://github.com/dop251/goja/tree/af2ceb9156d7feaff65273b8bfde778077fb4b7e" TargetMode="External"/><Relationship Id="rId25" Type="http://schemas.openxmlformats.org/officeDocument/2006/relationships/hyperlink" Target="https://jscert.org/" TargetMode="External"/><Relationship Id="rId26" Type="http://schemas.openxmlformats.org/officeDocument/2006/relationships/hyperlink" Target="https://fsl.cs.illinois.edu/publications/park-stefanescu-rosu-2015-pldi.html" TargetMode="External"/><Relationship Id="rId27" Type="http://schemas.openxmlformats.org/officeDocument/2006/relationships/hyperlink" Target="https://github.com/go-go-golems/tiny-idp/blob/d164ae59408bdd8bc21516274b446339b1761b1e/pkg/idpscript/invoke.go" TargetMode="External"/><Relationship Id="rId28" Type="http://schemas.openxmlformats.org/officeDocument/2006/relationships/hyperlink" Target="https://github.com/go-go-golems/tiny-idp/blob/d164ae59408bdd8bc21516274b446339b1761b1e/pkg/idpscript/capabilities.go" TargetMode="External"/><Relationship Id="rId29" Type="http://schemas.openxmlformats.org/officeDocument/2006/relationships/hyperlink" Target="https://github.com/go-go-golems/tiny-idp/blob/d164ae59408bdd8bc21516274b446339b1761b1e/pkg/idpcontinuation/types.go" TargetMode="External"/><Relationship Id="rId30" Type="http://schemas.openxmlformats.org/officeDocument/2006/relationships/hyperlink" Target="https://github.com/bazelbuild/starlark" TargetMode="External"/><Relationship Id="rId31" Type="http://schemas.openxmlformats.org/officeDocument/2006/relationships/hyperlink" Target="https://github.com/bazelbuild/starlark/blob/master/spec.md" TargetMode="External"/><Relationship Id="rId32" Type="http://schemas.openxmlformats.org/officeDocument/2006/relationships/hyperlink" Target="https://github.com/go-go-golems/tiny-idp/blob/d164ae59408bdd8bc21516274b446339b1761b1e/pkg/idpprogram/lambda.go" TargetMode="External"/><Relationship Id="rId33" Type="http://schemas.openxmlformats.org/officeDocument/2006/relationships/hyperlink" Target="https://koka-lang.github.io/koka/doc/book.html" TargetMode="External"/><Relationship Id="rId34" Type="http://schemas.openxmlformats.org/officeDocument/2006/relationships/hyperlink" Target="https://github.com/tc39/proposal-shadowrealm" TargetMode="External"/><Relationship Id="rId35" Type="http://schemas.openxmlformats.org/officeDocument/2006/relationships/hyperlink" Target="https://docs.restate.dev/foundations/key-concepts" TargetMode="External"/><Relationship Id="rId36" Type="http://schemas.openxmlformats.org/officeDocument/2006/relationships/hyperlink" Target="https://docs.restate.dev/develop/go/concurrent-tasks" TargetMode="External"/><Relationship Id="rId37" Type="http://schemas.openxmlformats.org/officeDocument/2006/relationships/hyperlink" Target="https://github.com/go-go-golems/tiny-idp/blob/d164ae59408bdd8bc21516274b446339b1761b1e/internal/gojamodules/tinyidp/module.go" TargetMode="External"/><Relationship Id="rId38" Type="http://schemas.openxmlformats.org/officeDocument/2006/relationships/hyperlink" Target="https://github.com/go-go-golems/tiny-idp/blob/d164ae59408bdd8bc21516274b446339b1761b1e/pkg/idpprogram/outcomes.go" TargetMode="External"/><Relationship Id="rId39" Type="http://schemas.openxmlformats.org/officeDocument/2006/relationships/hyperlink" Target="https://docs.wasmtime.dev/api/wasmtime/struct.Config.html" TargetMode="External"/><Relationship Id="rId40" Type="http://schemas.openxmlformats.org/officeDocument/2006/relationships/hyperlink" Target="https://docs.kernel.org/bpf/verifier.html" TargetMode="External"/><Relationship Id="rId41" Type="http://schemas.openxmlformats.org/officeDocument/2006/relationships/hyperlink" Target="https://bellard.org/quickjs/quickjs.html" TargetMode="External"/><Relationship Id="rId42" Type="http://schemas.openxmlformats.org/officeDocument/2006/relationships/hyperlink" Target="https://github.com/go-go-golems/tiny-idp/blob/d164ae59408bdd8bc21516274b446339b1761b1e/pkg/idpscript/pool.go" TargetMode="External"/><Relationship Id="rId43" Type="http://schemas.openxmlformats.org/officeDocument/2006/relationships/hyperlink" Target="https://github.com/dop251/goja/blob/af2ceb9156d7feaff65273b8bfde778077fb4b7e/vm.go" TargetMode="External"/><Relationship Id="rId44" Type="http://schemas.openxmlformats.org/officeDocument/2006/relationships/hyperlink" Target="https://mlir.llvm.org/docs/Interfaces/" TargetMode="External"/><Relationship Id="rId45" Type="http://schemas.openxmlformats.org/officeDocument/2006/relationships/hyperlink" Target="https://component-model.bytecodealliance.org/design/worlds.html" TargetMode="External"/><Relationship Id="rId46" Type="http://schemas.openxmlformats.org/officeDocument/2006/relationships/hyperlink" Target="https://component-model.bytecodealliance.org/design/wit.html" TargetMode="External"/><Relationship Id="rId47" Type="http://schemas.openxmlformats.org/officeDocument/2006/relationships/hyperlink" Target="https://github.com/dop251/goja/blob/af2ceb9156d7feaff65273b8bfde778077fb4b7e/ast/node.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Malleable JavaScript for Assurance-Oriented Systems</dc:title>
  <dc:subject>Interpreter and compiler design study for Tiny-IDP and reusable plugin systems</dc:subject>
  <dc:creator>Research and design analysis</dc:creator>
  <cp:keywords>Goja, JavaScript, interpreter, compiler, continuations, capabilities, effects, Tiny-IDP, verification, plugin platform</cp:keywords>
  <dc:description>Source snapshot: tiny-idp d164ae59408bdd8bc21516274b446339b1761b1e; Goja af2ceb9156d7feaff65273b8bfde778077fb4b7e.</dc:description>
  <cp:lastModifiedBy/>
  <cp:revision>1</cp:revision>
  <dcterms:created xsi:type="dcterms:W3CDTF">2013-12-23T23:15:00Z</dcterms:created>
  <dcterms:modified xsi:type="dcterms:W3CDTF">2013-12-23T23:15:00Z</dcterms:modified>
  <cp:category/>
</cp:coreProperties>
</file>