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465399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1C0E57EA0C64BDB9C1EA9F28EE73E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Санкт-петербургский Академический университет</w:t>
                    </w:r>
                  </w:p>
                </w:tc>
              </w:sdtContent>
            </w:sdt>
          </w:tr>
          <w:tr w:rsidR="00EC4F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E9710782ECCF4281A3323B42164D9F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C4FE6" w:rsidRDefault="0015219D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2</w:t>
                    </w:r>
                  </w:p>
                </w:tc>
              </w:sdtContent>
            </w:sdt>
          </w:tr>
          <w:tr w:rsidR="00EC4FE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4FE6" w:rsidRDefault="00EC4FE6" w:rsidP="00C8286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C4F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C4FE6" w:rsidRDefault="00EC4FE6">
                <w:pPr>
                  <w:pStyle w:val="a3"/>
                  <w:jc w:val="center"/>
                </w:pPr>
              </w:p>
            </w:tc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CA4E001CCF84C32861D0B2191AA68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EC4FE6">
                      <w:rPr>
                        <w:b/>
                        <w:bCs/>
                      </w:rPr>
                      <w:t>Бандурин</w:t>
                    </w:r>
                    <w:proofErr w:type="spellEnd"/>
                    <w:r w:rsidRPr="00EC4FE6">
                      <w:rPr>
                        <w:b/>
                        <w:bCs/>
                      </w:rPr>
                      <w:t xml:space="preserve"> Д.В. Группа 504 (SE)</w:t>
                    </w:r>
                  </w:p>
                </w:tc>
              </w:sdtContent>
            </w:sdt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061655D8765D46DD8C2AB45AB5FCB2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1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C4FE6" w:rsidRDefault="0015219D" w:rsidP="001521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</w:t>
                    </w:r>
                    <w:r w:rsidR="00EC4FE6">
                      <w:rPr>
                        <w:b/>
                        <w:bCs/>
                      </w:rPr>
                      <w:t>.11.2011</w:t>
                    </w:r>
                  </w:p>
                </w:tc>
              </w:sdtContent>
            </w:sdt>
          </w:tr>
        </w:tbl>
        <w:p w:rsidR="00EC4FE6" w:rsidRDefault="00EC4FE6"/>
        <w:p w:rsidR="00EC4FE6" w:rsidRDefault="00EC4F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c>
              <w:tcPr>
                <w:tcW w:w="5000" w:type="pct"/>
              </w:tcPr>
              <w:p w:rsidR="00EC4FE6" w:rsidRDefault="00EC4FE6" w:rsidP="00EC4FE6">
                <w:pPr>
                  <w:pStyle w:val="a3"/>
                </w:pPr>
              </w:p>
            </w:tc>
          </w:tr>
        </w:tbl>
        <w:p w:rsidR="00EC4FE6" w:rsidRDefault="00EC4FE6"/>
        <w:p w:rsidR="00EC4FE6" w:rsidRDefault="00EC4FE6">
          <w:pPr>
            <w:rPr>
              <w:lang w:eastAsia="ru-RU"/>
            </w:rPr>
          </w:pPr>
          <w:r>
            <w:rPr>
              <w:lang w:eastAsia="ru-RU"/>
            </w:rPr>
            <w:br w:type="page"/>
          </w:r>
        </w:p>
      </w:sdtContent>
    </w:sdt>
    <w:p w:rsidR="005111BA" w:rsidRDefault="005111BA" w:rsidP="005111BA">
      <w:pPr>
        <w:pStyle w:val="1"/>
        <w:rPr>
          <w:lang w:eastAsia="ru-RU"/>
        </w:rPr>
      </w:pPr>
      <w:r>
        <w:rPr>
          <w:lang w:eastAsia="ru-RU"/>
        </w:rPr>
        <w:lastRenderedPageBreak/>
        <w:t>Запросы</w:t>
      </w:r>
    </w:p>
    <w:p w:rsidR="00EC4FE6" w:rsidRPr="00EC4FE6" w:rsidRDefault="00EC4FE6" w:rsidP="00EC4FE6">
      <w:pPr>
        <w:rPr>
          <w:lang w:eastAsia="ru-RU"/>
        </w:rPr>
      </w:pPr>
      <w:r>
        <w:rPr>
          <w:lang w:eastAsia="ru-RU"/>
        </w:rPr>
        <w:t>В лабораторной работе выполн</w:t>
      </w:r>
      <w:r w:rsidR="00C8286D">
        <w:rPr>
          <w:lang w:eastAsia="ru-RU"/>
        </w:rPr>
        <w:t>ялись следующие запросы: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-- 7.4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address of each player resident in Stratford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-- 8.1 Get the player number and the league number of each player resident in Stratford; order the result by league number.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number, the year of birth and the year of joining the club for each player who joined 17 years after he or she was born.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1963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1970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-- 10.18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name of each player who has at least one match for the first team.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numbers, names and years of birth of players who are not amongst the oldest.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</w:t>
      </w:r>
    </w:p>
    <w:p w:rsidR="00EC4FE6" w:rsidRPr="0015219D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incurred more than one penalty.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PN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-- 15.9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played for the same teams as player 57.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P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M1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Matches M2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TeamNo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</w:t>
      </w:r>
    </w:p>
    <w:p w:rsidR="00EC4FE6" w:rsidRPr="0015219D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:rsidR="0015219D" w:rsidRDefault="0015219D" w:rsidP="0015219D">
      <w:r>
        <w:t>Также для имитации работы с материализованными представлениями были созданы таблицы, используя следующие запросы: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Player57TeamMate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PlayersBirthYearANY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Name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VARCHAR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45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PlayersBirthYearIN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PlayersPenalties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StratfordPlayers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Address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VARCHAR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VARCHAR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Team1Players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INTEGER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Name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VARCHAR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45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15219D" w:rsidRDefault="0015219D" w:rsidP="0015219D">
      <w:r>
        <w:t>После выполнения загрузки данных представления заполнялись при помощи следующих запросов: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StratfordPlayers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PlayersBirthYearIN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1962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1963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1970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Team1Players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PlayersBirthYearANY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PlayersPenalties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PN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Player57TeamMate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P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M1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Matches M2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M1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TeamNo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Teams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</w:t>
      </w:r>
    </w:p>
    <w:p w:rsidR="0015219D" w:rsidRPr="0015219D" w:rsidRDefault="0015219D" w:rsidP="00152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:rsidR="0015219D" w:rsidRDefault="0015219D" w:rsidP="0015219D">
      <w:r>
        <w:t>Исходные запросы был переписаны с использованием представлений: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StratfordPlayers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StratfordPlayers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PlayersBirthYearIN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Team1Players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PlayersBirthYearANY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PlayersPenalties</w:t>
      </w:r>
      <w:proofErr w:type="spellEnd"/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15219D" w:rsidRPr="0015219D" w:rsidRDefault="0015219D" w:rsidP="0015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Player57TeamMate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111BA" w:rsidRDefault="005111BA" w:rsidP="005111BA">
      <w:pPr>
        <w:pStyle w:val="1"/>
      </w:pPr>
      <w:r>
        <w:t>Время выполнения запроса</w:t>
      </w:r>
    </w:p>
    <w:p w:rsidR="00C8286D" w:rsidRDefault="00C8286D" w:rsidP="005111BA">
      <w:pPr>
        <w:spacing w:line="240" w:lineRule="auto"/>
      </w:pPr>
      <w:r>
        <w:t>Сводные данные по времени выполнения запросов в зависимости от размера базы данных</w:t>
      </w:r>
      <w:r w:rsidR="0015219D">
        <w:t xml:space="preserve"> для </w:t>
      </w:r>
      <w:r w:rsidR="00FD1A95">
        <w:t>и</w:t>
      </w:r>
      <w:r w:rsidR="0015219D">
        <w:t>сходных запросов</w:t>
      </w:r>
      <w:r>
        <w:t>.</w:t>
      </w:r>
      <w:r w:rsidR="005111BA">
        <w:t xml:space="preserve"> </w:t>
      </w:r>
    </w:p>
    <w:p w:rsidR="005111BA" w:rsidRPr="005111BA" w:rsidRDefault="005111BA" w:rsidP="005111B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111BA">
        <w:rPr>
          <w:rFonts w:ascii="Arial" w:eastAsia="Times New Roman" w:hAnsi="Arial" w:cs="Arial"/>
          <w:sz w:val="20"/>
          <w:szCs w:val="20"/>
          <w:lang w:eastAsia="ru-RU"/>
        </w:rPr>
        <w:t>“-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“ -</w:t>
      </w:r>
      <w:r w:rsidRPr="005111BA">
        <w:rPr>
          <w:rFonts w:ascii="Arial" w:eastAsia="Times New Roman" w:hAnsi="Arial" w:cs="Arial"/>
          <w:sz w:val="20"/>
          <w:szCs w:val="20"/>
          <w:lang w:eastAsia="ru-RU"/>
        </w:rPr>
        <w:t xml:space="preserve"> получить время выполнения не удалось</w:t>
      </w:r>
    </w:p>
    <w:tbl>
      <w:tblPr>
        <w:tblW w:w="4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0"/>
        <w:gridCol w:w="700"/>
        <w:gridCol w:w="1128"/>
        <w:gridCol w:w="913"/>
      </w:tblGrid>
      <w:tr w:rsidR="005111BA" w:rsidRPr="005111BA" w:rsidTr="005111BA">
        <w:trPr>
          <w:trHeight w:val="255"/>
        </w:trPr>
        <w:tc>
          <w:tcPr>
            <w:tcW w:w="919" w:type="dxa"/>
            <w:vMerge w:val="restart"/>
            <w:shd w:val="clear" w:color="auto" w:fill="auto"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441" w:type="dxa"/>
            <w:gridSpan w:val="4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выполнения.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vMerge/>
            <w:vAlign w:val="center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1740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1627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1578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12919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627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</w:tbl>
    <w:p w:rsidR="0015219D" w:rsidRDefault="0015219D" w:rsidP="005111BA">
      <w:pPr>
        <w:spacing w:line="240" w:lineRule="auto"/>
      </w:pPr>
      <w:r>
        <w:t xml:space="preserve">Для запросов к таблицам </w:t>
      </w:r>
      <w:r w:rsidR="00FD1A95">
        <w:t>«</w:t>
      </w:r>
      <w:r>
        <w:t>материализованных представлений</w:t>
      </w:r>
      <w:r w:rsidR="00FD1A95">
        <w:t>»</w:t>
      </w:r>
      <w:r>
        <w:t>.</w:t>
      </w:r>
    </w:p>
    <w:tbl>
      <w:tblPr>
        <w:tblW w:w="4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860"/>
        <w:gridCol w:w="640"/>
        <w:gridCol w:w="880"/>
        <w:gridCol w:w="820"/>
      </w:tblGrid>
      <w:tr w:rsidR="0015219D" w:rsidRPr="0015219D" w:rsidTr="0015219D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200" w:type="dxa"/>
            <w:gridSpan w:val="4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выполнения.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vMerge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1049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465</w:t>
            </w:r>
          </w:p>
        </w:tc>
      </w:tr>
      <w:tr w:rsidR="0015219D" w:rsidRPr="0015219D" w:rsidTr="0015219D">
        <w:trPr>
          <w:trHeight w:val="25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15219D" w:rsidRPr="0015219D" w:rsidRDefault="0015219D" w:rsidP="001521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521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</w:tr>
    </w:tbl>
    <w:p w:rsidR="0015219D" w:rsidRDefault="0015219D" w:rsidP="005111BA">
      <w:pPr>
        <w:spacing w:line="240" w:lineRule="auto"/>
      </w:pPr>
    </w:p>
    <w:p w:rsidR="005111BA" w:rsidRDefault="005111BA" w:rsidP="005111BA">
      <w:pPr>
        <w:spacing w:line="240" w:lineRule="auto"/>
      </w:pPr>
      <w:r>
        <w:t xml:space="preserve">На основе данных строим </w:t>
      </w:r>
      <w:r w:rsidR="00FD1A95">
        <w:t xml:space="preserve"> сводный </w:t>
      </w:r>
      <w:r>
        <w:t>график</w:t>
      </w:r>
    </w:p>
    <w:p w:rsidR="00FD1A95" w:rsidRDefault="00FD1A95" w:rsidP="005111BA">
      <w:pPr>
        <w:spacing w:line="240" w:lineRule="auto"/>
        <w:sectPr w:rsidR="00FD1A95" w:rsidSect="00EC4FE6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FD1A95" w:rsidRDefault="00FD1A95" w:rsidP="00FD1A95">
      <w:pPr>
        <w:spacing w:line="240" w:lineRule="auto"/>
        <w:sectPr w:rsidR="00FD1A95" w:rsidSect="00FD1A95">
          <w:pgSz w:w="16838" w:h="11906" w:orient="landscape"/>
          <w:pgMar w:top="426" w:right="1134" w:bottom="851" w:left="1134" w:header="709" w:footer="709" w:gutter="0"/>
          <w:pgNumType w:start="0"/>
          <w:cols w:space="708"/>
          <w:titlePg/>
          <w:docGrid w:linePitch="360"/>
        </w:sect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CB272B3" wp14:editId="04E70111">
            <wp:extent cx="9316529" cy="6668219"/>
            <wp:effectExtent l="0" t="0" r="18415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46CA8" w:rsidRDefault="00FD1A95" w:rsidP="00346CA8">
      <w:pPr>
        <w:pStyle w:val="1"/>
      </w:pPr>
      <w:r>
        <w:lastRenderedPageBreak/>
        <w:t>Выводы</w:t>
      </w:r>
    </w:p>
    <w:p w:rsidR="00FD1A95" w:rsidRDefault="00FD1A95" w:rsidP="00FD1A95">
      <w:r>
        <w:t>Поскольку изначальное задание было переформулировано, то ответить на первый вопрос</w:t>
      </w:r>
    </w:p>
    <w:p w:rsidR="00FD1A95" w:rsidRDefault="00FD1A95" w:rsidP="00FD1A9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Использование каких представлений позволяет улучшить время </w:t>
      </w:r>
      <w:proofErr w:type="gramStart"/>
      <w:r>
        <w:t>выполнения</w:t>
      </w:r>
      <w:proofErr w:type="gramEnd"/>
      <w:r>
        <w:t xml:space="preserve"> каких запросов (составить таблицу)?</w:t>
      </w:r>
    </w:p>
    <w:p w:rsidR="00FD1A95" w:rsidRDefault="00FD1A95" w:rsidP="00FD1A95">
      <w:r>
        <w:t>не  представляется возможным.</w:t>
      </w:r>
    </w:p>
    <w:p w:rsidR="00FD1A95" w:rsidRDefault="00FD1A95" w:rsidP="00FD1A95">
      <w:r>
        <w:t xml:space="preserve">Созданные нами представления ускоряют выполнение </w:t>
      </w:r>
      <w:r w:rsidR="00E40E13">
        <w:t xml:space="preserve">всех </w:t>
      </w:r>
      <w:r>
        <w:t xml:space="preserve">запросов. </w:t>
      </w:r>
      <w:r w:rsidR="00E40E13">
        <w:t xml:space="preserve">Незначительное замедление запросов 7.4, 10.18, 10.12 при первом уровне заполнения являются погрешностью вносимой внешними условиями. </w:t>
      </w:r>
      <w:r>
        <w:t xml:space="preserve">Также после создания материализованных представлений </w:t>
      </w:r>
      <w:r w:rsidR="00E40E13">
        <w:t>удалось</w:t>
      </w:r>
      <w:r>
        <w:t xml:space="preserve"> </w:t>
      </w:r>
      <w:r w:rsidR="00E40E13">
        <w:t xml:space="preserve">получить результаты для </w:t>
      </w:r>
      <w:r>
        <w:t>за</w:t>
      </w:r>
      <w:r w:rsidR="00E40E13">
        <w:t>просов, которые не возможно было выполнить на исходных таблицах при заполнении 3 и 4(Запросы 10.18, 10.23, 15.3, 15.9).</w:t>
      </w:r>
    </w:p>
    <w:p w:rsidR="00E40E13" w:rsidRDefault="00E40E13" w:rsidP="00E40E1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При  какой  наполненности  базы  целесообразно  </w:t>
      </w:r>
      <w:r>
        <w:t xml:space="preserve">использовать  представления  в </w:t>
      </w:r>
      <w:r>
        <w:t>запросах?</w:t>
      </w:r>
    </w:p>
    <w:p w:rsidR="00BF10A0" w:rsidRDefault="00E40E13" w:rsidP="00E40E13">
      <w:r>
        <w:t xml:space="preserve">Чтобы ответить на этот вопрос необходимо проанализировать не только время выполнения и результирующую выборку. </w:t>
      </w:r>
    </w:p>
    <w:p w:rsidR="00D91198" w:rsidRDefault="00E40E13" w:rsidP="00E40E13">
      <w:r>
        <w:t>В нашем случае целесообразно использовать материализованные представления</w:t>
      </w:r>
      <w:r w:rsidR="00BF10A0">
        <w:t>,</w:t>
      </w:r>
      <w:r>
        <w:t xml:space="preserve"> начиная с 3 уровня заполнения, </w:t>
      </w:r>
      <w:r w:rsidR="00BF10A0">
        <w:t>т</w:t>
      </w:r>
      <w:r>
        <w:t xml:space="preserve">ак как для 1 и 2 уровня мы можем получить </w:t>
      </w:r>
      <w:r w:rsidR="00BF10A0">
        <w:t>результаты за приемлемое время</w:t>
      </w:r>
      <w:r w:rsidR="00D91198">
        <w:t xml:space="preserve"> без дополнительных издержек</w:t>
      </w:r>
      <w:r w:rsidR="00BF10A0">
        <w:t xml:space="preserve">. При этом для запросов </w:t>
      </w:r>
      <w:r w:rsidR="00BF10A0">
        <w:t>10.18, 10.23, 15.3, 15.9</w:t>
      </w:r>
      <w:r w:rsidR="00BF10A0">
        <w:t xml:space="preserve"> создание представления существенно ускоряет время выполнения запроса</w:t>
      </w:r>
      <w:r w:rsidR="00D91198">
        <w:t xml:space="preserve"> при 3 и 4 уровнях заполнения</w:t>
      </w:r>
      <w:r w:rsidR="00BF10A0">
        <w:t xml:space="preserve">. </w:t>
      </w:r>
    </w:p>
    <w:p w:rsidR="00E40E13" w:rsidRDefault="00BF10A0" w:rsidP="00E40E13">
      <w:r>
        <w:t xml:space="preserve">При принятии решении о создании материализованного представления необходимо учитывать факт дублирования данных (увеличиваются издержки по объему хранения) и необходимости синхронизации данных (актуальность данных). </w:t>
      </w:r>
    </w:p>
    <w:p w:rsidR="00BF10A0" w:rsidRDefault="00BF10A0" w:rsidP="00E40E13">
      <w:r>
        <w:t xml:space="preserve">Не маловажным фактором является селективность мат. представления относительно исходных таблиц. В запросах </w:t>
      </w:r>
      <w:r>
        <w:t xml:space="preserve">7.4, </w:t>
      </w:r>
      <w:r>
        <w:t xml:space="preserve">8.1, </w:t>
      </w:r>
      <w:r>
        <w:t>10.18, 10.12</w:t>
      </w:r>
      <w:r>
        <w:t xml:space="preserve"> и 15.9 количество данных</w:t>
      </w:r>
      <w:r w:rsidR="00D91198">
        <w:t xml:space="preserve"> в</w:t>
      </w:r>
      <w:r>
        <w:t xml:space="preserve"> </w:t>
      </w:r>
      <w:r w:rsidR="00D91198">
        <w:t xml:space="preserve">мат. </w:t>
      </w:r>
      <w:r w:rsidR="00D91198">
        <w:t>представлениях было одинаково и н</w:t>
      </w:r>
      <w:r>
        <w:t xml:space="preserve">е зависело от заполнения исходных таблиц, поэтому и время выборки находится на примерно одном уровне. Обобщая это наблюдение можно сказать, что если селективность мат. представления </w:t>
      </w:r>
      <w:r w:rsidR="00D91198">
        <w:t>является очень малой величиной, то его создание целесообразно и существенно ускорит время выполнения запроса. При большом значении селективности создание мат. представлений может быть не целесообразными  и необходимо рассмотреть другие варианты оптимизации.</w:t>
      </w:r>
    </w:p>
    <w:sectPr w:rsidR="00BF10A0" w:rsidSect="00EC4FE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6F3F"/>
    <w:multiLevelType w:val="hybridMultilevel"/>
    <w:tmpl w:val="1AF6D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D"/>
    <w:rsid w:val="000A0297"/>
    <w:rsid w:val="000B64F5"/>
    <w:rsid w:val="0015219D"/>
    <w:rsid w:val="001C38BD"/>
    <w:rsid w:val="001F12FB"/>
    <w:rsid w:val="00346CA8"/>
    <w:rsid w:val="005111BA"/>
    <w:rsid w:val="0084016A"/>
    <w:rsid w:val="0092310E"/>
    <w:rsid w:val="00BF10A0"/>
    <w:rsid w:val="00C8286D"/>
    <w:rsid w:val="00D91198"/>
    <w:rsid w:val="00DF27DD"/>
    <w:rsid w:val="00E40E13"/>
    <w:rsid w:val="00EC4FE6"/>
    <w:rsid w:val="00F904DF"/>
    <w:rsid w:val="00F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FD1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FD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B\lab2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 запроса к исходным таблицам и материализованным представлениям 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Лист3!$A$3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View</c:v>
                  </c:pt>
                  <c:pt idx="1">
                    <c:v>Table</c:v>
                  </c:pt>
                  <c:pt idx="2">
                    <c:v>View</c:v>
                  </c:pt>
                  <c:pt idx="3">
                    <c:v>Table</c:v>
                  </c:pt>
                  <c:pt idx="4">
                    <c:v>View</c:v>
                  </c:pt>
                  <c:pt idx="5">
                    <c:v>Table</c:v>
                  </c:pt>
                  <c:pt idx="6">
                    <c:v>View</c:v>
                  </c:pt>
                  <c:pt idx="7">
                    <c:v>Table</c:v>
                  </c:pt>
                  <c:pt idx="8">
                    <c:v>View</c:v>
                  </c:pt>
                  <c:pt idx="9">
                    <c:v>Table</c:v>
                  </c:pt>
                  <c:pt idx="10">
                    <c:v>View</c:v>
                  </c:pt>
                  <c:pt idx="11">
                    <c:v>Table</c:v>
                  </c:pt>
                  <c:pt idx="12">
                    <c:v>View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Лист3!$B$3:$O$3</c:f>
              <c:numCache>
                <c:formatCode>General</c:formatCode>
                <c:ptCount val="14"/>
                <c:pt idx="0">
                  <c:v>24</c:v>
                </c:pt>
                <c:pt idx="1">
                  <c:v>21</c:v>
                </c:pt>
                <c:pt idx="2">
                  <c:v>41</c:v>
                </c:pt>
                <c:pt idx="3">
                  <c:v>55</c:v>
                </c:pt>
                <c:pt idx="4">
                  <c:v>51</c:v>
                </c:pt>
                <c:pt idx="5">
                  <c:v>44</c:v>
                </c:pt>
                <c:pt idx="6">
                  <c:v>125</c:v>
                </c:pt>
                <c:pt idx="7">
                  <c:v>48</c:v>
                </c:pt>
                <c:pt idx="8">
                  <c:v>15</c:v>
                </c:pt>
                <c:pt idx="9">
                  <c:v>61</c:v>
                </c:pt>
                <c:pt idx="10">
                  <c:v>22</c:v>
                </c:pt>
                <c:pt idx="11">
                  <c:v>94</c:v>
                </c:pt>
                <c:pt idx="12">
                  <c:v>67</c:v>
                </c:pt>
                <c:pt idx="13">
                  <c:v>200</c:v>
                </c:pt>
              </c:numCache>
            </c:numRef>
          </c:val>
        </c:ser>
        <c:ser>
          <c:idx val="1"/>
          <c:order val="1"/>
          <c:tx>
            <c:strRef>
              <c:f>Лист3!$A$4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View</c:v>
                  </c:pt>
                  <c:pt idx="1">
                    <c:v>Table</c:v>
                  </c:pt>
                  <c:pt idx="2">
                    <c:v>View</c:v>
                  </c:pt>
                  <c:pt idx="3">
                    <c:v>Table</c:v>
                  </c:pt>
                  <c:pt idx="4">
                    <c:v>View</c:v>
                  </c:pt>
                  <c:pt idx="5">
                    <c:v>Table</c:v>
                  </c:pt>
                  <c:pt idx="6">
                    <c:v>View</c:v>
                  </c:pt>
                  <c:pt idx="7">
                    <c:v>Table</c:v>
                  </c:pt>
                  <c:pt idx="8">
                    <c:v>View</c:v>
                  </c:pt>
                  <c:pt idx="9">
                    <c:v>Table</c:v>
                  </c:pt>
                  <c:pt idx="10">
                    <c:v>View</c:v>
                  </c:pt>
                  <c:pt idx="11">
                    <c:v>Table</c:v>
                  </c:pt>
                  <c:pt idx="12">
                    <c:v>View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Лист3!$B$4:$O$4</c:f>
              <c:numCache>
                <c:formatCode>General</c:formatCode>
                <c:ptCount val="14"/>
                <c:pt idx="0">
                  <c:v>10</c:v>
                </c:pt>
                <c:pt idx="1">
                  <c:v>83</c:v>
                </c:pt>
                <c:pt idx="2">
                  <c:v>57</c:v>
                </c:pt>
                <c:pt idx="3">
                  <c:v>90</c:v>
                </c:pt>
                <c:pt idx="4">
                  <c:v>25</c:v>
                </c:pt>
                <c:pt idx="5">
                  <c:v>24</c:v>
                </c:pt>
                <c:pt idx="6">
                  <c:v>39</c:v>
                </c:pt>
                <c:pt idx="7">
                  <c:v>72</c:v>
                </c:pt>
                <c:pt idx="8">
                  <c:v>109</c:v>
                </c:pt>
                <c:pt idx="9">
                  <c:v>122</c:v>
                </c:pt>
                <c:pt idx="10">
                  <c:v>29</c:v>
                </c:pt>
                <c:pt idx="11">
                  <c:v>641</c:v>
                </c:pt>
                <c:pt idx="12">
                  <c:v>34</c:v>
                </c:pt>
                <c:pt idx="13">
                  <c:v>627</c:v>
                </c:pt>
              </c:numCache>
            </c:numRef>
          </c:val>
        </c:ser>
        <c:ser>
          <c:idx val="2"/>
          <c:order val="2"/>
          <c:tx>
            <c:strRef>
              <c:f>Лист3!$A$5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View</c:v>
                  </c:pt>
                  <c:pt idx="1">
                    <c:v>Table</c:v>
                  </c:pt>
                  <c:pt idx="2">
                    <c:v>View</c:v>
                  </c:pt>
                  <c:pt idx="3">
                    <c:v>Table</c:v>
                  </c:pt>
                  <c:pt idx="4">
                    <c:v>View</c:v>
                  </c:pt>
                  <c:pt idx="5">
                    <c:v>Table</c:v>
                  </c:pt>
                  <c:pt idx="6">
                    <c:v>View</c:v>
                  </c:pt>
                  <c:pt idx="7">
                    <c:v>Table</c:v>
                  </c:pt>
                  <c:pt idx="8">
                    <c:v>View</c:v>
                  </c:pt>
                  <c:pt idx="9">
                    <c:v>Table</c:v>
                  </c:pt>
                  <c:pt idx="10">
                    <c:v>View</c:v>
                  </c:pt>
                  <c:pt idx="11">
                    <c:v>Table</c:v>
                  </c:pt>
                  <c:pt idx="12">
                    <c:v>View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Лист3!$B$5:$O$5</c:f>
              <c:numCache>
                <c:formatCode>General</c:formatCode>
                <c:ptCount val="14"/>
                <c:pt idx="0">
                  <c:v>15</c:v>
                </c:pt>
                <c:pt idx="1">
                  <c:v>410</c:v>
                </c:pt>
                <c:pt idx="2">
                  <c:v>86</c:v>
                </c:pt>
                <c:pt idx="3">
                  <c:v>402</c:v>
                </c:pt>
                <c:pt idx="4">
                  <c:v>34</c:v>
                </c:pt>
                <c:pt idx="5">
                  <c:v>392</c:v>
                </c:pt>
                <c:pt idx="6">
                  <c:v>53</c:v>
                </c:pt>
                <c:pt idx="7">
                  <c:v>12919</c:v>
                </c:pt>
                <c:pt idx="8">
                  <c:v>421</c:v>
                </c:pt>
                <c:pt idx="9">
                  <c:v>0</c:v>
                </c:pt>
                <c:pt idx="10">
                  <c:v>125</c:v>
                </c:pt>
                <c:pt idx="11">
                  <c:v>0</c:v>
                </c:pt>
                <c:pt idx="12">
                  <c:v>49</c:v>
                </c:pt>
                <c:pt idx="13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Лист3!$A$6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View</c:v>
                  </c:pt>
                  <c:pt idx="1">
                    <c:v>Table</c:v>
                  </c:pt>
                  <c:pt idx="2">
                    <c:v>View</c:v>
                  </c:pt>
                  <c:pt idx="3">
                    <c:v>Table</c:v>
                  </c:pt>
                  <c:pt idx="4">
                    <c:v>View</c:v>
                  </c:pt>
                  <c:pt idx="5">
                    <c:v>Table</c:v>
                  </c:pt>
                  <c:pt idx="6">
                    <c:v>View</c:v>
                  </c:pt>
                  <c:pt idx="7">
                    <c:v>Table</c:v>
                  </c:pt>
                  <c:pt idx="8">
                    <c:v>View</c:v>
                  </c:pt>
                  <c:pt idx="9">
                    <c:v>Table</c:v>
                  </c:pt>
                  <c:pt idx="10">
                    <c:v>View</c:v>
                  </c:pt>
                  <c:pt idx="11">
                    <c:v>Table</c:v>
                  </c:pt>
                  <c:pt idx="12">
                    <c:v>View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Лист3!$B$6:$O$6</c:f>
              <c:numCache>
                <c:formatCode>General</c:formatCode>
                <c:ptCount val="14"/>
                <c:pt idx="0">
                  <c:v>43</c:v>
                </c:pt>
                <c:pt idx="1">
                  <c:v>1740</c:v>
                </c:pt>
                <c:pt idx="2">
                  <c:v>59</c:v>
                </c:pt>
                <c:pt idx="3">
                  <c:v>1627</c:v>
                </c:pt>
                <c:pt idx="4">
                  <c:v>39</c:v>
                </c:pt>
                <c:pt idx="5">
                  <c:v>1578</c:v>
                </c:pt>
                <c:pt idx="6">
                  <c:v>44</c:v>
                </c:pt>
                <c:pt idx="7">
                  <c:v>0</c:v>
                </c:pt>
                <c:pt idx="8">
                  <c:v>1049</c:v>
                </c:pt>
                <c:pt idx="9">
                  <c:v>0</c:v>
                </c:pt>
                <c:pt idx="10">
                  <c:v>465</c:v>
                </c:pt>
                <c:pt idx="11">
                  <c:v>0</c:v>
                </c:pt>
                <c:pt idx="12">
                  <c:v>41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497408"/>
        <c:axId val="136925184"/>
      </c:barChart>
      <c:catAx>
        <c:axId val="136497408"/>
        <c:scaling>
          <c:orientation val="minMax"/>
        </c:scaling>
        <c:delete val="0"/>
        <c:axPos val="b"/>
        <c:majorTickMark val="none"/>
        <c:minorTickMark val="none"/>
        <c:tickLblPos val="nextTo"/>
        <c:crossAx val="136925184"/>
        <c:crosses val="autoZero"/>
        <c:auto val="1"/>
        <c:lblAlgn val="ctr"/>
        <c:lblOffset val="100"/>
        <c:noMultiLvlLbl val="0"/>
      </c:catAx>
      <c:valAx>
        <c:axId val="136925184"/>
        <c:scaling>
          <c:orientation val="minMax"/>
          <c:max val="18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64974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0E57EA0C64BDB9C1EA9F28EE73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01882-4176-406F-BA0B-F115E2F7EF17}"/>
      </w:docPartPr>
      <w:docPartBody>
        <w:p w:rsidR="00FB59A1" w:rsidRDefault="00911AA1" w:rsidP="00911AA1">
          <w:pPr>
            <w:pStyle w:val="A1C0E57EA0C64BDB9C1EA9F28EE73E80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9710782ECCF4281A3323B42164D9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126E-5039-41BE-803B-F8F6C9ED8383}"/>
      </w:docPartPr>
      <w:docPartBody>
        <w:p w:rsidR="00FB59A1" w:rsidRDefault="00911AA1" w:rsidP="00911AA1">
          <w:pPr>
            <w:pStyle w:val="E9710782ECCF4281A3323B42164D9F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CA4E001CCF84C32861D0B2191AA68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8B330-090F-4EAF-94B1-8C9CF87FB59E}"/>
      </w:docPartPr>
      <w:docPartBody>
        <w:p w:rsidR="00FB59A1" w:rsidRDefault="00911AA1" w:rsidP="00911AA1">
          <w:pPr>
            <w:pStyle w:val="7CA4E001CCF84C32861D0B2191AA683A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A1"/>
    <w:rsid w:val="00067019"/>
    <w:rsid w:val="00911AA1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F583C-49A7-4DF1-BD93-A7837EE0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Санкт-петербургский Академический университет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Бандурин Д.В. Группа 504 (SE)</dc:creator>
  <cp:keywords/>
  <dc:description/>
  <cp:lastModifiedBy>Luckyman</cp:lastModifiedBy>
  <cp:revision>5</cp:revision>
  <dcterms:created xsi:type="dcterms:W3CDTF">2011-11-27T14:43:00Z</dcterms:created>
  <dcterms:modified xsi:type="dcterms:W3CDTF">2011-12-04T23:36:00Z</dcterms:modified>
</cp:coreProperties>
</file>