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left"/>
      </w:pPr>
      <w:r>
        <w:rPr>
          <w:b/>
          <w:bCs/>
          <w:color w:val="1B3A8F"/>
          <w:sz w:val="52"/>
          <w:szCs w:val="52"/>
        </w:rPr>
        <w:t xml:space="preserve">Estate Trace CRM</w:t>
      </w:r>
    </w:p>
    <w:p>
      <w:pPr>
        <w:spacing w:after="60"/>
      </w:pPr>
      <w:r>
        <w:rPr>
          <w:color w:val="1B212B"/>
          <w:sz w:val="30"/>
          <w:szCs w:val="30"/>
        </w:rPr>
        <w:t xml:space="preserve">Build Proposal</w:t>
      </w:r>
    </w:p>
    <w:p>
      <w:pPr>
        <w:pBdr>
          <w:bottom w:val="single" w:color="3B5BDB" w:sz="12" w:space="8"/>
        </w:pBdr>
        <w:spacing w:after="240"/>
      </w:pPr>
      <w:r>
        <w:rPr>
          <w:i/>
          <w:iCs/>
          <w:color w:val="5C6675"/>
          <w:sz w:val="22"/>
          <w:szCs w:val="22"/>
        </w:rPr>
        <w:t xml:space="preserve">An operations platform for an heir-tracing firm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Estate Trace CRM manages the full chain of an heir-tracing operation: from an empty property surfacing, through tracing the deceased and their living heirs, to engaging those heirs, claiming the estate, and settling commission with the referrer who sourced the lead.</w:t>
      </w:r>
    </w:p>
    <w:p>
      <w:pPr>
        <w:spacing w:after="120"/>
      </w:pPr>
      <w:r>
        <w:rPr>
          <w:sz w:val="22"/>
          <w:szCs w:val="22"/>
        </w:rPr>
        <w:t xml:space="preserve">A clickable prototype, built from our understanding of the app, is available here: </w:t>
      </w:r>
      <w:hyperlink w:history="1" r:id="rIdgo4g04unvqjes9quf7v4g">
        <w:r>
          <w:rPr>
            <w:rStyle w:val="Hyperlink"/>
            <w:sz w:val="22"/>
            <w:szCs w:val="22"/>
          </w:rPr>
          <w:t xml:space="preserve">estate-trace-crm.vercel.app</w:t>
        </w:r>
      </w:hyperlink>
      <w:r>
        <w:rPr>
          <w:sz w:val="22"/>
          <w:szCs w:val="22"/>
        </w:rPr>
        <w:t xml:space="preserve">.</w:t>
      </w:r>
    </w:p>
    <w:p>
      <w:pPr>
        <w:spacing w:after="80"/>
      </w:pPr>
      <w:r>
        <w:rPr>
          <w:sz w:val="22"/>
          <w:szCs w:val="22"/>
        </w:rPr>
        <w:t xml:space="preserve">Switch roles in the top bar to see the access model in action. The revenue figures are computed live from the same formulas the production system will use.</w:t>
      </w:r>
    </w:p>
    <w:p>
      <w:pPr>
        <w:pStyle w:val="Heading1"/>
      </w:pPr>
      <w:r>
        <w:t xml:space="preserve">System architecture</w:t>
      </w:r>
    </w:p>
    <w:p>
      <w:pPr>
        <w:spacing w:after="120"/>
      </w:pPr>
      <w:r>
        <w:rPr>
          <w:sz w:val="22"/>
          <w:szCs w:val="22"/>
        </w:rPr>
        <w:t xml:space="preserve">One role-aware web application over a Postgres database, with access control enforced in the data layer. Five tiers:</w:t>
      </w:r>
    </w:p>
    <w:tbl>
      <w:tblPr>
        <w:tblW w:type="dxa" w:w="9026"/>
        <w:tblBorders>
          <w:top w:val="single" w:color="D6D9E2" w:sz="4"/>
          <w:left w:val="single" w:color="D6D9E2" w:sz="4"/>
          <w:bottom w:val="single" w:color="D6D9E2" w:sz="4"/>
          <w:right w:val="single" w:color="D6D9E2" w:sz="4"/>
          <w:insideH w:val="single" w:color="D6D9E2" w:sz="4"/>
          <w:insideV w:val="single" w:color="D6D9E2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1B3A8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926"/>
            <w:shd w:fill="1B3A8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1B212B"/>
                <w:sz w:val="21"/>
                <w:szCs w:val="21"/>
              </w:rPr>
              <w:t xml:space="preserve">Clients</w:t>
            </w:r>
          </w:p>
        </w:tc>
        <w:tc>
          <w:tcPr>
            <w:tcW w:type="dxa" w:w="69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color w:val="1B212B"/>
                <w:sz w:val="21"/>
                <w:szCs w:val="21"/>
              </w:rPr>
              <w:t xml:space="preserve">Internal team, referrer users (locked to their own company) and the public report form — all served by one interface.</w:t>
            </w:r>
          </w:p>
        </w:tc>
      </w:tr>
      <w:tr>
        <w:tc>
          <w:tcPr>
            <w:tcW w:type="dxa" w:w="2100"/>
            <w:shd w:fill="F3F5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1B212B"/>
                <w:sz w:val="21"/>
                <w:szCs w:val="21"/>
              </w:rPr>
              <w:t xml:space="preserve">Frontend</w:t>
            </w:r>
          </w:p>
        </w:tc>
        <w:tc>
          <w:tcPr>
            <w:tcW w:type="dxa" w:w="6926"/>
            <w:shd w:fill="F3F5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color w:val="1B212B"/>
                <w:sz w:val="21"/>
                <w:szCs w:val="21"/>
              </w:rPr>
              <w:t xml:space="preserve">Next.js (App Router, TypeScript, Tailwind), server-rendered, hosted in London. Holds no sensitive logic.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1B212B"/>
                <w:sz w:val="21"/>
                <w:szCs w:val="21"/>
              </w:rPr>
              <w:t xml:space="preserve">Identity &amp; access</w:t>
            </w:r>
          </w:p>
        </w:tc>
        <w:tc>
          <w:tcPr>
            <w:tcW w:type="dxa" w:w="69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color w:val="1B212B"/>
                <w:sz w:val="21"/>
                <w:szCs w:val="21"/>
              </w:rPr>
              <w:t xml:space="preserve">Supabase Auth with TOTP two-factor. The session carries company_id and role; row-level security decides what each request can see.</w:t>
            </w:r>
          </w:p>
        </w:tc>
      </w:tr>
      <w:tr>
        <w:tc>
          <w:tcPr>
            <w:tcW w:type="dxa" w:w="2100"/>
            <w:shd w:fill="F3F5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1B212B"/>
                <w:sz w:val="21"/>
                <w:szCs w:val="21"/>
              </w:rPr>
              <w:t xml:space="preserve">Application</w:t>
            </w:r>
          </w:p>
        </w:tc>
        <w:tc>
          <w:tcPr>
            <w:tcW w:type="dxa" w:w="6926"/>
            <w:shd w:fill="F3F5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color w:val="1B212B"/>
                <w:sz w:val="21"/>
                <w:szCs w:val="21"/>
              </w:rPr>
              <w:t xml:space="preserve">Case and records management, intake and alerts, and the live revenue engine (fees, VAT, referrer commission).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1B212B"/>
                <w:sz w:val="21"/>
                <w:szCs w:val="21"/>
              </w:rPr>
              <w:t xml:space="preserve">Data</w:t>
            </w:r>
          </w:p>
        </w:tc>
        <w:tc>
          <w:tcPr>
            <w:tcW w:type="dxa" w:w="69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color w:val="1B212B"/>
                <w:sz w:val="21"/>
                <w:szCs w:val="21"/>
              </w:rPr>
              <w:t xml:space="preserve">Managed Postgres with RLS by company_id, an isolated case_financials table, an append-only audit log, and London file storage.</w:t>
            </w:r>
          </w:p>
        </w:tc>
      </w:tr>
    </w:tbl>
    <w:p>
      <w:pPr>
        <w:spacing w:after="80" w:before="120"/>
      </w:pPr>
      <w:r>
        <w:rPr>
          <w:i/>
          <w:iCs/>
          <w:color w:val="5C6675"/>
          <w:sz w:val="21"/>
          <w:szCs w:val="21"/>
        </w:rPr>
        <w:t xml:space="preserve">Access rules live in the database, not the interface — so they hold however the data is reached.</w:t>
      </w:r>
    </w:p>
    <w:p>
      <w:pPr>
        <w:pStyle w:val="Heading1"/>
      </w:pPr>
      <w:r>
        <w:t xml:space="preserve">Recommended stack</w:t>
      </w:r>
    </w:p>
    <w:tbl>
      <w:tblPr>
        <w:tblW w:type="dxa" w:w="9026"/>
        <w:tblBorders>
          <w:top w:val="single" w:color="D6D9E2" w:sz="4"/>
          <w:left w:val="single" w:color="D6D9E2" w:sz="4"/>
          <w:bottom w:val="single" w:color="D6D9E2" w:sz="4"/>
          <w:right w:val="single" w:color="D6D9E2" w:sz="4"/>
          <w:insideH w:val="single" w:color="D6D9E2" w:sz="4"/>
          <w:insideV w:val="single" w:color="D6D9E2" w:sz="4"/>
        </w:tblBorders>
      </w:tblPr>
      <w:tblGrid>
        <w:gridCol w:w="2426"/>
        <w:gridCol w:w="3300"/>
        <w:gridCol w:w="3300"/>
      </w:tblGrid>
      <w:tr>
        <w:trPr>
          <w:tblHeader/>
        </w:trPr>
        <w:tc>
          <w:tcPr>
            <w:tcW w:type="dxa" w:w="2426"/>
            <w:shd w:fill="1B3A8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00"/>
            <w:shd w:fill="1B3A8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 1 (recommended)</w:t>
            </w:r>
          </w:p>
        </w:tc>
        <w:tc>
          <w:tcPr>
            <w:tcW w:type="dxa" w:w="3300"/>
            <w:shd w:fill="1B3A8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 2</w:t>
            </w:r>
          </w:p>
        </w:tc>
      </w:tr>
      <w:tr>
        <w:tc>
          <w:tcPr>
            <w:tcW w:type="dxa" w:w="24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1B212B"/>
                <w:sz w:val="21"/>
                <w:szCs w:val="21"/>
              </w:rPr>
              <w:t xml:space="preserve">Frontend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color w:val="1B212B"/>
                <w:sz w:val="21"/>
                <w:szCs w:val="21"/>
              </w:rPr>
              <w:t xml:space="preserve">Next.js (App Router), TypeScript, Tailwind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color w:val="1B212B"/>
                <w:sz w:val="21"/>
                <w:szCs w:val="21"/>
              </w:rPr>
              <w:t xml:space="preserve">Next.js (App Router), TypeScript, Tailwind</w:t>
            </w:r>
          </w:p>
        </w:tc>
      </w:tr>
      <w:tr>
        <w:tc>
          <w:tcPr>
            <w:tcW w:type="dxa" w:w="2426"/>
            <w:shd w:fill="F3F5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1B212B"/>
                <w:sz w:val="21"/>
                <w:szCs w:val="21"/>
              </w:rPr>
              <w:t xml:space="preserve">Backend / data</w:t>
            </w:r>
          </w:p>
        </w:tc>
        <w:tc>
          <w:tcPr>
            <w:tcW w:type="dxa" w:w="3300"/>
            <w:shd w:fill="F3F5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color w:val="1B212B"/>
                <w:sz w:val="21"/>
                <w:szCs w:val="21"/>
              </w:rPr>
              <w:t xml:space="preserve">Supabase (Postgres)</w:t>
            </w:r>
          </w:p>
        </w:tc>
        <w:tc>
          <w:tcPr>
            <w:tcW w:type="dxa" w:w="3300"/>
            <w:shd w:fill="F3F5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color w:val="1B212B"/>
                <w:sz w:val="21"/>
                <w:szCs w:val="21"/>
              </w:rPr>
              <w:t xml:space="preserve">Express (Node.js)</w:t>
            </w:r>
          </w:p>
        </w:tc>
      </w:tr>
      <w:tr>
        <w:tc>
          <w:tcPr>
            <w:tcW w:type="dxa" w:w="24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1B212B"/>
                <w:sz w:val="21"/>
                <w:szCs w:val="21"/>
              </w:rPr>
              <w:t xml:space="preserve">Auth + 2FA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color w:val="1B212B"/>
                <w:sz w:val="21"/>
                <w:szCs w:val="21"/>
              </w:rPr>
              <w:t xml:space="preserve">Supabase Auth with TOTP MFA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color w:val="1B212B"/>
                <w:sz w:val="21"/>
                <w:szCs w:val="21"/>
              </w:rPr>
              <w:t xml:space="preserve">Node.js auth layer</w:t>
            </w:r>
          </w:p>
        </w:tc>
      </w:tr>
      <w:tr>
        <w:tc>
          <w:tcPr>
            <w:tcW w:type="dxa" w:w="2426"/>
            <w:shd w:fill="F3F5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1B212B"/>
                <w:sz w:val="21"/>
                <w:szCs w:val="21"/>
              </w:rPr>
              <w:t xml:space="preserve">File storage</w:t>
            </w:r>
          </w:p>
        </w:tc>
        <w:tc>
          <w:tcPr>
            <w:tcW w:type="dxa" w:w="3300"/>
            <w:shd w:fill="F3F5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color w:val="1B212B"/>
                <w:sz w:val="21"/>
                <w:szCs w:val="21"/>
              </w:rPr>
              <w:t xml:space="preserve">Supabase Storage (London bucket)</w:t>
            </w:r>
          </w:p>
        </w:tc>
        <w:tc>
          <w:tcPr>
            <w:tcW w:type="dxa" w:w="3300"/>
            <w:shd w:fill="F3F5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color w:val="1B212B"/>
                <w:sz w:val="21"/>
                <w:szCs w:val="21"/>
              </w:rPr>
              <w:t xml:space="preserve">AWS S3</w:t>
            </w:r>
          </w:p>
        </w:tc>
      </w:tr>
      <w:tr>
        <w:tc>
          <w:tcPr>
            <w:tcW w:type="dxa" w:w="24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1B212B"/>
                <w:sz w:val="21"/>
                <w:szCs w:val="21"/>
              </w:rPr>
              <w:t xml:space="preserve">Hosting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color w:val="1B212B"/>
                <w:sz w:val="21"/>
                <w:szCs w:val="21"/>
              </w:rPr>
              <w:t xml:space="preserve">Managed Supabase (London)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color w:val="1B212B"/>
                <w:sz w:val="21"/>
                <w:szCs w:val="21"/>
              </w:rPr>
              <w:t xml:space="preserve">AWS</w:t>
            </w:r>
          </w:p>
        </w:tc>
      </w:tr>
    </w:tbl>
    <w:p>
      <w:pPr>
        <w:spacing w:after="80" w:before="120"/>
      </w:pPr>
      <w:r>
        <w:rPr>
          <w:i/>
          <w:iCs/>
          <w:color w:val="5C6675"/>
          <w:sz w:val="21"/>
          <w:szCs w:val="21"/>
        </w:rPr>
        <w:t xml:space="preserve">Both options implement the same architecture. We recommend Option 1 — enforcing isolation in the database is the stronger security story and the faster build.</w:t>
      </w:r>
    </w:p>
    <w:p>
      <w:pPr>
        <w:pStyle w:val="Heading1"/>
      </w:pPr>
      <w:r>
        <w:t xml:space="preserve">Delivery phases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12B"/>
          <w:sz w:val="22"/>
          <w:szCs w:val="22"/>
        </w:rPr>
        <w:t xml:space="preserve">Phase 1 — Foundation and access control.  </w:t>
      </w:r>
      <w:r>
        <w:rPr>
          <w:color w:val="1B212B"/>
          <w:sz w:val="22"/>
          <w:szCs w:val="22"/>
        </w:rPr>
        <w:t xml:space="preserve">Authentication, two-factor, roles, multi-tenant row-level security, and the audit / soft-delete scaffolding.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12B"/>
          <w:sz w:val="22"/>
          <w:szCs w:val="22"/>
        </w:rPr>
        <w:t xml:space="preserve">Phase 2 — Core CRM.  </w:t>
      </w:r>
      <w:r>
        <w:rPr>
          <w:color w:val="1B212B"/>
          <w:sz w:val="22"/>
          <w:szCs w:val="22"/>
        </w:rPr>
        <w:t xml:space="preserve">Cases, properties, deceased, heirs/clients and referrers, with the case workflow across the tracing-to-settling stages.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12B"/>
          <w:sz w:val="22"/>
          <w:szCs w:val="22"/>
        </w:rPr>
        <w:t xml:space="preserve">Phase 3 — Revenue and dashboards.  </w:t>
      </w:r>
      <w:r>
        <w:rPr>
          <w:color w:val="1B212B"/>
          <w:sz w:val="22"/>
          <w:szCs w:val="22"/>
        </w:rPr>
        <w:t xml:space="preserve">The live revenue engine (fees, VAT, commission) and the role-aware dashboards and reports.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12B"/>
          <w:sz w:val="22"/>
          <w:szCs w:val="22"/>
        </w:rPr>
        <w:t xml:space="preserve">Phase 4 — Intake and alerts.  </w:t>
      </w:r>
      <w:r>
        <w:rPr>
          <w:color w:val="1B212B"/>
          <w:sz w:val="22"/>
          <w:szCs w:val="22"/>
        </w:rPr>
        <w:t xml:space="preserve">Public report form, referrer uploads, the intake queue, and follow-up reminders.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12B"/>
          <w:sz w:val="22"/>
          <w:szCs w:val="22"/>
        </w:rPr>
        <w:t xml:space="preserve">Phase 5 — Security and UAT.  </w:t>
      </w:r>
      <w:r>
        <w:rPr>
          <w:color w:val="1B212B"/>
          <w:sz w:val="22"/>
          <w:szCs w:val="22"/>
        </w:rPr>
        <w:t xml:space="preserve">Hardening, security review, user acceptance testing and launch.</w:t>
      </w:r>
    </w:p>
    <w:p>
      <w:pPr>
        <w:pStyle w:val="Heading1"/>
      </w:pPr>
      <w:r>
        <w:t xml:space="preserve">Timeline</w:t>
      </w:r>
    </w:p>
    <w:p>
      <w:pPr>
        <w:spacing w:after="120"/>
      </w:pPr>
      <w:r>
        <w:rPr>
          <w:sz w:val="22"/>
          <w:szCs w:val="22"/>
        </w:rPr>
        <w:t xml:space="preserve">Total estimated timeline is six weeks, including testing and launch.</w:t>
      </w:r>
    </w:p>
    <w:tbl>
      <w:tblPr>
        <w:tblW w:type="dxa" w:w="9026"/>
        <w:tblBorders>
          <w:top w:val="single" w:color="D6D9E2" w:sz="4"/>
          <w:left w:val="single" w:color="D6D9E2" w:sz="4"/>
          <w:bottom w:val="single" w:color="D6D9E2" w:sz="4"/>
          <w:right w:val="single" w:color="D6D9E2" w:sz="4"/>
          <w:insideH w:val="single" w:color="D6D9E2" w:sz="4"/>
          <w:insideV w:val="single" w:color="D6D9E2" w:sz="4"/>
        </w:tblBorders>
      </w:tblPr>
      <w:tblGrid>
        <w:gridCol w:w="6326"/>
        <w:gridCol w:w="2700"/>
      </w:tblGrid>
      <w:tr>
        <w:trPr>
          <w:tblHeader/>
        </w:trPr>
        <w:tc>
          <w:tcPr>
            <w:tcW w:type="dxa" w:w="6326"/>
            <w:shd w:fill="1B3A8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700"/>
            <w:shd w:fill="1B3A8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63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1B212B"/>
                <w:sz w:val="21"/>
                <w:szCs w:val="21"/>
              </w:rPr>
              <w:t xml:space="preserve">Usable system (Phases 1 to 3)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color w:val="1B212B"/>
                <w:sz w:val="21"/>
                <w:szCs w:val="21"/>
              </w:rPr>
              <w:t xml:space="preserve">4 weeks</w:t>
            </w:r>
          </w:p>
        </w:tc>
      </w:tr>
      <w:tr>
        <w:tc>
          <w:tcPr>
            <w:tcW w:type="dxa" w:w="6326"/>
            <w:shd w:fill="F3F5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1B212B"/>
                <w:sz w:val="21"/>
                <w:szCs w:val="21"/>
              </w:rPr>
              <w:t xml:space="preserve">Finalization (Phases 4 and 5)</w:t>
            </w:r>
          </w:p>
        </w:tc>
        <w:tc>
          <w:tcPr>
            <w:tcW w:type="dxa" w:w="2700"/>
            <w:shd w:fill="F3F5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color w:val="1B212B"/>
                <w:sz w:val="21"/>
                <w:szCs w:val="21"/>
              </w:rPr>
              <w:t xml:space="preserve">2 weeks</w:t>
            </w:r>
          </w:p>
        </w:tc>
      </w:tr>
      <w:tr>
        <w:tc>
          <w:tcPr>
            <w:tcW w:type="dxa" w:w="63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1B212B"/>
                <w:sz w:val="21"/>
                <w:szCs w:val="21"/>
              </w:rPr>
              <w:t xml:space="preserve">Total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1B212B"/>
                <w:sz w:val="21"/>
                <w:szCs w:val="21"/>
              </w:rPr>
              <w:t xml:space="preserve">6 weeks</w:t>
            </w:r>
          </w:p>
        </w:tc>
      </w:tr>
    </w:tbl>
    <w:p>
      <w:pPr>
        <w:pStyle w:val="Heading1"/>
      </w:pPr>
      <w:r>
        <w:t xml:space="preserve">Commercials</w:t>
      </w:r>
    </w:p>
    <w:p>
      <w:pPr>
        <w:spacing w:after="120"/>
      </w:pPr>
      <w:r>
        <w:rPr>
          <w:sz w:val="22"/>
          <w:szCs w:val="22"/>
        </w:rPr>
        <w:t xml:space="preserve">A fixed-price quotation for the six-week build, payable against the milestones below.</w:t>
      </w:r>
    </w:p>
    <w:tbl>
      <w:tblPr>
        <w:tblW w:type="dxa" w:w="9026"/>
        <w:tblBorders>
          <w:top w:val="single" w:color="D6D9E2" w:sz="4"/>
          <w:left w:val="single" w:color="D6D9E2" w:sz="4"/>
          <w:bottom w:val="single" w:color="D6D9E2" w:sz="4"/>
          <w:right w:val="single" w:color="D6D9E2" w:sz="4"/>
          <w:insideH w:val="single" w:color="D6D9E2" w:sz="4"/>
          <w:insideV w:val="single" w:color="D6D9E2" w:sz="4"/>
        </w:tblBorders>
      </w:tblPr>
      <w:tblGrid>
        <w:gridCol w:w="3026"/>
        <w:gridCol w:w="4000"/>
        <w:gridCol w:w="2000"/>
      </w:tblGrid>
      <w:tr>
        <w:trPr>
          <w:tblHeader/>
        </w:trPr>
        <w:tc>
          <w:tcPr>
            <w:tcW w:type="dxa" w:w="3026"/>
            <w:shd w:fill="1B3A8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000"/>
            <w:shd w:fill="1B3A8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shd w:fill="1B3A8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30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1B212B"/>
                <w:sz w:val="21"/>
                <w:szCs w:val="21"/>
              </w:rPr>
              <w:t xml:space="preserve">Mobilisation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color w:val="1B212B"/>
                <w:sz w:val="21"/>
                <w:szCs w:val="21"/>
              </w:rPr>
              <w:t xml:space="preserve">On signing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B212B"/>
                <w:sz w:val="21"/>
                <w:szCs w:val="21"/>
              </w:rPr>
              <w:t xml:space="preserve">TBC</w:t>
            </w:r>
          </w:p>
        </w:tc>
      </w:tr>
      <w:tr>
        <w:tc>
          <w:tcPr>
            <w:tcW w:type="dxa" w:w="3026"/>
            <w:shd w:fill="F3F5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1B212B"/>
                <w:sz w:val="21"/>
                <w:szCs w:val="21"/>
              </w:rPr>
              <w:t xml:space="preserve">Usable system</w:t>
            </w:r>
          </w:p>
        </w:tc>
        <w:tc>
          <w:tcPr>
            <w:tcW w:type="dxa" w:w="4000"/>
            <w:shd w:fill="F3F5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color w:val="1B212B"/>
                <w:sz w:val="21"/>
                <w:szCs w:val="21"/>
              </w:rPr>
              <w:t xml:space="preserve">End of Phase 3 (week 4)</w:t>
            </w:r>
          </w:p>
        </w:tc>
        <w:tc>
          <w:tcPr>
            <w:tcW w:type="dxa" w:w="2000"/>
            <w:shd w:fill="F3F5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B212B"/>
                <w:sz w:val="21"/>
                <w:szCs w:val="21"/>
              </w:rPr>
              <w:t xml:space="preserve">TBC</w:t>
            </w:r>
          </w:p>
        </w:tc>
      </w:tr>
      <w:tr>
        <w:tc>
          <w:tcPr>
            <w:tcW w:type="dxa" w:w="3026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/>
                <w:bCs/>
                <w:color w:val="1B212B"/>
                <w:sz w:val="21"/>
                <w:szCs w:val="21"/>
              </w:rPr>
              <w:t xml:space="preserve">Launch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b w:val="false"/>
                <w:bCs w:val="false"/>
                <w:color w:val="1B212B"/>
                <w:sz w:val="21"/>
                <w:szCs w:val="21"/>
              </w:rPr>
              <w:t xml:space="preserve">End of Phase 5 (week 6)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1B212B"/>
                <w:sz w:val="21"/>
                <w:szCs w:val="21"/>
              </w:rPr>
              <w:t xml:space="preserve">TBC</w:t>
            </w:r>
          </w:p>
        </w:tc>
      </w:tr>
    </w:tbl>
    <w:p>
      <w:pPr>
        <w:pStyle w:val="Heading1"/>
      </w:pPr>
      <w:r>
        <w:t xml:space="preserve">Key security measures</w:t>
      </w:r>
    </w:p>
    <w:p>
      <w:pPr>
        <w:pStyle w:val="Heading2"/>
      </w:pPr>
      <w:r>
        <w:t xml:space="preserve">Referrers never see other company data</w:t>
      </w:r>
    </w:p>
    <w:p>
      <w:pPr>
        <w:spacing w:after="60"/>
      </w:pPr>
      <w:r>
        <w:rPr>
          <w:sz w:val="22"/>
          <w:szCs w:val="22"/>
        </w:rPr>
        <w:t xml:space="preserve">Every row that belongs to a referrer carries a company_id. A user’s session token carries their company_id and role, and row-level security makes a case visible to a referrer only if it belongs to them.</w:t>
      </w:r>
    </w:p>
    <w:p>
      <w:pPr>
        <w:pStyle w:val="Heading2"/>
      </w:pPr>
      <w:r>
        <w:t xml:space="preserve">Revenue is hidden from management</w:t>
      </w:r>
    </w:p>
    <w:p>
      <w:pPr>
        <w:spacing w:after="60"/>
      </w:pPr>
      <w:r>
        <w:rPr>
          <w:sz w:val="22"/>
          <w:szCs w:val="22"/>
        </w:rPr>
        <w:t xml:space="preserve">Row-level security controls rows; management must see cases but not net revenue. The sensitive financials live in a separate case_financials table with its own policy that only super admin can read.</w:t>
      </w:r>
    </w:p>
    <w:p>
      <w:pPr>
        <w:pStyle w:val="Heading2"/>
      </w:pPr>
      <w:r>
        <w:t xml:space="preserve">Soft delete that is never a real delete</w:t>
      </w:r>
    </w:p>
    <w:p>
      <w:pPr>
        <w:spacing w:after="60"/>
      </w:pPr>
      <w:r>
        <w:rPr>
          <w:sz w:val="22"/>
          <w:szCs w:val="22"/>
        </w:rPr>
        <w:t xml:space="preserve">Hard deletes are revoked on every table. A deletion sets a deleted_at timestamp and writes an audit row, so records are recoverable and every removal is attributable.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675"/>
        <w:sz w:val="16"/>
        <w:szCs w:val="16"/>
      </w:rPr>
      <w:t xml:space="preserve">Page </w:t>
    </w:r>
    <w:r>
      <w:rPr>
        <w:color w:val="5C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9E2" w:sz="4" w:space="6"/>
      </w:pBdr>
      <w:jc w:val="right"/>
    </w:pPr>
    <w:r>
      <w:rPr>
        <w:color w:val="5C6675"/>
        <w:sz w:val="16"/>
        <w:szCs w:val="16"/>
      </w:rPr>
      <w:t xml:space="preserve">Estate Trace CRM — Build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1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D2EA" w:sz="6" w:space="6"/>
      </w:pBdr>
      <w:spacing w:after="140" w:before="320"/>
      <w:outlineLvl w:val="0"/>
    </w:pPr>
    <w:rPr>
      <w:rFonts w:ascii="Arial" w:cs="Arial" w:eastAsia="Arial" w:hAnsi="Arial"/>
      <w:b/>
      <w:bCs/>
      <w:color w:val="1B3A8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B212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o4g04unvqjes9quf7v4g" Type="http://schemas.openxmlformats.org/officeDocument/2006/relationships/hyperlink" Target="https://estate-trace-crm.vercel.app/estate-crm-prototype.htm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Estate Trace CRM — Build Proposal</dc:title>
  <dc:creator>Estate Trace</dc:creator>
  <cp:lastModifiedBy>Un-named</cp:lastModifiedBy>
  <cp:revision>1</cp:revision>
  <dcterms:created xsi:type="dcterms:W3CDTF">2026-06-30T16:07:53.489Z</dcterms:created>
  <dcterms:modified xsi:type="dcterms:W3CDTF">2026-06-30T16:07:53.490Z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