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[EN] Memo confidentiel pour les equipes retail</w:t>
      </w:r>
    </w:p>
    <w:p>
      <w:pPr>
        <w:pStyle w:val="ListBullet"/>
      </w:pPr>
      <w:r>
        <w:t>[EN] Verifier les stocks avant la campagne ete</w:t>
      </w:r>
    </w:p>
    <w:p>
      <w:pPr>
        <w:pStyle w:val="ListBullet"/>
      </w:pPr>
      <w:r>
        <w:t>[EN] Confirmer les visuels avec le departement marketing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[EN] Equipe</w:t>
            </w:r>
          </w:p>
        </w:tc>
        <w:tc>
          <w:tcPr>
            <w:tcW w:type="dxa" w:w="4320"/>
          </w:tcPr>
          <w:p>
            <w:r>
              <w:t>[EN] Action requise</w:t>
            </w:r>
          </w:p>
        </w:tc>
      </w:tr>
      <w:tr>
        <w:tc>
          <w:tcPr>
            <w:tcW w:type="dxa" w:w="4320"/>
          </w:tcPr>
          <w:p>
            <w:r>
              <w:t>[EN] Operations</w:t>
            </w:r>
          </w:p>
        </w:tc>
        <w:tc>
          <w:tcPr>
            <w:tcW w:type="dxa" w:w="4320"/>
          </w:tcPr>
          <w:p>
            <w:r>
              <w:t>[EN] Preparer le rapport hebdomadaire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