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1200"/>
      </w:pPr>
      <w:r>
        <w:rPr>
          <w:b/>
          <w:sz w:val="32"/>
        </w:rPr>
        <w:t>UNIVERSITÉ POLYTECHNIQUE DE BINGERVILLE</w:t>
      </w:r>
    </w:p>
    <w:p>
      <w:pPr>
        <w:jc w:val="center"/>
      </w:pPr>
      <w:r>
        <w:rPr>
          <w:sz w:val="24"/>
        </w:rPr>
        <w:t>Unité de Formation et de Recherche des Sciences Juridiques</w:t>
      </w:r>
    </w:p>
    <w:p>
      <w:pPr>
        <w:jc w:val="center"/>
        <w:spacing w:before="2400"/>
      </w:pPr>
      <w:r>
        <w:rPr>
          <w:b/>
          <w:sz w:val="30"/>
        </w:rPr>
        <w:t>MÉMOIRE DE LICENCE</w:t>
      </w:r>
    </w:p>
    <w:p>
      <w:pPr>
        <w:jc w:val="center"/>
        <w:spacing w:before="800"/>
      </w:pPr>
      <w:r>
        <w:rPr>
          <w:b/>
          <w:i/>
          <w:sz w:val="28"/>
        </w:rPr>
        <w:t>La protection sociale des travailleurs du secteur informel en Côte d’Ivoire</w:t>
      </w:r>
    </w:p>
    <w:p>
      <w:pPr>
        <w:jc w:val="center"/>
        <w:spacing w:before="2400"/>
      </w:pPr>
      <w:r>
        <w:t>Présenté par : DIARRASSOUBA AWA</w:t>
      </w:r>
    </w:p>
    <w:p>
      <w:pPr>
        <w:jc w:val="center"/>
      </w:pPr>
      <w:r>
        <w:t>Sous la supervision de : Dr EVORA ZEKPE</w:t>
      </w:r>
    </w:p>
    <w:p>
      <w:pPr>
        <w:jc w:val="center"/>
        <w:spacing w:before="1200"/>
      </w:pPr>
      <w:r>
        <w:t>Année académique : ……………………</w:t>
      </w:r>
    </w:p>
    <w:p>
      <w:r>
        <w:br w:type="page"/>
      </w:r>
    </w:p>
    <w:p>
      <w:pPr>
        <w:jc w:val="center"/>
        <w:spacing w:before="4800"/>
      </w:pPr>
      <w:r>
        <w:rPr>
          <w:b/>
          <w:sz w:val="32"/>
        </w:rPr>
        <w:t>DEUXIÈME PARTIE :</w:t>
      </w:r>
    </w:p>
    <w:p>
      <w:pPr>
        <w:jc w:val="center"/>
        <w:spacing w:before="400"/>
      </w:pPr>
      <w:r>
        <w:rPr>
          <w:b/>
          <w:sz w:val="32"/>
        </w:rPr>
        <w:t>UNE PROTECTION SOCIALE À LA MISE EN ŒUVRE ENTRAVÉE</w:t>
      </w:r>
    </w:p>
    <w:p>
      <w:r>
        <w:br w:type="page"/>
      </w:r>
    </w:p>
    <w:p>
      <w:pPr>
        <w:pStyle w:val="FirstParagraph"/>
      </w:pPr>
      <w:r>
        <w:t xml:space="preserve">La reconnaissance juridique de la protection sociale des travailleurs du secteur informel ne suffit pas à assurer son effectivité. La mise en place de mécanismes spécifiques traduit certes une volonté d’élargir la couverture sociale. Cependant, l’existence de ces dispositifs se heurte encore à des difficultés qui limitent leur accès et leur fonctionnement effectif. En Côte d’Ivoire, les institutions publiques reconnaissent elles-mêmes la nécessité d’intensifier les actions de proximité et d’accompagnement des populations du secteur informel.</w:t>
      </w:r>
    </w:p>
    <w:p>
      <w:pPr>
        <w:pStyle w:val="BodyText"/>
      </w:pPr>
      <w:r>
        <w:t xml:space="preserve">Dès lors, l’étude de cette protection ne peut se limiter à l’examen des droits théoriquement reconnus. Elle doit également mettre en évidence les obstacles qui empêchent leur pleine réalisation. Cette mise en œuvre apparaît entravée, d’une part, par les difficultés d’accès aux mécanismes de protection sociale (Chapitre 1) et, d’autre part, par les obstacles financiers qui pèsent sur cette protection (Chapitre 2).</w:t>
      </w:r>
    </w:p>
    <w:p>
      <w:pPr>
        <w:pStyle w:val="Heading1"/>
      </w:pPr>
      <w:bookmarkStart w:id="20" w:name="X13449c566b76be2e7e6dbd18bbf71e2b1ae4b74"/>
      <w:r>
        <w:t xml:space="preserve">Chapitre 1 : Les obstacles liés à l’accès aux mécanismes de protection sociale</w:t>
      </w:r>
      <w:bookmarkEnd w:id="20"/>
    </w:p>
    <w:p>
      <w:pPr>
        <w:pStyle w:val="FirstParagraph"/>
      </w:pPr>
      <w:r>
        <w:t xml:space="preserve">L’ouverture de mécanismes spécifiques aux travailleurs du secteur informel constitue une avancée importante. Toutefois, entre l’existence d’un dispositif et son appropriation effective par ses bénéficiaires, plusieurs difficultés subsistent. Elles tiennent à la connaissance insuffisante des mécanismes disponibles et aux limites de leur mise en œuvre pratique. Nous verrons dans ce chapitre le déficit d’information des travailleurs du secteur informel (Section 1) avant d’analyser l’effectivité limitée des dispositifs juridiques existants (Section 2).</w:t>
      </w:r>
    </w:p>
    <w:p>
      <w:pPr>
        <w:pStyle w:val="Heading2"/>
      </w:pPr>
      <w:bookmarkStart w:id="21" w:name="Xc54ee985f958789491beefc4ba6df5d336fb6e7"/>
      <w:r>
        <w:t xml:space="preserve">Section 1 : Le déficit d’information des travailleurs du secteur informel</w:t>
      </w:r>
      <w:bookmarkEnd w:id="21"/>
    </w:p>
    <w:p>
      <w:pPr>
        <w:pStyle w:val="FirstParagraph"/>
      </w:pPr>
      <w:r>
        <w:t xml:space="preserve">L’existence de mécanismes de protection sociale suppose que leurs bénéficiaires puissent les identifier, en comprendre le fonctionnement et savoir comment y accéder. Or, dans le secteur informel, cette condition n’est pas remplie. La méconnaissance des mécanismes de protection constitue un premier obstacle à l’effectivité de la protection sociale (Paragraphe 1), auquel s’ajoute l’insuffisance des actions de sensibilisation et d’accompagnement (Paragraphe 2).</w:t>
      </w:r>
    </w:p>
    <w:p>
      <w:pPr>
        <w:pStyle w:val="Heading3"/>
      </w:pPr>
      <w:bookmarkStart w:id="22" w:name="X704cda62746539fbd8f26a3ae62fd36800ece65"/>
      <w:r>
        <w:t xml:space="preserve">Paragraphe 1 : La méconnaissance des mécanismes de protection sociale existants</w:t>
      </w:r>
      <w:bookmarkEnd w:id="22"/>
    </w:p>
    <w:p>
      <w:pPr>
        <w:pStyle w:val="FirstParagraph"/>
      </w:pPr>
      <w:r>
        <w:t xml:space="preserve">Nous analyserons le déficit d’information touchant particulièrement les travailleurs informels (A), avant d’en rechercher les causes structurelles (B).</w:t>
      </w:r>
    </w:p>
    <w:p>
      <w:pPr>
        <w:pStyle w:val="Heading4"/>
      </w:pPr>
      <w:bookmarkStart w:id="23" w:name="X7da6f635638dba3b1d781e3fdc4ae55ae008626"/>
      <w:r>
        <w:t xml:space="preserve">A. Un déficit d’information touchant particulièrement les travailleurs informels</w:t>
      </w:r>
      <w:bookmarkEnd w:id="23"/>
    </w:p>
    <w:p>
      <w:pPr>
        <w:pStyle w:val="FirstParagraph"/>
      </w:pPr>
      <w:r>
        <w:t xml:space="preserve">L’instauration de mécanismes spécifiques de protection sociale ne produit ses effets que si les travailleurs concernés en ont connaissance. Pourtant, l’existence d’un droit ne signifie pas nécessairement que son titulaire en maîtrise les conditions d’exercice.</w:t>
      </w:r>
    </w:p>
    <w:p>
      <w:pPr>
        <w:pStyle w:val="BodyText"/>
      </w:pPr>
      <w:r>
        <w:t xml:space="preserve">Le déficit d’information représente ainsi un premier problème pour l’effectivité de la protection sociale des travailleurs du secteur informel. Ceux-ci sont juridiquement admis au bénéfice de certains mécanismes, mais insuffisamment informés de leur existence, de leur fonctionnement ou des démarches nécessaires pour y accéder.</w:t>
      </w:r>
    </w:p>
    <w:p>
      <w:pPr>
        <w:pStyle w:val="BodyText"/>
      </w:pPr>
      <w:r>
        <w:t xml:space="preserve">Cette difficulté est d’autant plus importante que les mécanismes destinés à ces travailleurs sont récents et reposent sur des modalités d’adhésion qui leur sont propres. L’étude de Laila Abouloula montre à cet égard que l’exclusion des travailleurs informels de la protection sociale résulte de plusieurs obstacles, notamment administratifs, financiers, techniques et juridiques.</w:t>
      </w:r>
      <w:r>
        <w:rPr>
          <w:rStyle w:val="FootnoteReference"/>
        </w:rPr>
        <w:footnoteReference w:id="24"/>
      </w:r>
      <w:r>
        <w:t xml:space="preserve"> </w:t>
      </w:r>
      <w:r>
        <w:t xml:space="preserve">Le déficit d’information s’inscrit donc dans un ensemble de difficultés qui peuvent empêcher le travailleur de passer de la possibilité théorique d’être protégé à une protection réelle. En Côte d’Ivoire, cette situation peut être illustrée par les actions de sensibilisation organisées autour du RSTI et de la CMU. La nécessité de multiplier les opérations d’information et de proximité montre que l’existence de ces mécanismes ne suffit pas à assurer leur appropriation par les travailleurs concernés. Cependant, la difficulté doit être appréciée au regard de la structure même des systèmes de protection sociale. Bourges Mba Ndong observe que, dans plusieurs États africains, les régimes de sécurité sociale ont historiquement été construits autour du travail formel et du lien de subordination, laissant ainsi les travailleurs de l’économie informelle en dehors, ou à la marge, de leur champ de protection.</w:t>
      </w:r>
      <w:r>
        <w:rPr>
          <w:rStyle w:val="FootnoteReference"/>
        </w:rPr>
        <w:footnoteReference w:id="25"/>
      </w:r>
      <w:r>
        <w:t xml:space="preserve"> </w:t>
      </w:r>
      <w:r>
        <w:t xml:space="preserve">L’obstacle lié à l’information n’est pas entièrement autonome ; il est aussi la conséquence d’une construction institutionnelle peu adaptée à cette catégorie de travailleurs.</w:t>
      </w:r>
    </w:p>
    <w:p>
      <w:pPr>
        <w:pStyle w:val="BodyText"/>
      </w:pPr>
      <w:r>
        <w:t xml:space="preserve">Cette analyse permet de nuancer celle d’Abouloula. Pendant que cette dernière met en évidence les différents obstacles auxquels fait face l’extension de la protection sociale, Mba Ndong replace ces difficultés dans une construction plus ancienne des systèmes de sécurité sociale. Le déficit d’information apparaît alors comme un problème d’adaptation de la protection sociale aux réalités de l’économie informelle.</w:t>
      </w:r>
    </w:p>
    <w:p>
      <w:pPr>
        <w:pStyle w:val="BodyText"/>
      </w:pPr>
      <w:r>
        <w:t xml:space="preserve">Cette situation révèle, pour nous, l’écart entre l’ouverture juridique des mécanismes et leur appropriation par les travailleurs.</w:t>
      </w:r>
    </w:p>
    <w:p>
      <w:pPr>
        <w:pStyle w:val="Heading4"/>
      </w:pPr>
      <w:bookmarkStart w:id="26" w:name="X41c1a7dbec6ff95fe8d905720933fd9c8c5e6d0"/>
      <w:r>
        <w:t xml:space="preserve">B. Les causes structurelles de cette méconnaissance</w:t>
      </w:r>
      <w:bookmarkEnd w:id="26"/>
    </w:p>
    <w:p>
      <w:pPr>
        <w:pStyle w:val="FirstParagraph"/>
      </w:pPr>
      <w:r>
        <w:t xml:space="preserve">La méconnaissance des mécanismes de protection sociale ne résulte pas uniquement d’un manque de campagnes d’information. Elle trouve également son origine dans certaines caractéristiques du secteur informel.</w:t>
      </w:r>
    </w:p>
    <w:p>
      <w:pPr>
        <w:pStyle w:val="BodyText"/>
      </w:pPr>
      <w:r>
        <w:t xml:space="preserve">La première difficulté tient à la dispersion et à la diversité des travailleurs informels. La Banque mondiale souligne que l’économie informelle africaine est à la fois très importante et profondément diverse, avec des travailleurs exerçant dans des situations professionnelles et économiques très différentes. Cette diversité complique l’élaboration d’une information uniforme et son acheminement jusqu’à l’ensemble des bénéficiaires.</w:t>
      </w:r>
    </w:p>
    <w:p>
      <w:pPr>
        <w:pStyle w:val="BodyText"/>
      </w:pPr>
      <w:r>
        <w:t xml:space="preserve">À cette diversité s’ajoute l’éloignement de certains travailleurs des structures institutionnelles. Les travailleurs informels exercent souvent en dehors des cadres professionnels organisés, ce qui réduit les occasions de recevoir régulièrement des informations sur leurs droits. Le manque d’organisation collective, l’isolement de certains lieux de travail, les distances géographiques et parfois les difficultés de compréhension des procédures peuvent aussi entraîner la méconnaissance des mécanismes existants.</w:t>
      </w:r>
    </w:p>
    <w:p>
      <w:pPr>
        <w:pStyle w:val="BodyText"/>
      </w:pPr>
      <w:r>
        <w:t xml:space="preserve">Cette situation révèle un problème qui dépasse la seule communication : les mécanismes de protection doivent parvenir jusqu’à des travailleurs qui ne sont pas intégrés aux circuits institutionnels traditionnels. Cette analyse peut toutefois être nuancée. Zogning, Mbaye et Um-Ngouem, en étudiant l’économie informelle, mettent en exergue la diversité des formes d’entrepreneuriat et d’emploi qui la composent.</w:t>
      </w:r>
      <w:r>
        <w:rPr>
          <w:rStyle w:val="FootnoteReference"/>
        </w:rPr>
        <w:footnoteReference w:id="27"/>
      </w:r>
      <w:r>
        <w:t xml:space="preserve"> </w:t>
      </w:r>
      <w:r>
        <w:t xml:space="preserve">Il serait donc réducteur d’expliquer la méconnaissance par une prétendue passivité des travailleurs, leurs conditions d’activité étant elles-mêmes très différentes. Dans une perspective différente, Galouon Eta Eymard montre, à travers son étude du secteur informel urbain en Afrique francophone, l’importance durable de ce secteur dans le fonctionnement du marché du travail.</w:t>
      </w:r>
      <w:r>
        <w:rPr>
          <w:rStyle w:val="FootnoteReference"/>
        </w:rPr>
        <w:footnoteReference w:id="28"/>
      </w:r>
      <w:r>
        <w:t xml:space="preserve"> </w:t>
      </w:r>
      <w:r>
        <w:t xml:space="preserve">La difficulté d’information doit ainsi être replacée dans une réalité économique où l’informalité constitue une composante importante et persistante de l’emploi, et non un phénomène marginal. Ces deux dimensions apparaissent en réalité complémentaires. À notre avis, les caractéristiques du secteur informel constituent une cause de la méconnaissance.</w:t>
      </w:r>
    </w:p>
    <w:p>
      <w:pPr>
        <w:pStyle w:val="BodyText"/>
      </w:pPr>
      <w:r>
        <w:t xml:space="preserve">Ainsi, la méconnaissance des mécanismes de protection sociale est déjà un obstacle à leur effectivité. Toutefois, même lorsque ces mécanismes sont connus des travailleurs, d’autres difficultés peuvent encore entraver leur accès concret. Il convient alors d’examiner les difficultés pratiques auxquelles ils sont confrontés.</w:t>
      </w:r>
    </w:p>
    <w:p>
      <w:pPr>
        <w:pStyle w:val="Heading3"/>
      </w:pPr>
      <w:bookmarkStart w:id="29" w:name="X5a80c8b4f53a073239c522df27efe681bfcb72f"/>
      <w:r>
        <w:t xml:space="preserve">Paragraphe 2 : L’insuffisance des actions de sensibilisation et d’accompagnement</w:t>
      </w:r>
      <w:bookmarkEnd w:id="29"/>
    </w:p>
    <w:p>
      <w:pPr>
        <w:pStyle w:val="FirstParagraph"/>
      </w:pPr>
      <w:r>
        <w:t xml:space="preserve">Cette insuffisance se manifeste par des campagnes de sensibilisation encore limitées (A) et par l’absence d’un accompagnement de proximité adapté au secteur informel (B).</w:t>
      </w:r>
    </w:p>
    <w:p>
      <w:pPr>
        <w:pStyle w:val="Heading4"/>
      </w:pPr>
      <w:bookmarkStart w:id="30" w:name="Xd26e175c92370f99452937393afc4cdf5bcf648"/>
      <w:r>
        <w:t xml:space="preserve">A. Des campagnes de sensibilisation encore limitées</w:t>
      </w:r>
      <w:bookmarkEnd w:id="30"/>
    </w:p>
    <w:p>
      <w:pPr>
        <w:pStyle w:val="FirstParagraph"/>
      </w:pPr>
      <w:r>
        <w:t xml:space="preserve">La mise en place de mécanismes de protection sociale destinés aux travailleurs du secteur informel doit nécessairement être accompagnée d’actions permettant d’en favoriser l’appropriation. En Côte d’Ivoire, plusieurs campagnes ont ainsi été organisées, mais leur portée demeure à apprécier au regard de l’ampleur des besoins.</w:t>
      </w:r>
    </w:p>
    <w:p>
      <w:pPr>
        <w:pStyle w:val="BodyText"/>
      </w:pPr>
      <w:r>
        <w:t xml:space="preserve">Les campagnes de sensibilisation constituent certes un moyen de rapprocher les travailleurs de la protection sociale. Toutefois, leur caractère ponctuel et leur couverture encore limitée ne permettent pas de toucher l’ensemble des travailleurs du secteur informel. Le rapport de Melis Güven, Himanshi Jain et Clement Joubert souligne d’ailleurs que l’économie informelle africaine est particulièrement vaste et diverse et que les stratégies de protection doivent être adaptées aux différents groupes qui la composent.</w:t>
      </w:r>
      <w:r>
        <w:rPr>
          <w:rStyle w:val="FootnoteReference"/>
        </w:rPr>
        <w:footnoteReference w:id="31"/>
      </w:r>
      <w:r>
        <w:t xml:space="preserve"> </w:t>
      </w:r>
      <w:r>
        <w:t xml:space="preserve">Cette difficulté apparaît clairement dans l’expérience ivoirienne. En 2021, une campagne menée par le CITEF et la CNAM, avec l’appui de l’OIT, a parcouru 17 marchés du District d’Abidjan afin d’informer les travailleurs sur la CMU. Elle a permis l’enrôlement de 3 033 personnes.</w:t>
      </w:r>
      <w:r>
        <w:rPr>
          <w:rStyle w:val="FootnoteReference"/>
        </w:rPr>
        <w:footnoteReference w:id="32"/>
      </w:r>
      <w:r>
        <w:t xml:space="preserve"> </w:t>
      </w:r>
      <w:r>
        <w:t xml:space="preserve">Cette initiative constitue incontestablement une avancée, mais son périmètre géographique et son caractère limité dans le temps ne permettent pas, à eux seuls, de couvrir l’ensemble d’un secteur informel qui s’étend bien au-delà des marchés concernés. La poursuite d’actions de proximité, notamment à travers la Ronde du social, confirme d’ailleurs que la sensibilisation demeure une nécessité. En juin 2026, cette initiative visait encore à expliquer la CMU et le RSTI aux commerçants et aux transporteurs.</w:t>
      </w:r>
      <w:r>
        <w:rPr>
          <w:rStyle w:val="FootnoteReference"/>
        </w:rPr>
        <w:footnoteReference w:id="33"/>
      </w:r>
      <w:r>
        <w:t xml:space="preserve"> </w:t>
      </w:r>
      <w:r>
        <w:t xml:space="preserve">La difficulté ne doit cependant pas être interprétée comme une absence d’efforts institutionnels. Güven, Jain et Joubert considèrent au contraire que les stratégies de communication constituent un élément important de la réussite des dispositifs destinés à l’économie informelle, tout en insistant sur la nécessité de les combiner avec d’autres instruments et de les adapter aux caractéristiques des bénéficiaires.</w:t>
      </w:r>
      <w:r>
        <w:rPr>
          <w:rStyle w:val="FootnoteReference"/>
        </w:rPr>
        <w:footnoteReference w:id="34"/>
      </w:r>
      <w:r>
        <w:t xml:space="preserve"> </w:t>
      </w:r>
      <w:r>
        <w:t xml:space="preserve">Cette analyse permet de nuancer une appréciation purement quantitative des campagnes : le problème n’est pas seulement de savoir combien d’actions sont organisées, mais aussi qui elles atteignent et dans quelle mesure elles permettent une véritable appropriation. La portée des campagnes reste encore limitée et révèle, selon nous, que l’existence d’actions de sensibilisation ne suffit pas à assurer une couverture effective de l’ensemble du secteur.</w:t>
      </w:r>
    </w:p>
    <w:p>
      <w:pPr>
        <w:pStyle w:val="Heading4"/>
      </w:pPr>
      <w:bookmarkStart w:id="35" w:name="Xaed5155e88260a5dca1c117b9b59741dd3a80c8"/>
      <w:r>
        <w:t xml:space="preserve">B. L’absence d’accompagnement de proximité adapté au secteur informel</w:t>
      </w:r>
      <w:bookmarkEnd w:id="35"/>
    </w:p>
    <w:p>
      <w:pPr>
        <w:pStyle w:val="FirstParagraph"/>
      </w:pPr>
      <w:r>
        <w:t xml:space="preserve">La connaissance des mécanismes de protection sociale ne garantit pas, à elle seule, leur utilisation effective. Le travailleur doit encore pouvoir être orienté et accompagné dans l’accomplissement de ses démarches.</w:t>
      </w:r>
    </w:p>
    <w:p>
      <w:pPr>
        <w:pStyle w:val="BodyText"/>
      </w:pPr>
      <w:r>
        <w:t xml:space="preserve">Or, les travailleurs du secteur informel demeurent confrontés à un déficit d’accompagnement adapté à leurs conditions d’activité. Cette difficulté tient notamment au caractère dispersé et hétérogène de l’économie informelle. Félix Zogning, Ahmadou Aly Mbaye et Marie-Thérèse Um-Ngouem montrent que celle-ci recouvre des formes d’activités, d’entrepreneuriat et d’emploi très diverses, ce qui rend difficile l’application d’un accompagnement uniforme.</w:t>
      </w:r>
      <w:r>
        <w:rPr>
          <w:rStyle w:val="FootnoteReference"/>
        </w:rPr>
        <w:footnoteReference w:id="36"/>
      </w:r>
    </w:p>
    <w:p>
      <w:pPr>
        <w:pStyle w:val="BodyText"/>
      </w:pPr>
      <w:r>
        <w:t xml:space="preserve">Cette diversité se traduit concrètement par des besoins différents selon les catégories de travailleurs. Le commerçant de marché, l’artisan, le transporteur ou le travailleur exerçant individuellement ne sont pas nécessairement confrontés aux mêmes démarches ni aux mêmes difficultés. L’accompagnement doit donc pouvoir atteindre ces différents publics dans leurs lieux et conditions habituels d’activité.</w:t>
      </w:r>
    </w:p>
    <w:p>
      <w:pPr>
        <w:pStyle w:val="BodyText"/>
      </w:pPr>
      <w:r>
        <w:t xml:space="preserve">Ce point rejoint l’analyse de Frédéric Lapeyre, pour qui les politiques publiques relatives à l’économie informelle doivent tenir compte de la diversité des situations et des contextes dans lesquels évoluent les travailleurs.</w:t>
      </w:r>
      <w:r>
        <w:rPr>
          <w:rStyle w:val="FootnoteReference"/>
        </w:rPr>
        <w:footnoteReference w:id="37"/>
      </w:r>
      <w:r>
        <w:t xml:space="preserve"> </w:t>
      </w:r>
      <w:r>
        <w:t xml:space="preserve">Son analyse de la Recommandation n° 204 de l’OIT souligne justement que la diversité de l’économie informelle impose des réponses adaptées aux différents contextes nationaux et aux réalités des travailleurs.</w:t>
      </w:r>
    </w:p>
    <w:p>
      <w:pPr>
        <w:pStyle w:val="BodyText"/>
      </w:pPr>
      <w:r>
        <w:t xml:space="preserve">Cependant, la difficulté ne peut être imputée uniquement aux caractéristiques du secteur informel. Komi Djadé, en étudiant l’économie informelle en Afrique subsaharienne, permet de comprendre que celle-ci constitue une composante durable des économies africaines et non un phénomène provisoire appelé à disparaître rapidement.</w:t>
      </w:r>
      <w:r>
        <w:rPr>
          <w:rStyle w:val="FootnoteReference"/>
        </w:rPr>
        <w:footnoteReference w:id="38"/>
      </w:r>
      <w:r>
        <w:t xml:space="preserve"> </w:t>
      </w:r>
      <w:r>
        <w:t xml:space="preserve">Dès lors, l’absence d’accompagnement suffisamment adapté ne peut être considérée comme une difficulté marginale : elle révèle plutôt l’insuffisante adaptation des dispositifs institutionnels à une catégorie importante de travailleurs.</w:t>
      </w:r>
    </w:p>
    <w:p>
      <w:pPr>
        <w:pStyle w:val="BodyText"/>
      </w:pPr>
      <w:r>
        <w:t xml:space="preserve">L’absence d’un accompagnement suffisant est une limite importante à l’effectivité de la protection sociale. Le travailleur peut être reconnu comme bénéficiaire par les textes et même connaître l’existence du dispositif, sans pour autant parvenir à en tirer effectivement avantage.</w:t>
      </w:r>
    </w:p>
    <w:p>
      <w:pPr>
        <w:pStyle w:val="BodyText"/>
      </w:pPr>
      <w:r>
        <w:t xml:space="preserve">Les difficultés d’information et d’accompagnement limitent déjà l’accès des travailleurs du secteur informel à la protection sociale. Toutefois, ces obstacles ne sont pas les seuls à entraver la mise en œuvre des droits qui leur sont reconnus. Il convient d’examiner les autres limites affectant l’effectivité des mécanismes de protection sociale.</w:t>
      </w:r>
    </w:p>
    <w:p>
      <w:pPr>
        <w:pStyle w:val="Heading2"/>
      </w:pPr>
      <w:bookmarkStart w:id="39" w:name="X0b878002b657e99b955556699559bb435f6fe9e"/>
      <w:r>
        <w:t xml:space="preserve">Section 2 : L’effectivité limitée des dispositifs juridiques existants</w:t>
      </w:r>
      <w:bookmarkEnd w:id="39"/>
    </w:p>
    <w:p>
      <w:pPr>
        <w:pStyle w:val="FirstParagraph"/>
      </w:pPr>
      <w:r>
        <w:t xml:space="preserve">Malgré l’existence de dispositifs juridiques destinés à protéger les travailleurs du secteur informel, leur effectivité demeure limitée en raison des difficultés d’affiliation (Paragraphe 1) et des insuffisances dans l’application et le contrôle des règles de protection sociale (Paragraphe 2).</w:t>
      </w:r>
    </w:p>
    <w:p>
      <w:pPr>
        <w:pStyle w:val="Heading3"/>
      </w:pPr>
      <w:bookmarkStart w:id="40" w:name="X25f1c3eb574646b546a955e2fc22465697a8724"/>
      <w:r>
        <w:t xml:space="preserve">Paragraphe 1 : Les difficultés liées à l’affiliation des travailleurs du secteur informel</w:t>
      </w:r>
      <w:bookmarkEnd w:id="40"/>
    </w:p>
    <w:p>
      <w:pPr>
        <w:pStyle w:val="FirstParagraph"/>
      </w:pPr>
      <w:r>
        <w:t xml:space="preserve">Ces difficultés résultent de procédures d’affiliation peu adaptées à la réalité du secteur informel (A) et des obstacles pratiques à l’enrôlement des travailleurs (B).</w:t>
      </w:r>
    </w:p>
    <w:p>
      <w:pPr>
        <w:pStyle w:val="Heading4"/>
      </w:pPr>
      <w:bookmarkStart w:id="41" w:name="X30acba4c52be9916a0c90b8cab6221af1f0bf96"/>
      <w:r>
        <w:t xml:space="preserve">A. Des procédures d’affiliation peu adaptées à la réalité du secteur informel</w:t>
      </w:r>
      <w:bookmarkEnd w:id="41"/>
    </w:p>
    <w:p>
      <w:pPr>
        <w:pStyle w:val="FirstParagraph"/>
      </w:pPr>
      <w:r>
        <w:t xml:space="preserve">L’extension de la protection sociale aux travailleurs du secteur informel suppose que les procédures d’affiliation tiennent compte de leurs conditions réelles d’activité. Mais l’ouverture juridique du RSTI, par exemple, à ces travailleurs ne signifie pas que les modalités d’accès soient nécessairement adaptées à leurs réalités.</w:t>
      </w:r>
    </w:p>
    <w:p>
      <w:pPr>
        <w:pStyle w:val="BodyText"/>
      </w:pPr>
      <w:r>
        <w:t xml:space="preserve">En Côte d’Ivoire, le travailleur indépendant doit s’affilier et fournir certains documents pour son enrôlement : pièce d’identité ou document officiel, extrait d’acte de naissance, carte professionnelle, passeport, carte CMU ou permis de conduire. Ces exigences, bien qu’elles répondent à une nécessité d’identification et de gestion du régime, peuvent être difficiles à satisfaire pour certains travailleurs dont l’activité est peu formalisée.</w:t>
      </w:r>
    </w:p>
    <w:p>
      <w:pPr>
        <w:pStyle w:val="BodyText"/>
      </w:pPr>
      <w:r>
        <w:t xml:space="preserve">Cet obstacle est lié à la nature même du secteur informel. Koffi Koffi Paul, dans son étude sur la situation et les politiques de l’emploi en Côte d’Ivoire, permet de replacer cette question dans un marché du travail où une part importante des activités échappe aux formes classiques de formalisation.</w:t>
      </w:r>
      <w:r>
        <w:rPr>
          <w:rStyle w:val="FootnoteReference"/>
        </w:rPr>
        <w:footnoteReference w:id="42"/>
      </w:r>
      <w:r>
        <w:t xml:space="preserve"> </w:t>
      </w:r>
      <w:r>
        <w:t xml:space="preserve">De même, Constant Soko met en évidence les caractéristiques particulières des entrepreneurs informels ivoiriens et leurs rapports avec les structures économiques et administratives.</w:t>
      </w:r>
      <w:r>
        <w:rPr>
          <w:rStyle w:val="FootnoteReference"/>
        </w:rPr>
        <w:footnoteReference w:id="43"/>
      </w:r>
    </w:p>
    <w:p>
      <w:pPr>
        <w:pStyle w:val="BodyText"/>
      </w:pPr>
      <w:r>
        <w:t xml:space="preserve">L’expérience ivoirienne montre d’ailleurs que des adaptations sont nécessaires : la CNPS a conclu une convention avec la Chambre nationale de métiers afin de faciliter l’affiliation des artisans au RSTI.</w:t>
      </w:r>
      <w:r>
        <w:rPr>
          <w:rStyle w:val="FootnoteReference"/>
        </w:rPr>
        <w:footnoteReference w:id="44"/>
      </w:r>
      <w:r>
        <w:t xml:space="preserve"> </w:t>
      </w:r>
      <w:r>
        <w:t xml:space="preserve">Cela montre bien que la procédure ordinaire ne suffit pas toujours à atteindre directement certaines catégories de travailleurs. Cette situation ne signifie cependant pas que toute formalité d’affiliation soit injustifiée. L’identification du bénéficiaire demeure importante pour assurer la gestion et la sécurité du régime. La difficulté réside plutôt dans l’adéquation entre ces exigences administratives et les réalités du secteur informel. Cling, Lagrée, Razafindrakoto et Roubaud montrent justement que l’économie informelle présente des caractéristiques propres dans les pays en développement et ne peut être appréhendée comme une simple reproduction de l’économie formelle.</w:t>
      </w:r>
      <w:r>
        <w:rPr>
          <w:rStyle w:val="FootnoteReference"/>
        </w:rPr>
        <w:footnoteReference w:id="45"/>
      </w:r>
      <w:r>
        <w:t xml:space="preserve"> </w:t>
      </w:r>
      <w:r>
        <w:t xml:space="preserve">Ainsi, le débat ne porte pas sur la nécessité de l’affiliation, mais sur la capacité des procédures à intégrer des travailleurs dont les activités ne correspondent pas toujours aux cadres administratifs traditionnels. L’existence d’une procédure d’affiliation représente, pour nous, une garantie nécessaire, mais son adaptation aux réalités du secteur informel reste essentielle. Lorsque les formalités conçues pour permettre l’accès au droit deviennent elles-mêmes difficiles à accomplir, la reconnaissance juridique du droit ne suffit plus à garantir sa mise en œuvre effective.</w:t>
      </w:r>
    </w:p>
    <w:p>
      <w:pPr>
        <w:pStyle w:val="Heading4"/>
      </w:pPr>
      <w:bookmarkStart w:id="46" w:name="Xdb5974a1eec2f217c2c08c44d01331c228e9cc2"/>
      <w:r>
        <w:t xml:space="preserve">B. Les obstacles pratiques à l’enrôlement des travailleurs</w:t>
      </w:r>
      <w:bookmarkEnd w:id="46"/>
    </w:p>
    <w:p>
      <w:pPr>
        <w:pStyle w:val="FirstParagraph"/>
      </w:pPr>
      <w:r>
        <w:t xml:space="preserve">Même lorsque le droit ouvre aux travailleurs du secteur informel la possibilité d’adhérer à un régime de protection sociale, encore faut-il que ceux-ci puissent accomplir les démarches nécessaires à leur enrôlement.</w:t>
      </w:r>
    </w:p>
    <w:p>
      <w:pPr>
        <w:pStyle w:val="BodyText"/>
      </w:pPr>
      <w:r>
        <w:t xml:space="preserve">En pratique, plusieurs obstacles peuvent entraver cette étape. Le rapport d’analyse des cadres de protection sociale en Côte d’Ivoire relève notamment les difficultés liées à l’identification des travailleurs, à l’absence de certaines pièces administratives, ainsi qu’aux contraintes liées à l’affiliation en ligne. Il relève également que la mauvaise qualité de la connexion Internet et les difficultés de maîtrise des outils numériques peuvent constituer des freins.</w:t>
      </w:r>
      <w:r>
        <w:rPr>
          <w:rStyle w:val="FootnoteReference"/>
        </w:rPr>
        <w:footnoteReference w:id="47"/>
      </w:r>
    </w:p>
    <w:p>
      <w:pPr>
        <w:pStyle w:val="BodyText"/>
      </w:pPr>
      <w:r>
        <w:t xml:space="preserve">Ces obstacles sont particulièrement significatifs dans un secteur où les travailleurs ne disposent pas tous de documents administratifs ou d’une activité facilement identifiable. Un responsable d’agence de la CNPS relevait ainsi que l’identification et l’enregistrement des travailleurs indépendants constituent des défis importants, certains ne disposant pas de documents officiels ou d’identifiants formels.</w:t>
      </w:r>
    </w:p>
    <w:p>
      <w:pPr>
        <w:pStyle w:val="BodyText"/>
      </w:pPr>
      <w:r>
        <w:t xml:space="preserve">L’obstacle est également quantifiable : selon le Rapport annuel de performance 2024, seulement 12,67 % des travailleurs indépendants étaient enrôlés au RSTI en 2024, contre une prévision de 22,68 %.</w:t>
      </w:r>
      <w:r>
        <w:rPr>
          <w:rStyle w:val="FootnoteReference"/>
        </w:rPr>
        <w:footnoteReference w:id="48"/>
      </w:r>
      <w:r>
        <w:t xml:space="preserve"> </w:t>
      </w:r>
      <w:r>
        <w:t xml:space="preserve">Ce résultat montre que l’ouverture juridique du régime ne se traduit pas automatiquement par une adhésion massive. Il peut être rapproché de l’analyse de Séri Bi Neatien Urbain Victorien, qui relève que le RSTI peine encore à intégrer les travailleurs indépendants de l’économie informelle et souligne notamment les difficultés particulières liées à leur identification et à leur dispersion.</w:t>
      </w:r>
      <w:r>
        <w:rPr>
          <w:rStyle w:val="FootnoteReference"/>
        </w:rPr>
        <w:footnoteReference w:id="49"/>
      </w:r>
      <w:r>
        <w:t xml:space="preserve"> </w:t>
      </w:r>
      <w:r>
        <w:t xml:space="preserve">Cependant, il serait excessif de considérer que ces difficultés résultent uniquement d’une défaillance administrative. Touré, Appiah et Kouadio, à partir d’une étude menée auprès de travailleuses informelles à Bouaké, mettent également en évidence des réticences liées au manque d’information, aux conditions d’accès aux prestations et aux garanties offertes par le régime.</w:t>
      </w:r>
      <w:r>
        <w:rPr>
          <w:rStyle w:val="FootnoteReference"/>
        </w:rPr>
        <w:footnoteReference w:id="50"/>
      </w:r>
      <w:r>
        <w:t xml:space="preserve"> </w:t>
      </w:r>
      <w:r>
        <w:t xml:space="preserve">L’enrôlement apparaît donc comme le résultat d’une rencontre entre les conditions proposées par le dispositif et les réalités des travailleurs. Ces problèmes illustrent clairement la différence entre l’existence d’un droit et son exercice effectif. Le travailleur informel peut juridiquement être admis au RSTI sans pour autant parvenir à franchir toutes les étapes nécessaires à son enrôlement. La reconnaissance du droit est donc insuffisante lorsque les conditions pratiques permettant d’en bénéficier restent difficiles à réunir.</w:t>
      </w:r>
    </w:p>
    <w:p>
      <w:pPr>
        <w:pStyle w:val="Heading3"/>
      </w:pPr>
      <w:bookmarkStart w:id="51" w:name="X1c95bfbce27940f6bf6ddfb8d85a6a4ee9045cc"/>
      <w:r>
        <w:t xml:space="preserve">Paragraphe 2 : Les insuffisances dans l’application et le contrôle des règles de protection sociale</w:t>
      </w:r>
      <w:bookmarkEnd w:id="51"/>
    </w:p>
    <w:p>
      <w:pPr>
        <w:pStyle w:val="FirstParagraph"/>
      </w:pPr>
      <w:r>
        <w:t xml:space="preserve">Ces insuffisances tiennent, d’une part, à la faiblesse des moyens de contrôle de l’affiliation (A) et, d’autre part, aux limites des mesures destinées à assurer l’effectivité des droits sociaux (B).</w:t>
      </w:r>
    </w:p>
    <w:p>
      <w:pPr>
        <w:pStyle w:val="Heading4"/>
      </w:pPr>
      <w:bookmarkStart w:id="52" w:name="Xec10852aaf752ee047fb614f40755af9d0c602e"/>
      <w:r>
        <w:t xml:space="preserve">A. La faiblesse des moyens de contrôle de l’affiliation</w:t>
      </w:r>
      <w:bookmarkEnd w:id="52"/>
    </w:p>
    <w:p>
      <w:pPr>
        <w:pStyle w:val="FirstParagraph"/>
      </w:pPr>
      <w:r>
        <w:t xml:space="preserve">L’établissement de règles imposant l’affiliation des travailleurs ne garantit pas toujours leur respect. Encore faut-il que les institutions disposent de moyens suffisants pour vérifier que les personnes concernées sont effectivement affiliées.</w:t>
      </w:r>
    </w:p>
    <w:p>
      <w:pPr>
        <w:pStyle w:val="BodyText"/>
      </w:pPr>
      <w:r>
        <w:t xml:space="preserve">Cette difficulté est particulièrement marquée dans le secteur informel, où les travailleurs exercent souvent pour leur propre compte et ne sont pas rattachés à un employeur chargé de les déclarer. La CNPS reconnaît d’ailleurs que le régime des travailleurs indépendants a été institué pour intégrer une population exclue de la protection sociale.</w:t>
      </w:r>
    </w:p>
    <w:p>
      <w:pPr>
        <w:pStyle w:val="BodyText"/>
      </w:pPr>
      <w:r>
        <w:t xml:space="preserve">Le contrôle traditionnel de la sécurité sociale repose largement sur l’identification des cotisants et la vérification de leurs déclarations. Or, ce modèle est plus difficile à appliquer lorsque les travailleurs sont nombreux, dispersés et exercent des activités variables. La CNPS décrit elle-même, pour le contrôle classique, des opérations de vérification, de redressement et de détection des personnes non immatriculées.</w:t>
      </w:r>
    </w:p>
    <w:p>
      <w:pPr>
        <w:pStyle w:val="BodyText"/>
      </w:pPr>
      <w:r>
        <w:t xml:space="preserve">La difficulté est donc moins l’absence de règle que la capacité à repérer et à suivre effectivement les travailleurs qui devraient être affiliés.</w:t>
      </w:r>
    </w:p>
    <w:sectPr>
      <w:footerReference w:type="default" r:id="rId9"/>
      <w:pgMar w:top="1417" w:bottom="1417" w:left="1701" w:right="1417"/>
      <w:pgNumType w:start="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ABOULOULA Laila, « Exclusion des travailleurs du secteur informel : Pourquoi les travailleurs du secteur informel sont-ils en marge de la protection sociale ? »,</w:t>
      </w:r>
      <w:r>
        <w:t xml:space="preserve"> </w:t>
      </w:r>
      <w:r>
        <w:rPr>
          <w:i/>
        </w:rPr>
        <w:t xml:space="preserve">ReMaDAC</w:t>
      </w:r>
      <w:r>
        <w:t xml:space="preserve">, vol. 1, n° 1, 2021, pp. 1-20.</w:t>
      </w:r>
    </w:p>
  </w:footnote>
  <w:footnote w:id="25">
    <w:p>
      <w:pPr>
        <w:pStyle w:val="FootnoteText"/>
      </w:pPr>
      <w:r>
        <w:rPr>
          <w:rStyle w:val="FootnoteReference"/>
        </w:rPr>
        <w:footnoteRef/>
      </w:r>
      <w:r>
        <w:t xml:space="preserve"> </w:t>
      </w:r>
      <w:r>
        <w:t xml:space="preserve">MBA NDONG Bourges, « Réflexions sur la problématique de l’extension de la sécurité sociale aux travailleurs de l’économie informelle dans l’espace OHADA »,</w:t>
      </w:r>
      <w:r>
        <w:t xml:space="preserve"> </w:t>
      </w:r>
      <w:r>
        <w:rPr>
          <w:i/>
        </w:rPr>
        <w:t xml:space="preserve">Revue de l’ERSUMA</w:t>
      </w:r>
      <w:r>
        <w:t xml:space="preserve">, 2021, n° hors série 3, pp. 222-234.</w:t>
      </w:r>
    </w:p>
  </w:footnote>
  <w:footnote w:id="27">
    <w:p>
      <w:pPr>
        <w:pStyle w:val="FootnoteText"/>
      </w:pPr>
      <w:r>
        <w:rPr>
          <w:rStyle w:val="FootnoteReference"/>
        </w:rPr>
        <w:footnoteRef/>
      </w:r>
      <w:r>
        <w:t xml:space="preserve"> </w:t>
      </w:r>
      <w:r>
        <w:t xml:space="preserve">ZOGNING Félix, MBAYE Ahmadou Aly et UM-NGOUEM Marie-Thérèse (dir.),</w:t>
      </w:r>
      <w:r>
        <w:t xml:space="preserve"> </w:t>
      </w:r>
      <w:r>
        <w:rPr>
          <w:i/>
        </w:rPr>
        <w:t xml:space="preserve">L’économie informelle, l’entrepreneuriat et l’emploi</w:t>
      </w:r>
      <w:r>
        <w:t xml:space="preserve">, Montréal (Québec, Canada), Éditions JFD, 2017, 535 p.</w:t>
      </w:r>
    </w:p>
  </w:footnote>
  <w:footnote w:id="28">
    <w:p>
      <w:pPr>
        <w:pStyle w:val="FootnoteText"/>
      </w:pPr>
      <w:r>
        <w:rPr>
          <w:rStyle w:val="FootnoteReference"/>
        </w:rPr>
        <w:footnoteRef/>
      </w:r>
      <w:r>
        <w:t xml:space="preserve"> </w:t>
      </w:r>
      <w:r>
        <w:t xml:space="preserve">GALOUON ETA Eymard,</w:t>
      </w:r>
      <w:r>
        <w:t xml:space="preserve"> </w:t>
      </w:r>
      <w:r>
        <w:rPr>
          <w:i/>
        </w:rPr>
        <w:t xml:space="preserve">Cinquantenaire du secteur informel urbain et le marché du travail en Afrique francophone</w:t>
      </w:r>
      <w:r>
        <w:t xml:space="preserve">, Paris, Le Lys Bleu Éditions, 2023, 244 p.</w:t>
      </w:r>
    </w:p>
  </w:footnote>
  <w:footnote w:id="31">
    <w:p>
      <w:pPr>
        <w:pStyle w:val="FootnoteText"/>
      </w:pPr>
      <w:r>
        <w:rPr>
          <w:rStyle w:val="FootnoteReference"/>
        </w:rPr>
        <w:footnoteRef/>
      </w:r>
      <w:r>
        <w:t xml:space="preserve"> </w:t>
      </w:r>
      <w:r>
        <w:t xml:space="preserve">GÜVEN Melis, JAIN Himanshi et JOUBERT Clement,</w:t>
      </w:r>
      <w:r>
        <w:t xml:space="preserve"> </w:t>
      </w:r>
      <w:r>
        <w:rPr>
          <w:i/>
        </w:rPr>
        <w:t xml:space="preserve">Social Protection for the Informal Economy: Operational Lessons for Developing Countries in Africa and Beyond</w:t>
      </w:r>
      <w:r>
        <w:t xml:space="preserve">, Washington, D.C., World Bank, 2021.</w:t>
      </w:r>
    </w:p>
  </w:footnote>
  <w:footnote w:id="32">
    <w:p>
      <w:pPr>
        <w:pStyle w:val="FootnoteText"/>
      </w:pPr>
      <w:r>
        <w:rPr>
          <w:rStyle w:val="FootnoteReference"/>
        </w:rPr>
        <w:footnoteRef/>
      </w:r>
      <w:r>
        <w:t xml:space="preserve"> </w:t>
      </w:r>
      <w:r>
        <w:t xml:space="preserve">ORGANISATION INTERNATIONALE DU TRAVAIL (OIT), « Les syndicats mobilisés pour la protection sociale des acteurs de l’économie informelle avec l’appui de l’OIT », 9 novembre 2021.</w:t>
      </w:r>
    </w:p>
  </w:footnote>
  <w:footnote w:id="33">
    <w:p>
      <w:pPr>
        <w:pStyle w:val="FootnoteText"/>
      </w:pPr>
      <w:r>
        <w:rPr>
          <w:rStyle w:val="FootnoteReference"/>
        </w:rPr>
        <w:footnoteRef/>
      </w:r>
      <w:r>
        <w:t xml:space="preserve"> </w:t>
      </w:r>
      <w:r>
        <w:t xml:space="preserve">Gouvernement de Côte d’Ivoire, « 6e édition de la Ronde du social : Adama Kamara instruit les commerçants et les transporteurs sur les enjeux de la CMU et du RSTI », 27 juin 2026.</w:t>
      </w:r>
    </w:p>
  </w:footnote>
  <w:footnote w:id="34">
    <w:p>
      <w:pPr>
        <w:pStyle w:val="FootnoteText"/>
      </w:pPr>
      <w:r>
        <w:rPr>
          <w:rStyle w:val="FootnoteReference"/>
        </w:rPr>
        <w:footnoteRef/>
      </w:r>
      <w:r>
        <w:t xml:space="preserve"> </w:t>
      </w:r>
      <w:r>
        <w:t xml:space="preserve">GÜVEN Melis, JAIN Himanshi et JOUBERT Clement,</w:t>
      </w:r>
      <w:r>
        <w:t xml:space="preserve"> </w:t>
      </w:r>
      <w:r>
        <w:rPr>
          <w:i/>
        </w:rPr>
        <w:t xml:space="preserve">op. cit.</w:t>
      </w:r>
    </w:p>
  </w:footnote>
  <w:footnote w:id="36">
    <w:p>
      <w:pPr>
        <w:pStyle w:val="FootnoteText"/>
      </w:pPr>
      <w:r>
        <w:rPr>
          <w:rStyle w:val="FootnoteReference"/>
        </w:rPr>
        <w:footnoteRef/>
      </w:r>
      <w:r>
        <w:t xml:space="preserve"> </w:t>
      </w:r>
      <w:r>
        <w:t xml:space="preserve">ZOGNING Félix, MBAYE Ahmadou Aly et UM-NGOUEM Marie-Thérèse (dir.),</w:t>
      </w:r>
      <w:r>
        <w:t xml:space="preserve"> </w:t>
      </w:r>
      <w:r>
        <w:rPr>
          <w:i/>
        </w:rPr>
        <w:t xml:space="preserve">L’économie informelle, l’entrepreneuriat et l’emploi</w:t>
      </w:r>
      <w:r>
        <w:t xml:space="preserve">, Montréal (Québec, Canada), Éditions JFD, 2017, 535 p.</w:t>
      </w:r>
    </w:p>
  </w:footnote>
  <w:footnote w:id="37">
    <w:p>
      <w:pPr>
        <w:pStyle w:val="FootnoteText"/>
      </w:pPr>
      <w:r>
        <w:rPr>
          <w:rStyle w:val="FootnoteReference"/>
        </w:rPr>
        <w:footnoteRef/>
      </w:r>
      <w:r>
        <w:t xml:space="preserve"> </w:t>
      </w:r>
      <w:r>
        <w:t xml:space="preserve">LAPEYRE Frédéric, « L’Organisation internationale du Travail face au travail dans l’économie informelle »,</w:t>
      </w:r>
      <w:r>
        <w:t xml:space="preserve"> </w:t>
      </w:r>
      <w:r>
        <w:rPr>
          <w:i/>
        </w:rPr>
        <w:t xml:space="preserve">Revue de droit comparé du travail et de la sécurité sociale</w:t>
      </w:r>
      <w:r>
        <w:t xml:space="preserve">, 2017/3, pp. 18-33.</w:t>
      </w:r>
    </w:p>
  </w:footnote>
  <w:footnote w:id="38">
    <w:p>
      <w:pPr>
        <w:pStyle w:val="FootnoteText"/>
      </w:pPr>
      <w:r>
        <w:rPr>
          <w:rStyle w:val="FootnoteReference"/>
        </w:rPr>
        <w:footnoteRef/>
      </w:r>
      <w:r>
        <w:t xml:space="preserve"> </w:t>
      </w:r>
      <w:r>
        <w:t xml:space="preserve">DJADÉ Komi,</w:t>
      </w:r>
      <w:r>
        <w:t xml:space="preserve"> </w:t>
      </w:r>
      <w:r>
        <w:rPr>
          <w:i/>
        </w:rPr>
        <w:t xml:space="preserve">L’économie informelle en Afrique subsaharienne</w:t>
      </w:r>
      <w:r>
        <w:t xml:space="preserve">, Paris, L’Harmattan, coll. « Études africaines », 2011, 250 p.</w:t>
      </w:r>
    </w:p>
  </w:footnote>
  <w:footnote w:id="42">
    <w:p>
      <w:pPr>
        <w:pStyle w:val="FootnoteText"/>
      </w:pPr>
      <w:r>
        <w:rPr>
          <w:rStyle w:val="FootnoteReference"/>
        </w:rPr>
        <w:footnoteRef/>
      </w:r>
      <w:r>
        <w:t xml:space="preserve"> </w:t>
      </w:r>
      <w:r>
        <w:t xml:space="preserve">KOFFI Koffi Paul,</w:t>
      </w:r>
      <w:r>
        <w:t xml:space="preserve"> </w:t>
      </w:r>
      <w:r>
        <w:rPr>
          <w:i/>
        </w:rPr>
        <w:t xml:space="preserve">Situation et politiques de l’emploi en Côte d’Ivoire</w:t>
      </w:r>
      <w:r>
        <w:t xml:space="preserve">, Abidjan, L’Harmattan Côte d’Ivoire, 2022, 294 p.</w:t>
      </w:r>
    </w:p>
  </w:footnote>
  <w:footnote w:id="43">
    <w:p>
      <w:pPr>
        <w:pStyle w:val="FootnoteText"/>
      </w:pPr>
      <w:r>
        <w:rPr>
          <w:rStyle w:val="FootnoteReference"/>
        </w:rPr>
        <w:footnoteRef/>
      </w:r>
      <w:r>
        <w:t xml:space="preserve"> </w:t>
      </w:r>
      <w:r>
        <w:t xml:space="preserve">SOKO Constant,</w:t>
      </w:r>
      <w:r>
        <w:t xml:space="preserve"> </w:t>
      </w:r>
      <w:r>
        <w:rPr>
          <w:i/>
        </w:rPr>
        <w:t xml:space="preserve">Les entrepreneurs informels en Côte d’Ivoire : entre l’État, le marché et les circuits de financement</w:t>
      </w:r>
      <w:r>
        <w:t xml:space="preserve">, Paris, L’Harmattan, 2011, 269 p.</w:t>
      </w:r>
    </w:p>
  </w:footnote>
  <w:footnote w:id="44">
    <w:p>
      <w:pPr>
        <w:pStyle w:val="FootnoteText"/>
      </w:pPr>
      <w:r>
        <w:rPr>
          <w:rStyle w:val="FootnoteReference"/>
        </w:rPr>
        <w:footnoteRef/>
      </w:r>
      <w:r>
        <w:t xml:space="preserve"> </w:t>
      </w:r>
      <w:r>
        <w:t xml:space="preserve">CNPS, « Indépendant – Conditions d’adhésion et pré-affiliation », site officiel de la CNPS.</w:t>
      </w:r>
    </w:p>
  </w:footnote>
  <w:footnote w:id="45">
    <w:p>
      <w:pPr>
        <w:pStyle w:val="FootnoteText"/>
      </w:pPr>
      <w:r>
        <w:rPr>
          <w:rStyle w:val="FootnoteReference"/>
        </w:rPr>
        <w:footnoteRef/>
      </w:r>
      <w:r>
        <w:t xml:space="preserve"> </w:t>
      </w:r>
      <w:r>
        <w:t xml:space="preserve">CLING Jean-Pierre, LAGRÉE Stéphane, RAZAFINDRAKOTO Mireille et ROUBAUD François (dir.),</w:t>
      </w:r>
      <w:r>
        <w:t xml:space="preserve"> </w:t>
      </w:r>
      <w:r>
        <w:rPr>
          <w:i/>
        </w:rPr>
        <w:t xml:space="preserve">L’économie informelle dans les pays en développement</w:t>
      </w:r>
      <w:r>
        <w:t xml:space="preserve">, Paris, Agence Française de Développement, coll. « Conférences &amp; Séminaires », n° 6, 2012, 363 p.</w:t>
      </w:r>
    </w:p>
  </w:footnote>
  <w:footnote w:id="47">
    <w:p>
      <w:pPr>
        <w:pStyle w:val="FootnoteText"/>
      </w:pPr>
      <w:r>
        <w:rPr>
          <w:rStyle w:val="FootnoteReference"/>
        </w:rPr>
        <w:footnoteRef/>
      </w:r>
      <w:r>
        <w:t xml:space="preserve"> </w:t>
      </w:r>
      <w:r>
        <w:t xml:space="preserve">MBA NDONG Bourges, « Réflexions sur la problématique de l’extension de la sécurité sociale aux travailleurs de l’économie informelle dans l’espace OHADA »,</w:t>
      </w:r>
      <w:r>
        <w:t xml:space="preserve"> </w:t>
      </w:r>
      <w:r>
        <w:rPr>
          <w:i/>
        </w:rPr>
        <w:t xml:space="preserve">Revue de l’ERSUMA</w:t>
      </w:r>
      <w:r>
        <w:t xml:space="preserve">, Porto-Novo, 2021.</w:t>
      </w:r>
    </w:p>
  </w:footnote>
  <w:footnote w:id="48">
    <w:p>
      <w:pPr>
        <w:pStyle w:val="FootnoteText"/>
      </w:pPr>
      <w:r>
        <w:rPr>
          <w:rStyle w:val="FootnoteReference"/>
        </w:rPr>
        <w:footnoteRef/>
      </w:r>
      <w:r>
        <w:t xml:space="preserve"> </w:t>
      </w:r>
      <w:r>
        <w:t xml:space="preserve">Direction générale du Budget et des Finances,</w:t>
      </w:r>
      <w:r>
        <w:t xml:space="preserve"> </w:t>
      </w:r>
      <w:r>
        <w:rPr>
          <w:i/>
        </w:rPr>
        <w:t xml:space="preserve">Rapport annuel de performance 2024</w:t>
      </w:r>
      <w:r>
        <w:t xml:space="preserve">, Tome 2, données relatives à l’enrôlement au RSTI.</w:t>
      </w:r>
    </w:p>
  </w:footnote>
  <w:footnote w:id="49">
    <w:p>
      <w:pPr>
        <w:pStyle w:val="FootnoteText"/>
      </w:pPr>
      <w:r>
        <w:rPr>
          <w:rStyle w:val="FootnoteReference"/>
        </w:rPr>
        <w:footnoteRef/>
      </w:r>
      <w:r>
        <w:t xml:space="preserve"> </w:t>
      </w:r>
      <w:r>
        <w:t xml:space="preserve">SÉRI Bi Neatien Urbain Victorien, « L’extension de la protection sociale aux travailleurs de l’économie informelle en Côte d’Ivoire »,</w:t>
      </w:r>
      <w:r>
        <w:t xml:space="preserve"> </w:t>
      </w:r>
      <w:r>
        <w:rPr>
          <w:i/>
        </w:rPr>
        <w:t xml:space="preserve">Revue de droit comparé du travail et de la sécurité sociale</w:t>
      </w:r>
      <w:r>
        <w:t xml:space="preserve">, 2024, pp. 248-251.</w:t>
      </w:r>
    </w:p>
  </w:footnote>
  <w:footnote w:id="50">
    <w:p>
      <w:pPr>
        <w:pStyle w:val="FootnoteText"/>
      </w:pPr>
      <w:r>
        <w:rPr>
          <w:rStyle w:val="FootnoteReference"/>
        </w:rPr>
        <w:footnoteRef/>
      </w:r>
      <w:r>
        <w:t xml:space="preserve"> </w:t>
      </w:r>
      <w:r>
        <w:t xml:space="preserve">TOURÉ Irafiala, APPIAH Adou et KOUADIO Cendresse Apo, « Les travailleuses du secteur informel à l’épreuve de la protection sociale à Bouaké en Côte d’Ivoire »,</w:t>
      </w:r>
      <w:r>
        <w:t xml:space="preserve"> </w:t>
      </w:r>
      <w:r>
        <w:rPr>
          <w:i/>
        </w:rPr>
        <w:t xml:space="preserve">Revue JDS</w:t>
      </w:r>
      <w:r>
        <w:t xml:space="preserve">, 2025, pp. 559-562.</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after="120"/>
      <w:jc w:val="both"/>
    </w:pPr>
    <w:rPr>
      <w:rFonts w:ascii="Times New Roman" w:hAnsi="Times New Roman" w:cs="Times New Roman" w:eastAsia="Times New Roman"/>
      <w:color w:val="000000"/>
      <w:sz w:val="24"/>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00" w:line="360" w:lineRule="auto"/>
      <w:outlineLvl w:val="0"/>
      <w:pageBreakBefore/>
    </w:pPr>
    <w:rPr>
      <w:rFonts w:asciiTheme="majorHAnsi" w:eastAsiaTheme="majorEastAsia" w:hAnsiTheme="majorHAnsi" w:cstheme="majorBidi" w:ascii="Times New Roman" w:hAnsi="Times New Roman" w:cs="Times New Roman" w:eastAsia="Times New Roman"/>
      <w:b/>
      <w:bCs/>
      <w:i w:val="0"/>
      <w:color w:val="000000"/>
      <w:sz w:val="28"/>
      <w:szCs w:val="32"/>
    </w:rPr>
  </w:style>
  <w:style w:type="paragraph" w:styleId="Heading2">
    <w:name w:val="Heading 2"/>
    <w:basedOn w:val="Normal"/>
    <w:next w:val="BodyText"/>
    <w:uiPriority w:val="9"/>
    <w:unhideWhenUsed/>
    <w:qFormat/>
    <w:pPr>
      <w:keepNext/>
      <w:keepLines/>
      <w:spacing w:before="360" w:after="200" w:line="360" w:lineRule="auto"/>
      <w:outlineLvl w:val="1"/>
    </w:pPr>
    <w:rPr>
      <w:rFonts w:asciiTheme="majorHAnsi" w:eastAsiaTheme="majorEastAsia" w:hAnsiTheme="majorHAnsi" w:cstheme="majorBidi" w:ascii="Times New Roman" w:hAnsi="Times New Roman" w:cs="Times New Roman" w:eastAsia="Times New Roman"/>
      <w:b/>
      <w:bCs/>
      <w:i w:val="0"/>
      <w:color w:val="000000"/>
      <w:sz w:val="26"/>
      <w:szCs w:val="28"/>
    </w:rPr>
  </w:style>
  <w:style w:type="paragraph" w:styleId="Heading3">
    <w:name w:val="Heading 3"/>
    <w:basedOn w:val="Normal"/>
    <w:next w:val="BodyText"/>
    <w:uiPriority w:val="9"/>
    <w:unhideWhenUsed/>
    <w:qFormat/>
    <w:pPr>
      <w:keepNext/>
      <w:keepLines/>
      <w:spacing w:before="360" w:after="200" w:line="360" w:lineRule="auto"/>
      <w:outlineLvl w:val="2"/>
    </w:pPr>
    <w:rPr>
      <w:rFonts w:asciiTheme="majorHAnsi" w:eastAsiaTheme="majorEastAsia" w:hAnsiTheme="majorHAnsi" w:cstheme="majorBidi" w:ascii="Times New Roman" w:hAnsi="Times New Roman" w:cs="Times New Roman" w:eastAsia="Times New Roman"/>
      <w:b/>
      <w:bCs/>
      <w:i w:val="0"/>
      <w:color w:val="000000"/>
      <w:sz w:val="24"/>
      <w:szCs w:val="24"/>
    </w:rPr>
  </w:style>
  <w:style w:type="paragraph" w:styleId="Heading4">
    <w:name w:val="Heading 4"/>
    <w:basedOn w:val="Normal"/>
    <w:next w:val="BodyText"/>
    <w:uiPriority w:val="9"/>
    <w:unhideWhenUsed/>
    <w:qFormat/>
    <w:pPr>
      <w:keepNext/>
      <w:keepLines/>
      <w:spacing w:before="360" w:after="200" w:line="360" w:lineRule="auto"/>
      <w:outlineLvl w:val="3"/>
    </w:pPr>
    <w:rPr>
      <w:rFonts w:asciiTheme="majorHAnsi" w:eastAsiaTheme="majorEastAsia" w:hAnsiTheme="majorHAnsi" w:cstheme="majorBidi" w:ascii="Times New Roman" w:hAnsi="Times New Roman" w:cs="Times New Roman" w:eastAsia="Times New Roman"/>
      <w:i/>
      <w:b/>
      <w:bCs/>
      <w:color w:val="000000"/>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pPr>
      <w:spacing w:line="240" w:lineRule="auto"/>
      <w:jc w:val="both"/>
    </w:pPr>
    <w:rPr>
      <w:rFonts w:ascii="Times New Roman" w:hAnsi="Times New Roman" w:cs="Times New Roman" w:eastAsia="Times New Roman"/>
      <w:color w:val="000000"/>
      <w:sz w:val="20"/>
    </w:r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2026-08-25T19:35:32Z</dcterms:created>
  <dcterms:modified xsi:type="dcterms:W3CDTF">2026-08-25T19:35:32Z</dcterms:modified>
</cp:coreProperties>
</file>

<file path=docProps/custom.xml><?xml version="1.0" encoding="utf-8"?>
<Properties xmlns="http://schemas.openxmlformats.org/officeDocument/2006/custom-properties" xmlns:vt="http://schemas.openxmlformats.org/officeDocument/2006/docPropsVTypes"/>
</file>