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微软雅黑" w:hAnsi="微软雅黑" w:eastAsia="微软雅黑"/>
          <w:b/>
          <w:color w:val="1F4E79"/>
          <w:sz w:val="52"/>
        </w:rPr>
        <w:t>AI智能体设计方案</w:t>
      </w:r>
    </w:p>
    <w:p>
      <w:pPr>
        <w:spacing w:before="200"/>
        <w:jc w:val="center"/>
      </w:pPr>
      <w:r>
        <w:rPr>
          <w:rFonts w:ascii="微软雅黑" w:hAnsi="微软雅黑" w:eastAsia="微软雅黑"/>
          <w:b/>
          <w:color w:val="355B7D"/>
          <w:sz w:val="32"/>
        </w:rPr>
        <w:t>城市基础设施定检报告智能抽取与证据增强系统</w:t>
      </w:r>
    </w:p>
    <w:p>
      <w:pPr>
        <w:spacing w:before="240"/>
        <w:jc w:val="center"/>
      </w:pPr>
      <w:r>
        <w:rPr>
          <w:rFonts w:ascii="微软雅黑" w:hAnsi="微软雅黑" w:eastAsia="微软雅黑"/>
          <w:b/>
          <w:color w:val="222222"/>
          <w:sz w:val="26"/>
        </w:rPr>
        <w:t>作品名称：智鉴城脉</w:t>
      </w:r>
    </w:p>
    <w:tbl>
      <w:tblPr>
        <w:tblStyle w:val="TableGrid"/>
        <w:tblW w:type="auto" w:w="0"/>
        <w:jc w:val="center"/>
        <w:tblLook w:firstColumn="1" w:firstRow="1" w:lastColumn="0" w:lastRow="0" w:noHBand="0" w:noVBand="1" w:val="04A0"/>
      </w:tblPr>
      <w:tblGrid>
        <w:gridCol w:w="4929"/>
        <w:gridCol w:w="4929"/>
      </w:tblGrid>
      <w:tr>
        <w:tc>
          <w:tcPr>
            <w:tcW w:type="dxa" w:w="4929"/>
            <w:shd w:fill="EAF2F8"/>
            <w:tcMar>
              <w:top w:w="120" w:type="dxa"/>
              <w:start w:w="150" w:type="dxa"/>
              <w:bottom w:w="120" w:type="dxa"/>
              <w:end w:w="150" w:type="dxa"/>
            </w:tcMar>
          </w:tcPr>
          <w:p>
            <w:r>
              <w:rPr>
                <w:rFonts w:ascii="微软雅黑" w:hAnsi="微软雅黑" w:eastAsia="微软雅黑"/>
                <w:b/>
                <w:color w:val="1F4E79"/>
                <w:sz w:val="21"/>
              </w:rPr>
              <w:t>参赛队伍</w:t>
            </w:r>
          </w:p>
        </w:tc>
        <w:tc>
          <w:tcPr>
            <w:tcW w:type="dxa" w:w="4929"/>
            <w:tcMar>
              <w:top w:w="120" w:type="dxa"/>
              <w:start w:w="150" w:type="dxa"/>
              <w:bottom w:w="120" w:type="dxa"/>
              <w:end w:w="150" w:type="dxa"/>
            </w:tcMar>
          </w:tcPr>
          <w:p>
            <w:r>
              <w:rPr>
                <w:rFonts w:ascii="微软雅黑" w:hAnsi="微软雅黑" w:eastAsia="微软雅黑"/>
                <w:b w:val="0"/>
                <w:color w:val="222222"/>
                <w:sz w:val="21"/>
              </w:rPr>
              <w:t>山水智鉴</w:t>
            </w:r>
          </w:p>
        </w:tc>
      </w:tr>
      <w:tr>
        <w:tc>
          <w:tcPr>
            <w:tcW w:type="dxa" w:w="4929"/>
            <w:shd w:fill="EAF2F8"/>
            <w:tcMar>
              <w:top w:w="120" w:type="dxa"/>
              <w:start w:w="150" w:type="dxa"/>
              <w:bottom w:w="120" w:type="dxa"/>
              <w:end w:w="150" w:type="dxa"/>
            </w:tcMar>
          </w:tcPr>
          <w:p>
            <w:r>
              <w:rPr>
                <w:rFonts w:ascii="微软雅黑" w:hAnsi="微软雅黑" w:eastAsia="微软雅黑"/>
                <w:b/>
                <w:color w:val="1F4E79"/>
                <w:sz w:val="21"/>
              </w:rPr>
              <w:t>系统定位</w:t>
            </w:r>
          </w:p>
        </w:tc>
        <w:tc>
          <w:tcPr>
            <w:tcW w:type="dxa" w:w="4929"/>
            <w:tcMar>
              <w:top w:w="120" w:type="dxa"/>
              <w:start w:w="150" w:type="dxa"/>
              <w:bottom w:w="120" w:type="dxa"/>
              <w:end w:w="150" w:type="dxa"/>
            </w:tcMar>
          </w:tcPr>
          <w:p>
            <w:r>
              <w:rPr>
                <w:rFonts w:ascii="微软雅黑" w:hAnsi="微软雅黑" w:eastAsia="微软雅黑"/>
                <w:b w:val="0"/>
                <w:color w:val="222222"/>
                <w:sz w:val="21"/>
              </w:rPr>
              <w:t>Word-first确定性抽取 + 可选证据约束RAG/LLM</w:t>
            </w:r>
          </w:p>
        </w:tc>
      </w:tr>
      <w:tr>
        <w:tc>
          <w:tcPr>
            <w:tcW w:type="dxa" w:w="4929"/>
            <w:shd w:fill="EAF2F8"/>
            <w:tcMar>
              <w:top w:w="120" w:type="dxa"/>
              <w:start w:w="150" w:type="dxa"/>
              <w:bottom w:w="120" w:type="dxa"/>
              <w:end w:w="150" w:type="dxa"/>
            </w:tcMar>
          </w:tcPr>
          <w:p>
            <w:r>
              <w:rPr>
                <w:rFonts w:ascii="微软雅黑" w:hAnsi="微软雅黑" w:eastAsia="微软雅黑"/>
                <w:b/>
                <w:color w:val="1F4E79"/>
                <w:sz w:val="21"/>
              </w:rPr>
              <w:t>处理对象</w:t>
            </w:r>
          </w:p>
        </w:tc>
        <w:tc>
          <w:tcPr>
            <w:tcW w:type="dxa" w:w="4929"/>
            <w:tcMar>
              <w:top w:w="120" w:type="dxa"/>
              <w:start w:w="150" w:type="dxa"/>
              <w:bottom w:w="120" w:type="dxa"/>
              <w:end w:w="150" w:type="dxa"/>
            </w:tcMar>
          </w:tcPr>
          <w:p>
            <w:r>
              <w:rPr>
                <w:rFonts w:ascii="微软雅黑" w:hAnsi="微软雅黑" w:eastAsia="微软雅黑"/>
                <w:b w:val="0"/>
                <w:color w:val="222222"/>
                <w:sz w:val="21"/>
              </w:rPr>
              <w:t>城市桥梁、人行天桥、人行通道等定检报告</w:t>
            </w:r>
          </w:p>
        </w:tc>
      </w:tr>
      <w:tr>
        <w:tc>
          <w:tcPr>
            <w:tcW w:type="dxa" w:w="4929"/>
            <w:shd w:fill="EAF2F8"/>
            <w:tcMar>
              <w:top w:w="120" w:type="dxa"/>
              <w:start w:w="150" w:type="dxa"/>
              <w:bottom w:w="120" w:type="dxa"/>
              <w:end w:w="150" w:type="dxa"/>
            </w:tcMar>
          </w:tcPr>
          <w:p>
            <w:r>
              <w:rPr>
                <w:rFonts w:ascii="微软雅黑" w:hAnsi="微软雅黑" w:eastAsia="微软雅黑"/>
                <w:b/>
                <w:color w:val="1F4E79"/>
                <w:sz w:val="21"/>
              </w:rPr>
              <w:t>完成日期</w:t>
            </w:r>
          </w:p>
        </w:tc>
        <w:tc>
          <w:tcPr>
            <w:tcW w:type="dxa" w:w="4929"/>
            <w:tcMar>
              <w:top w:w="120" w:type="dxa"/>
              <w:start w:w="150" w:type="dxa"/>
              <w:bottom w:w="120" w:type="dxa"/>
              <w:end w:w="150" w:type="dxa"/>
            </w:tcMar>
          </w:tcPr>
          <w:p>
            <w:r>
              <w:rPr>
                <w:rFonts w:ascii="微软雅黑" w:hAnsi="微软雅黑" w:eastAsia="微软雅黑"/>
                <w:b w:val="0"/>
                <w:color w:val="222222"/>
                <w:sz w:val="21"/>
              </w:rPr>
              <w:t>2026年8月6日</w:t>
            </w:r>
          </w:p>
        </w:tc>
      </w:tr>
    </w:tbl>
    <w:p>
      <w:pPr>
        <w:spacing w:before="720"/>
        <w:jc w:val="center"/>
      </w:pPr>
      <w:r>
        <w:rPr>
          <w:rFonts w:ascii="微软雅黑" w:hAnsi="微软雅黑" w:eastAsia="微软雅黑"/>
          <w:b/>
          <w:color w:val="5B7F95"/>
          <w:sz w:val="23"/>
        </w:rPr>
        <w:t>事实优先 · 证据可追溯 · 失败可回退 · 固定模板交付</w:t>
      </w:r>
    </w:p>
    <w:p>
      <w:r>
        <w:br w:type="page"/>
      </w:r>
    </w:p>
    <w:p>
      <w:pPr>
        <w:pStyle w:val="Heading1"/>
        <w:spacing w:before="200" w:after="100"/>
      </w:pPr>
      <w:r>
        <w:rPr>
          <w:rFonts w:ascii="微软雅黑" w:hAnsi="微软雅黑" w:eastAsia="微软雅黑"/>
          <w:b/>
          <w:color w:val="1F4E79"/>
          <w:sz w:val="30"/>
        </w:rPr>
        <w:t>一、需求与痛点分析</w:t>
      </w:r>
    </w:p>
    <w:p>
      <w:pPr>
        <w:spacing w:before="0" w:after="100" w:line="324" w:lineRule="auto"/>
      </w:pPr>
      <w:r>
        <w:rPr>
          <w:rFonts w:ascii="微软雅黑" w:hAnsi="微软雅黑" w:eastAsia="微软雅黑"/>
          <w:b w:val="0"/>
          <w:color w:val="222222"/>
          <w:sz w:val="21"/>
        </w:rPr>
        <w:t>城市基础设施定检报告以旧版 DOC、复杂 DOCX 表格和长篇工程文本为主，报告模板、设施类型和字段表达不统一。竞赛要求系统在离线或受限环境中批量生成固定格式 Word 结果，既要保持名称、日期、评分、等级、病害和建议等事实准确，又要形成可读的结论、成因和安全影响文本。</w:t>
      </w:r>
    </w:p>
    <w:p>
      <w:pPr>
        <w:pStyle w:val="Heading2"/>
        <w:spacing w:before="120" w:after="100"/>
      </w:pPr>
      <w:r>
        <w:rPr>
          <w:rFonts w:ascii="微软雅黑" w:hAnsi="微软雅黑" w:eastAsia="微软雅黑"/>
          <w:b/>
          <w:color w:val="1F4E79"/>
          <w:sz w:val="24"/>
        </w:rPr>
        <w:t>1.1 关键业务痛点</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1814"/>
            <w:shd w:fill="D9EAF7"/>
            <w:vAlign w:val="center"/>
            <w:tcMar>
              <w:top w:w="90" w:type="dxa"/>
              <w:start w:w="100" w:type="dxa"/>
              <w:bottom w:w="90" w:type="dxa"/>
              <w:end w:w="100" w:type="dxa"/>
            </w:tcMar>
          </w:tcPr>
          <w:p>
            <w:pPr>
              <w:jc w:val="center"/>
            </w:pPr>
            <w:r>
              <w:rPr>
                <w:rFonts w:ascii="微软雅黑" w:hAnsi="微软雅黑" w:eastAsia="微软雅黑"/>
                <w:b/>
                <w:color w:val="1F4E79"/>
                <w:sz w:val="19"/>
              </w:rPr>
              <w:t>痛点</w:t>
            </w:r>
          </w:p>
        </w:tc>
        <w:tc>
          <w:tcPr>
            <w:tcW w:type="dxa" w:w="3458"/>
            <w:shd w:fill="D9EAF7"/>
            <w:vAlign w:val="center"/>
            <w:tcMar>
              <w:top w:w="90" w:type="dxa"/>
              <w:start w:w="100" w:type="dxa"/>
              <w:bottom w:w="90" w:type="dxa"/>
              <w:end w:w="100" w:type="dxa"/>
            </w:tcMar>
          </w:tcPr>
          <w:p>
            <w:pPr>
              <w:jc w:val="center"/>
            </w:pPr>
            <w:r>
              <w:rPr>
                <w:rFonts w:ascii="微软雅黑" w:hAnsi="微软雅黑" w:eastAsia="微软雅黑"/>
                <w:b/>
                <w:color w:val="1F4E79"/>
                <w:sz w:val="19"/>
              </w:rPr>
              <w:t>典型表现</w:t>
            </w:r>
          </w:p>
        </w:tc>
        <w:tc>
          <w:tcPr>
            <w:tcW w:type="dxa" w:w="3458"/>
            <w:shd w:fill="D9EAF7"/>
            <w:vAlign w:val="center"/>
            <w:tcMar>
              <w:top w:w="90" w:type="dxa"/>
              <w:start w:w="100" w:type="dxa"/>
              <w:bottom w:w="90" w:type="dxa"/>
              <w:end w:w="100" w:type="dxa"/>
            </w:tcMar>
          </w:tcPr>
          <w:p>
            <w:pPr>
              <w:jc w:val="center"/>
            </w:pPr>
            <w:r>
              <w:rPr>
                <w:rFonts w:ascii="微软雅黑" w:hAnsi="微软雅黑" w:eastAsia="微软雅黑"/>
                <w:b/>
                <w:color w:val="1F4E79"/>
                <w:sz w:val="19"/>
              </w:rPr>
              <w:t>系统应对</w:t>
            </w:r>
          </w:p>
        </w:tc>
      </w:tr>
      <w:tr>
        <w:tc>
          <w:tcPr>
            <w:tcW w:type="dxa" w:w="1814"/>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旧格式与复杂表格</w:t>
            </w:r>
          </w:p>
        </w:tc>
        <w:tc>
          <w:tcPr>
            <w:tcW w:type="dxa" w:w="3458"/>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DOC转换、跨行单元格、照片标题、重复表头</w:t>
            </w:r>
          </w:p>
        </w:tc>
        <w:tc>
          <w:tcPr>
            <w:tcW w:type="dxa" w:w="3458"/>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LibreOffice转换 + OOXML结构解析 + 行级规则</w:t>
            </w:r>
          </w:p>
        </w:tc>
      </w:tr>
      <w:tr>
        <w:tc>
          <w:tcPr>
            <w:tcW w:type="dxa" w:w="1814"/>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设施类型多样</w:t>
            </w:r>
          </w:p>
        </w:tc>
        <w:tc>
          <w:tcPr>
            <w:tcW w:type="dxa" w:w="3458"/>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桥梁、人行天桥、人行通道的构件体系和称谓不同</w:t>
            </w:r>
          </w:p>
        </w:tc>
        <w:tc>
          <w:tcPr>
            <w:tcW w:type="dxa" w:w="3458"/>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FacilityContext动态设施语义</w:t>
            </w:r>
          </w:p>
        </w:tc>
      </w:tr>
      <w:tr>
        <w:tc>
          <w:tcPr>
            <w:tcW w:type="dxa" w:w="1814"/>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硬事实与叙述混合</w:t>
            </w:r>
          </w:p>
        </w:tc>
        <w:tc>
          <w:tcPr>
            <w:tcW w:type="dxa" w:w="3458"/>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评分等级可精确抽取，成因和安全影响常需语义筛选</w:t>
            </w:r>
          </w:p>
        </w:tc>
        <w:tc>
          <w:tcPr>
            <w:tcW w:type="dxa" w:w="3458"/>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事实层锁定，语义层只处理授权字段</w:t>
            </w:r>
          </w:p>
        </w:tc>
      </w:tr>
      <w:tr>
        <w:tc>
          <w:tcPr>
            <w:tcW w:type="dxa" w:w="1814"/>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平台强调文本一致性</w:t>
            </w:r>
          </w:p>
        </w:tc>
        <w:tc>
          <w:tcPr>
            <w:tcW w:type="dxa" w:w="3458"/>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通用模板虽流畅，但可能缺少当前报告证据</w:t>
            </w:r>
          </w:p>
        </w:tc>
        <w:tc>
          <w:tcPr>
            <w:tcW w:type="dxa" w:w="3458"/>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无证据不扩写，字段级校验与回退</w:t>
            </w:r>
          </w:p>
        </w:tc>
      </w:tr>
      <w:tr>
        <w:tc>
          <w:tcPr>
            <w:tcW w:type="dxa" w:w="1814"/>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固定Word交付</w:t>
            </w:r>
          </w:p>
        </w:tc>
        <w:tc>
          <w:tcPr>
            <w:tcW w:type="dxa" w:w="3458"/>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92份结果需同名、同模板、可转换为DOC</w:t>
            </w:r>
          </w:p>
        </w:tc>
        <w:tc>
          <w:tcPr>
            <w:tcW w:type="dxa" w:w="3458"/>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生产模板渲染 + 清单校验 + 打包校验</w:t>
            </w:r>
          </w:p>
        </w:tc>
      </w:tr>
    </w:tbl>
    <w:p>
      <w:pPr>
        <w:spacing w:after="0"/>
      </w:pPr>
    </w:p>
    <w:p>
      <w:pPr>
        <w:pStyle w:val="Heading2"/>
        <w:spacing w:before="120" w:after="100"/>
      </w:pPr>
      <w:r>
        <w:rPr>
          <w:rFonts w:ascii="微软雅黑" w:hAnsi="微软雅黑" w:eastAsia="微软雅黑"/>
          <w:b/>
          <w:color w:val="1F4E79"/>
          <w:sz w:val="24"/>
        </w:rPr>
        <w:t>1.2 设计目标</w:t>
      </w:r>
    </w:p>
    <w:p>
      <w:pPr>
        <w:pStyle w:val="ListBullet"/>
        <w:spacing w:after="60" w:line="300" w:lineRule="auto"/>
        <w:ind w:left="312" w:hanging="142"/>
      </w:pPr>
      <w:r>
        <w:rPr>
          <w:rFonts w:ascii="微软雅黑" w:hAnsi="微软雅黑" w:eastAsia="微软雅黑"/>
          <w:b w:val="0"/>
          <w:color w:val="222222"/>
          <w:sz w:val="20"/>
        </w:rPr>
        <w:t>正确：名称、日期、评分、等级、历史变化、病害和建议以当前报告与官方文件身份为准。</w:t>
      </w:r>
    </w:p>
    <w:p>
      <w:pPr>
        <w:pStyle w:val="ListBullet"/>
        <w:spacing w:after="60" w:line="300" w:lineRule="auto"/>
        <w:ind w:left="312" w:hanging="142"/>
      </w:pPr>
      <w:r>
        <w:rPr>
          <w:rFonts w:ascii="微软雅黑" w:hAnsi="微软雅黑" w:eastAsia="微软雅黑"/>
          <w:b w:val="0"/>
          <w:color w:val="222222"/>
          <w:sz w:val="20"/>
        </w:rPr>
        <w:t>一致：摘要、建议表和详细文本之间不自相矛盾；生成句必须能够回指当前报告证据。</w:t>
      </w:r>
    </w:p>
    <w:p>
      <w:pPr>
        <w:pStyle w:val="ListBullet"/>
        <w:spacing w:after="60" w:line="300" w:lineRule="auto"/>
        <w:ind w:left="312" w:hanging="142"/>
      </w:pPr>
      <w:r>
        <w:rPr>
          <w:rFonts w:ascii="微软雅黑" w:hAnsi="微软雅黑" w:eastAsia="微软雅黑"/>
          <w:b w:val="0"/>
          <w:color w:val="222222"/>
          <w:sz w:val="20"/>
        </w:rPr>
        <w:t>稳定：单个字段失败只回退该字段，不影响整份报告和批处理任务。</w:t>
      </w:r>
    </w:p>
    <w:p>
      <w:pPr>
        <w:pStyle w:val="ListBullet"/>
        <w:spacing w:after="60" w:line="300" w:lineRule="auto"/>
        <w:ind w:left="312" w:hanging="142"/>
      </w:pPr>
      <w:r>
        <w:rPr>
          <w:rFonts w:ascii="微软雅黑" w:hAnsi="微软雅黑" w:eastAsia="微软雅黑"/>
          <w:b w:val="0"/>
          <w:color w:val="222222"/>
          <w:sz w:val="20"/>
        </w:rPr>
        <w:t>可交付：形成 prediction.jsonl、固定模板 DOCX、最终 DOC 和 code/design/result 提交包。</w:t>
      </w:r>
    </w:p>
    <w:p>
      <w:pPr>
        <w:pStyle w:val="Heading1"/>
        <w:spacing w:before="200" w:after="100"/>
      </w:pPr>
      <w:r>
        <w:rPr>
          <w:rFonts w:ascii="微软雅黑" w:hAnsi="微软雅黑" w:eastAsia="微软雅黑"/>
          <w:b/>
          <w:color w:val="1F4E79"/>
          <w:sz w:val="30"/>
        </w:rPr>
        <w:t>二、智能体总体架构设计</w:t>
      </w:r>
    </w:p>
    <w:p>
      <w:pPr>
        <w:spacing w:before="0" w:after="100" w:line="324" w:lineRule="auto"/>
      </w:pPr>
      <w:r>
        <w:rPr>
          <w:rFonts w:ascii="微软雅黑" w:hAnsi="微软雅黑" w:eastAsia="微软雅黑"/>
          <w:b w:val="0"/>
          <w:color w:val="222222"/>
          <w:sz w:val="21"/>
        </w:rPr>
        <w:t>系统采用“Word-first 确定性主链 + 可选语义增强支链”。确定性主链始终可独立运行，RAG/LLM 不接管评分、等级、病害数量等锁定事实。</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1587"/>
            <w:shd w:fill="D9EAF7"/>
            <w:vAlign w:val="center"/>
            <w:tcMar>
              <w:top w:w="90" w:type="dxa"/>
              <w:start w:w="100" w:type="dxa"/>
              <w:bottom w:w="90" w:type="dxa"/>
              <w:end w:w="100" w:type="dxa"/>
            </w:tcMar>
          </w:tcPr>
          <w:p>
            <w:pPr>
              <w:jc w:val="center"/>
            </w:pPr>
            <w:r>
              <w:rPr>
                <w:rFonts w:ascii="微软雅黑" w:hAnsi="微软雅黑" w:eastAsia="微软雅黑"/>
                <w:b/>
                <w:color w:val="1F4E79"/>
                <w:sz w:val="19"/>
              </w:rPr>
              <w:t>层级</w:t>
            </w:r>
          </w:p>
        </w:tc>
        <w:tc>
          <w:tcPr>
            <w:tcW w:type="dxa" w:w="4819"/>
            <w:shd w:fill="D9EAF7"/>
            <w:vAlign w:val="center"/>
            <w:tcMar>
              <w:top w:w="90" w:type="dxa"/>
              <w:start w:w="100" w:type="dxa"/>
              <w:bottom w:w="90" w:type="dxa"/>
              <w:end w:w="100" w:type="dxa"/>
            </w:tcMar>
          </w:tcPr>
          <w:p>
            <w:pPr>
              <w:jc w:val="center"/>
            </w:pPr>
            <w:r>
              <w:rPr>
                <w:rFonts w:ascii="微软雅黑" w:hAnsi="微软雅黑" w:eastAsia="微软雅黑"/>
                <w:b/>
                <w:color w:val="1F4E79"/>
                <w:sz w:val="19"/>
              </w:rPr>
              <w:t>输入/处理</w:t>
            </w:r>
          </w:p>
        </w:tc>
        <w:tc>
          <w:tcPr>
            <w:tcW w:type="dxa" w:w="2268"/>
            <w:shd w:fill="D9EAF7"/>
            <w:vAlign w:val="center"/>
            <w:tcMar>
              <w:top w:w="90" w:type="dxa"/>
              <w:start w:w="100" w:type="dxa"/>
              <w:bottom w:w="90" w:type="dxa"/>
              <w:end w:w="100" w:type="dxa"/>
            </w:tcMar>
          </w:tcPr>
          <w:p>
            <w:pPr>
              <w:jc w:val="center"/>
            </w:pPr>
            <w:r>
              <w:rPr>
                <w:rFonts w:ascii="微软雅黑" w:hAnsi="微软雅黑" w:eastAsia="微软雅黑"/>
                <w:b/>
                <w:color w:val="1F4E79"/>
                <w:sz w:val="19"/>
              </w:rPr>
              <w:t>输出</w:t>
            </w:r>
          </w:p>
        </w:tc>
      </w:tr>
      <w:tr>
        <w:tc>
          <w:tcPr>
            <w:tcW w:type="dxa" w:w="1587"/>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1 数据输入</w:t>
            </w:r>
          </w:p>
        </w:tc>
        <w:tc>
          <w:tcPr>
            <w:tcW w:type="dxa" w:w="4819"/>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官方DOC/DOCX、文件名身份事实</w:t>
            </w:r>
          </w:p>
        </w:tc>
        <w:tc>
          <w:tcPr>
            <w:tcW w:type="dxa" w:w="2268"/>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待转换文档</w:t>
            </w:r>
          </w:p>
        </w:tc>
      </w:tr>
      <w:tr>
        <w:tc>
          <w:tcPr>
            <w:tcW w:type="dxa" w:w="1587"/>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2 文档转换</w:t>
            </w:r>
          </w:p>
        </w:tc>
        <w:tc>
          <w:tcPr>
            <w:tcW w:type="dxa" w:w="4819"/>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LibreOffice将DOC转换为DOCX</w:t>
            </w:r>
          </w:p>
        </w:tc>
        <w:tc>
          <w:tcPr>
            <w:tcW w:type="dxa" w:w="2268"/>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统一DOCX</w:t>
            </w:r>
          </w:p>
        </w:tc>
      </w:tr>
      <w:tr>
        <w:tc>
          <w:tcPr>
            <w:tcW w:type="dxa" w:w="1587"/>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3 结构解析</w:t>
            </w:r>
          </w:p>
        </w:tc>
        <w:tc>
          <w:tcPr>
            <w:tcW w:type="dxa" w:w="4819"/>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段落、表格、单元格、图片关系、SourceAnchor</w:t>
            </w:r>
          </w:p>
        </w:tc>
        <w:tc>
          <w:tcPr>
            <w:tcW w:type="dxa" w:w="2268"/>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DocumentModel</w:t>
            </w:r>
          </w:p>
        </w:tc>
      </w:tr>
      <w:tr>
        <w:tc>
          <w:tcPr>
            <w:tcW w:type="dxa" w:w="1587"/>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4 章节路由</w:t>
            </w:r>
          </w:p>
        </w:tc>
        <w:tc>
          <w:tcPr>
            <w:tcW w:type="dxa" w:w="4819"/>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概要、结论、病害、建议等语义章节</w:t>
            </w:r>
          </w:p>
        </w:tc>
        <w:tc>
          <w:tcPr>
            <w:tcW w:type="dxa" w:w="2268"/>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SectionRoute</w:t>
            </w:r>
          </w:p>
        </w:tc>
      </w:tr>
      <w:tr>
        <w:tc>
          <w:tcPr>
            <w:tcW w:type="dxa" w:w="1587"/>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5 确定性抽取</w:t>
            </w:r>
          </w:p>
        </w:tc>
        <w:tc>
          <w:tcPr>
            <w:tcW w:type="dxa" w:w="4819"/>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概要、病害、建议、正文证据</w:t>
            </w:r>
          </w:p>
        </w:tc>
        <w:tc>
          <w:tcPr>
            <w:tcW w:type="dxa" w:w="2268"/>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InspectionPrediction基线</w:t>
            </w:r>
          </w:p>
        </w:tc>
      </w:tr>
      <w:tr>
        <w:tc>
          <w:tcPr>
            <w:tcW w:type="dxa" w:w="1587"/>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6 输出规范化</w:t>
            </w:r>
          </w:p>
        </w:tc>
        <w:tc>
          <w:tcPr>
            <w:tcW w:type="dxa" w:w="4819"/>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类别统一、摘要重算、格式噪音清理</w:t>
            </w:r>
          </w:p>
        </w:tc>
        <w:tc>
          <w:tcPr>
            <w:tcW w:type="dxa" w:w="2268"/>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内部一致的Prediction</w:t>
            </w:r>
          </w:p>
        </w:tc>
      </w:tr>
      <w:tr>
        <w:tc>
          <w:tcPr>
            <w:tcW w:type="dxa" w:w="1587"/>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7 可选RAG/LLM</w:t>
            </w:r>
          </w:p>
        </w:tc>
        <w:tc>
          <w:tcPr>
            <w:tcW w:type="dxa" w:w="4819"/>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报告证据检索、受限语义决策、字段级回退</w:t>
            </w:r>
          </w:p>
        </w:tc>
        <w:tc>
          <w:tcPr>
            <w:tcW w:type="dxa" w:w="2268"/>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经验证的语义字段</w:t>
            </w:r>
          </w:p>
        </w:tc>
      </w:tr>
      <w:tr>
        <w:tc>
          <w:tcPr>
            <w:tcW w:type="dxa" w:w="1587"/>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8 固定模板渲染</w:t>
            </w:r>
          </w:p>
        </w:tc>
        <w:tc>
          <w:tcPr>
            <w:tcW w:type="dxa" w:w="4819"/>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模板字段映射和动态设施称谓</w:t>
            </w:r>
          </w:p>
        </w:tc>
        <w:tc>
          <w:tcPr>
            <w:tcW w:type="dxa" w:w="2268"/>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DOCX</w:t>
            </w:r>
          </w:p>
        </w:tc>
      </w:tr>
      <w:tr>
        <w:tc>
          <w:tcPr>
            <w:tcW w:type="dxa" w:w="1587"/>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9 格式转换与打包</w:t>
            </w:r>
          </w:p>
        </w:tc>
        <w:tc>
          <w:tcPr>
            <w:tcW w:type="dxa" w:w="4819"/>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DOCX转DOC、清单和目录校验</w:t>
            </w:r>
          </w:p>
        </w:tc>
        <w:tc>
          <w:tcPr>
            <w:tcW w:type="dxa" w:w="2268"/>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submission.tar.gz</w:t>
            </w:r>
          </w:p>
        </w:tc>
      </w:tr>
    </w:tbl>
    <w:p>
      <w:pPr>
        <w:spacing w:after="0"/>
      </w:pPr>
    </w:p>
    <w:p>
      <w:pPr>
        <w:spacing w:before="160" w:after="160"/>
        <w:jc w:val="center"/>
      </w:pPr>
      <w:r>
        <w:rPr>
          <w:rFonts w:ascii="微软雅黑" w:hAnsi="微软雅黑" w:eastAsia="微软雅黑"/>
          <w:b/>
          <w:color w:val="1F4E79"/>
          <w:sz w:val="21"/>
        </w:rPr>
        <w:t>DOC/DOCX → 结构解析 → 章节路由 → 确定性事实抽取 → 规范化 → 可选语义增强 → 模板渲染 → DOC → 提交包</w:t>
      </w:r>
    </w:p>
    <w:p>
      <w:pPr>
        <w:spacing w:before="0" w:after="100" w:line="324" w:lineRule="auto"/>
      </w:pPr>
      <w:r>
        <w:rPr>
          <w:rFonts w:ascii="微软雅黑" w:hAnsi="微软雅黑" w:eastAsia="微软雅黑"/>
          <w:b w:val="0"/>
          <w:color w:val="222222"/>
          <w:sz w:val="21"/>
        </w:rPr>
        <w:t>数据边界：当前报告是唯一事实源；Gold 样例仅用于字段映射和表达形态参考；专业知识仅用于解释已有病害，不能补造本报告未出现的事实。</w:t>
      </w:r>
    </w:p>
    <w:p>
      <w:pPr>
        <w:pStyle w:val="Heading1"/>
        <w:spacing w:before="200" w:after="100"/>
      </w:pPr>
      <w:r>
        <w:rPr>
          <w:rFonts w:ascii="微软雅黑" w:hAnsi="微软雅黑" w:eastAsia="微软雅黑"/>
          <w:b/>
          <w:color w:val="1F4E79"/>
          <w:sz w:val="30"/>
        </w:rPr>
        <w:t>三、核心模块详细设计</w:t>
      </w:r>
    </w:p>
    <w:p>
      <w:pPr>
        <w:pStyle w:val="Heading2"/>
        <w:spacing w:before="120" w:after="100"/>
      </w:pPr>
      <w:r>
        <w:rPr>
          <w:rFonts w:ascii="微软雅黑" w:hAnsi="微软雅黑" w:eastAsia="微软雅黑"/>
          <w:b/>
          <w:color w:val="1F4E79"/>
          <w:sz w:val="24"/>
        </w:rPr>
        <w:t>3.1 文档解析与章节路由</w:t>
      </w:r>
    </w:p>
    <w:p>
      <w:pPr>
        <w:pStyle w:val="ListBullet"/>
        <w:spacing w:after="60" w:line="300" w:lineRule="auto"/>
        <w:ind w:left="312" w:hanging="142"/>
      </w:pPr>
      <w:r>
        <w:rPr>
          <w:rFonts w:ascii="微软雅黑" w:hAnsi="微软雅黑" w:eastAsia="微软雅黑"/>
          <w:b w:val="0"/>
          <w:color w:val="222222"/>
          <w:sz w:val="20"/>
        </w:rPr>
        <w:t>解析段落、表格、合并单元格与原始文本位置，所有结构化事实保留 SourceAnchor。</w:t>
      </w:r>
    </w:p>
    <w:p>
      <w:pPr>
        <w:pStyle w:val="ListBullet"/>
        <w:spacing w:after="60" w:line="300" w:lineRule="auto"/>
        <w:ind w:left="312" w:hanging="142"/>
      </w:pPr>
      <w:r>
        <w:rPr>
          <w:rFonts w:ascii="微软雅黑" w:hAnsi="微软雅黑" w:eastAsia="微软雅黑"/>
          <w:b w:val="0"/>
          <w:color w:val="222222"/>
          <w:sz w:val="20"/>
        </w:rPr>
        <w:t>路由器识别“总体评定、外观检查、病害明细、处理意见、养护建议”等标准及非标准标题。</w:t>
      </w:r>
    </w:p>
    <w:p>
      <w:pPr>
        <w:pStyle w:val="ListBullet"/>
        <w:spacing w:after="60" w:line="300" w:lineRule="auto"/>
        <w:ind w:left="312" w:hanging="142"/>
      </w:pPr>
      <w:r>
        <w:rPr>
          <w:rFonts w:ascii="微软雅黑" w:hAnsi="微软雅黑" w:eastAsia="微软雅黑"/>
          <w:b w:val="0"/>
          <w:color w:val="222222"/>
          <w:sz w:val="20"/>
        </w:rPr>
        <w:t>对扁平化单表报告，通过标签单元格恢复日期、结论和建议。</w:t>
      </w:r>
    </w:p>
    <w:p>
      <w:pPr>
        <w:pStyle w:val="Heading2"/>
        <w:spacing w:before="120" w:after="100"/>
      </w:pPr>
      <w:r>
        <w:rPr>
          <w:rFonts w:ascii="微软雅黑" w:hAnsi="微软雅黑" w:eastAsia="微软雅黑"/>
          <w:b/>
          <w:color w:val="1F4E79"/>
          <w:sz w:val="24"/>
        </w:rPr>
        <w:t>3.2 概要事实抽取</w:t>
      </w:r>
    </w:p>
    <w:p>
      <w:pPr>
        <w:pStyle w:val="ListBullet"/>
        <w:spacing w:after="60" w:line="300" w:lineRule="auto"/>
        <w:ind w:left="312" w:hanging="142"/>
      </w:pPr>
      <w:r>
        <w:rPr>
          <w:rFonts w:ascii="微软雅黑" w:hAnsi="微软雅黑" w:eastAsia="微软雅黑"/>
          <w:b w:val="0"/>
          <w:color w:val="222222"/>
          <w:sz w:val="20"/>
        </w:rPr>
        <w:t>从明确字段、综合评定表、封面和文件名中选择名称、日期、评分和等级。</w:t>
      </w:r>
    </w:p>
    <w:p>
      <w:pPr>
        <w:pStyle w:val="ListBullet"/>
        <w:spacing w:after="60" w:line="300" w:lineRule="auto"/>
        <w:ind w:left="312" w:hanging="142"/>
      </w:pPr>
      <w:r>
        <w:rPr>
          <w:rFonts w:ascii="微软雅黑" w:hAnsi="微软雅黑" w:eastAsia="微软雅黑"/>
          <w:b w:val="0"/>
          <w:color w:val="222222"/>
          <w:sz w:val="20"/>
        </w:rPr>
        <w:t>文件名中的“原X级/现X级”作为官方身份事实，恢复历史等级和趋势；不根据等级虚构历史评分。</w:t>
      </w:r>
    </w:p>
    <w:p>
      <w:pPr>
        <w:pStyle w:val="ListBullet"/>
        <w:spacing w:after="60" w:line="300" w:lineRule="auto"/>
        <w:ind w:left="312" w:hanging="142"/>
      </w:pPr>
      <w:r>
        <w:rPr>
          <w:rFonts w:ascii="微软雅黑" w:hAnsi="微软雅黑" w:eastAsia="微软雅黑"/>
          <w:b w:val="0"/>
          <w:color w:val="222222"/>
          <w:sz w:val="20"/>
        </w:rPr>
        <w:t>文件名当前等级与正文冲突时记录候选并采用高优先级官方身份事实。</w:t>
      </w:r>
    </w:p>
    <w:p>
      <w:pPr>
        <w:pStyle w:val="Heading2"/>
        <w:spacing w:before="120" w:after="100"/>
      </w:pPr>
      <w:r>
        <w:rPr>
          <w:rFonts w:ascii="微软雅黑" w:hAnsi="微软雅黑" w:eastAsia="微软雅黑"/>
          <w:b/>
          <w:color w:val="1F4E79"/>
          <w:sz w:val="24"/>
        </w:rPr>
        <w:t>3.3 病害与建议抽取</w:t>
      </w:r>
    </w:p>
    <w:p>
      <w:pPr>
        <w:pStyle w:val="ListBullet"/>
        <w:spacing w:after="60" w:line="300" w:lineRule="auto"/>
        <w:ind w:left="312" w:hanging="142"/>
      </w:pPr>
      <w:r>
        <w:rPr>
          <w:rFonts w:ascii="微软雅黑" w:hAnsi="微软雅黑" w:eastAsia="微软雅黑"/>
          <w:b w:val="0"/>
          <w:color w:val="222222"/>
          <w:sz w:val="20"/>
        </w:rPr>
        <w:t>病害行过滤照片标题、示意图、单位行和重复表头，保留跨行位置继承及全部证据锚点。</w:t>
      </w:r>
    </w:p>
    <w:p>
      <w:pPr>
        <w:pStyle w:val="ListBullet"/>
        <w:spacing w:after="60" w:line="300" w:lineRule="auto"/>
        <w:ind w:left="312" w:hanging="142"/>
      </w:pPr>
      <w:r>
        <w:rPr>
          <w:rFonts w:ascii="微软雅黑" w:hAnsi="微软雅黑" w:eastAsia="微软雅黑"/>
          <w:b w:val="0"/>
          <w:color w:val="222222"/>
          <w:sz w:val="20"/>
        </w:rPr>
        <w:t>建议识别正文和表格中的“处理意见、维修建议、建议措施”等字段，拆分一格多条编号建议。</w:t>
      </w:r>
    </w:p>
    <w:p>
      <w:pPr>
        <w:pStyle w:val="ListBullet"/>
        <w:spacing w:after="60" w:line="300" w:lineRule="auto"/>
        <w:ind w:left="312" w:hanging="142"/>
      </w:pPr>
      <w:r>
        <w:rPr>
          <w:rFonts w:ascii="微软雅黑" w:hAnsi="微软雅黑" w:eastAsia="微软雅黑"/>
          <w:b w:val="0"/>
          <w:color w:val="222222"/>
          <w:sz w:val="20"/>
        </w:rPr>
        <w:t>建议类别在 Prediction 层统一解析，随后重新计算三类摘要，避免摘要与表格矛盾。</w:t>
      </w:r>
    </w:p>
    <w:p>
      <w:pPr>
        <w:pStyle w:val="Heading2"/>
        <w:spacing w:before="120" w:after="100"/>
      </w:pPr>
      <w:r>
        <w:rPr>
          <w:rFonts w:ascii="微软雅黑" w:hAnsi="微软雅黑" w:eastAsia="微软雅黑"/>
          <w:b/>
          <w:color w:val="1F4E79"/>
          <w:sz w:val="24"/>
        </w:rPr>
        <w:t>3.4 语义增强与回退</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1871"/>
            <w:shd w:fill="D9EAF7"/>
            <w:vAlign w:val="center"/>
            <w:tcMar>
              <w:top w:w="90" w:type="dxa"/>
              <w:start w:w="100" w:type="dxa"/>
              <w:bottom w:w="90" w:type="dxa"/>
              <w:end w:w="100" w:type="dxa"/>
            </w:tcMar>
          </w:tcPr>
          <w:p>
            <w:pPr>
              <w:jc w:val="center"/>
            </w:pPr>
            <w:r>
              <w:rPr>
                <w:rFonts w:ascii="微软雅黑" w:hAnsi="微软雅黑" w:eastAsia="微软雅黑"/>
                <w:b/>
                <w:color w:val="1F4E79"/>
                <w:sz w:val="19"/>
              </w:rPr>
              <w:t>任务</w:t>
            </w:r>
          </w:p>
        </w:tc>
        <w:tc>
          <w:tcPr>
            <w:tcW w:type="dxa" w:w="3288"/>
            <w:shd w:fill="D9EAF7"/>
            <w:vAlign w:val="center"/>
            <w:tcMar>
              <w:top w:w="90" w:type="dxa"/>
              <w:start w:w="100" w:type="dxa"/>
              <w:bottom w:w="90" w:type="dxa"/>
              <w:end w:w="100" w:type="dxa"/>
            </w:tcMar>
          </w:tcPr>
          <w:p>
            <w:pPr>
              <w:jc w:val="center"/>
            </w:pPr>
            <w:r>
              <w:rPr>
                <w:rFonts w:ascii="微软雅黑" w:hAnsi="微软雅黑" w:eastAsia="微软雅黑"/>
                <w:b/>
                <w:color w:val="1F4E79"/>
                <w:sz w:val="19"/>
              </w:rPr>
              <w:t>允许修改</w:t>
            </w:r>
          </w:p>
        </w:tc>
        <w:tc>
          <w:tcPr>
            <w:tcW w:type="dxa" w:w="3288"/>
            <w:shd w:fill="D9EAF7"/>
            <w:vAlign w:val="center"/>
            <w:tcMar>
              <w:top w:w="90" w:type="dxa"/>
              <w:start w:w="100" w:type="dxa"/>
              <w:bottom w:w="90" w:type="dxa"/>
              <w:end w:w="100" w:type="dxa"/>
            </w:tcMar>
          </w:tcPr>
          <w:p>
            <w:pPr>
              <w:jc w:val="center"/>
            </w:pPr>
            <w:r>
              <w:rPr>
                <w:rFonts w:ascii="微软雅黑" w:hAnsi="微软雅黑" w:eastAsia="微软雅黑"/>
                <w:b/>
                <w:color w:val="1F4E79"/>
                <w:sz w:val="19"/>
              </w:rPr>
              <w:t>禁止修改</w:t>
            </w:r>
          </w:p>
        </w:tc>
      </w:tr>
      <w:tr>
        <w:tc>
          <w:tcPr>
            <w:tcW w:type="dxa" w:w="1871"/>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总体结论/风险点</w:t>
            </w:r>
          </w:p>
        </w:tc>
        <w:tc>
          <w:tcPr>
            <w:tcW w:type="dxa" w:w="3288"/>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选择报告内正式结论证据并压缩</w:t>
            </w:r>
          </w:p>
        </w:tc>
        <w:tc>
          <w:tcPr>
            <w:tcW w:type="dxa" w:w="3288"/>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名称、日期、评分、等级</w:t>
            </w:r>
          </w:p>
        </w:tc>
      </w:tr>
      <w:tr>
        <w:tc>
          <w:tcPr>
            <w:tcW w:type="dxa" w:w="1871"/>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详细结论</w:t>
            </w:r>
          </w:p>
        </w:tc>
        <w:tc>
          <w:tcPr>
            <w:tcW w:type="dxa" w:w="3288"/>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基于正式结论段生成短文本</w:t>
            </w:r>
          </w:p>
        </w:tc>
        <w:tc>
          <w:tcPr>
            <w:tcW w:type="dxa" w:w="3288"/>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病害事实和数量</w:t>
            </w:r>
          </w:p>
        </w:tc>
      </w:tr>
      <w:tr>
        <w:tc>
          <w:tcPr>
            <w:tcW w:type="dxa" w:w="1871"/>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病害成因</w:t>
            </w:r>
          </w:p>
        </w:tc>
        <w:tc>
          <w:tcPr>
            <w:tcW w:type="dxa" w:w="3288"/>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只整理报告明确原因</w:t>
            </w:r>
          </w:p>
        </w:tc>
        <w:tc>
          <w:tcPr>
            <w:tcW w:type="dxa" w:w="3288"/>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根据常识补造原因</w:t>
            </w:r>
          </w:p>
        </w:tc>
      </w:tr>
      <w:tr>
        <w:tc>
          <w:tcPr>
            <w:tcW w:type="dxa" w:w="1871"/>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安全影响</w:t>
            </w:r>
          </w:p>
        </w:tc>
        <w:tc>
          <w:tcPr>
            <w:tcW w:type="dxa" w:w="3288"/>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保留报告明确影响和限定语</w:t>
            </w:r>
          </w:p>
        </w:tc>
        <w:tc>
          <w:tcPr>
            <w:tcW w:type="dxa" w:w="3288"/>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夸大风险或严重性</w:t>
            </w:r>
          </w:p>
        </w:tc>
      </w:tr>
    </w:tbl>
    <w:p>
      <w:pPr>
        <w:spacing w:after="0"/>
      </w:pPr>
    </w:p>
    <w:p>
      <w:pPr>
        <w:spacing w:before="0" w:after="100" w:line="324" w:lineRule="auto"/>
      </w:pPr>
      <w:r>
        <w:rPr>
          <w:rFonts w:ascii="微软雅黑" w:hAnsi="微软雅黑" w:eastAsia="微软雅黑"/>
          <w:b w:val="0"/>
          <w:color w:val="222222"/>
          <w:sz w:val="21"/>
        </w:rPr>
        <w:t>生产默认使用源证据抽取结果。OfficialAnswerComposer 仅作为显式 A/B 实验选项，不再静默覆盖六个最终字段。模型不可用、证据无效或合同校验失败时，仅回退对应字段。</w:t>
      </w:r>
    </w:p>
    <w:p>
      <w:pPr>
        <w:pStyle w:val="Heading1"/>
        <w:spacing w:before="200" w:after="100"/>
      </w:pPr>
      <w:r>
        <w:rPr>
          <w:rFonts w:ascii="微软雅黑" w:hAnsi="微软雅黑" w:eastAsia="微软雅黑"/>
          <w:b/>
          <w:color w:val="1F4E79"/>
          <w:sz w:val="30"/>
        </w:rPr>
        <w:t>四、创新点与可靠性设计</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1814"/>
            <w:shd w:fill="D9EAF7"/>
            <w:vAlign w:val="center"/>
            <w:tcMar>
              <w:top w:w="90" w:type="dxa"/>
              <w:start w:w="100" w:type="dxa"/>
              <w:bottom w:w="90" w:type="dxa"/>
              <w:end w:w="100" w:type="dxa"/>
            </w:tcMar>
          </w:tcPr>
          <w:p>
            <w:pPr>
              <w:jc w:val="center"/>
            </w:pPr>
            <w:r>
              <w:rPr>
                <w:rFonts w:ascii="微软雅黑" w:hAnsi="微软雅黑" w:eastAsia="微软雅黑"/>
                <w:b/>
                <w:color w:val="1F4E79"/>
                <w:sz w:val="19"/>
              </w:rPr>
              <w:t>创新点</w:t>
            </w:r>
          </w:p>
        </w:tc>
        <w:tc>
          <w:tcPr>
            <w:tcW w:type="dxa" w:w="4139"/>
            <w:shd w:fill="D9EAF7"/>
            <w:vAlign w:val="center"/>
            <w:tcMar>
              <w:top w:w="90" w:type="dxa"/>
              <w:start w:w="100" w:type="dxa"/>
              <w:bottom w:w="90" w:type="dxa"/>
              <w:end w:w="100" w:type="dxa"/>
            </w:tcMar>
          </w:tcPr>
          <w:p>
            <w:pPr>
              <w:jc w:val="center"/>
            </w:pPr>
            <w:r>
              <w:rPr>
                <w:rFonts w:ascii="微软雅黑" w:hAnsi="微软雅黑" w:eastAsia="微软雅黑"/>
                <w:b/>
                <w:color w:val="1F4E79"/>
                <w:sz w:val="19"/>
              </w:rPr>
              <w:t>实现方式</w:t>
            </w:r>
          </w:p>
        </w:tc>
        <w:tc>
          <w:tcPr>
            <w:tcW w:type="dxa" w:w="2494"/>
            <w:shd w:fill="D9EAF7"/>
            <w:vAlign w:val="center"/>
            <w:tcMar>
              <w:top w:w="90" w:type="dxa"/>
              <w:start w:w="100" w:type="dxa"/>
              <w:bottom w:w="90" w:type="dxa"/>
              <w:end w:w="100" w:type="dxa"/>
            </w:tcMar>
          </w:tcPr>
          <w:p>
            <w:pPr>
              <w:jc w:val="center"/>
            </w:pPr>
            <w:r>
              <w:rPr>
                <w:rFonts w:ascii="微软雅黑" w:hAnsi="微软雅黑" w:eastAsia="微软雅黑"/>
                <w:b/>
                <w:color w:val="1F4E79"/>
                <w:sz w:val="19"/>
              </w:rPr>
              <w:t>价值</w:t>
            </w:r>
          </w:p>
        </w:tc>
      </w:tr>
      <w:tr>
        <w:tc>
          <w:tcPr>
            <w:tcW w:type="dxa" w:w="1814"/>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Word-first而非全文OCR</w:t>
            </w:r>
          </w:p>
        </w:tc>
        <w:tc>
          <w:tcPr>
            <w:tcW w:type="dxa" w:w="4139"/>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利用OOXML原生结构和LibreOffice转换</w:t>
            </w:r>
          </w:p>
        </w:tc>
        <w:tc>
          <w:tcPr>
            <w:tcW w:type="dxa" w:w="2494"/>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保护表格关系和工程字段</w:t>
            </w:r>
          </w:p>
        </w:tc>
      </w:tr>
      <w:tr>
        <w:tc>
          <w:tcPr>
            <w:tcW w:type="dxa" w:w="1814"/>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设施语义动态化</w:t>
            </w:r>
          </w:p>
        </w:tc>
        <w:tc>
          <w:tcPr>
            <w:tcW w:type="dxa" w:w="4139"/>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FacilityContext统一设施名称、类型和称谓</w:t>
            </w:r>
          </w:p>
        </w:tc>
        <w:tc>
          <w:tcPr>
            <w:tcW w:type="dxa" w:w="2494"/>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兼容桥梁、天桥、通道</w:t>
            </w:r>
          </w:p>
        </w:tc>
      </w:tr>
      <w:tr>
        <w:tc>
          <w:tcPr>
            <w:tcW w:type="dxa" w:w="1814"/>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事实与叙述分层</w:t>
            </w:r>
          </w:p>
        </w:tc>
        <w:tc>
          <w:tcPr>
            <w:tcW w:type="dxa" w:w="4139"/>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硬事实锁定，语义字段受限增强</w:t>
            </w:r>
          </w:p>
        </w:tc>
        <w:tc>
          <w:tcPr>
            <w:tcW w:type="dxa" w:w="2494"/>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减少幻觉和字段污染</w:t>
            </w:r>
          </w:p>
        </w:tc>
      </w:tr>
      <w:tr>
        <w:tc>
          <w:tcPr>
            <w:tcW w:type="dxa" w:w="1814"/>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证据合同</w:t>
            </w:r>
          </w:p>
        </w:tc>
        <w:tc>
          <w:tcPr>
            <w:tcW w:type="dxa" w:w="4139"/>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Candidate/Decision携带evidence_ids并校验</w:t>
            </w:r>
          </w:p>
        </w:tc>
        <w:tc>
          <w:tcPr>
            <w:tcW w:type="dxa" w:w="2494"/>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决策可追溯、失败可回退</w:t>
            </w:r>
          </w:p>
        </w:tc>
      </w:tr>
      <w:tr>
        <w:tc>
          <w:tcPr>
            <w:tcW w:type="dxa" w:w="1814"/>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提交前一致性门禁</w:t>
            </w:r>
          </w:p>
        </w:tc>
        <w:tc>
          <w:tcPr>
            <w:tcW w:type="dxa" w:w="4139"/>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检查历史等级、当前等级、类别和摘要矛盾</w:t>
            </w:r>
          </w:p>
        </w:tc>
        <w:tc>
          <w:tcPr>
            <w:tcW w:type="dxa" w:w="2494"/>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直接阻止可见的自相矛盾</w:t>
            </w:r>
          </w:p>
        </w:tc>
      </w:tr>
    </w:tbl>
    <w:p>
      <w:pPr>
        <w:spacing w:after="0"/>
      </w:pPr>
    </w:p>
    <w:p>
      <w:pPr>
        <w:pStyle w:val="Heading2"/>
        <w:spacing w:before="120" w:after="100"/>
      </w:pPr>
      <w:r>
        <w:rPr>
          <w:rFonts w:ascii="微软雅黑" w:hAnsi="微软雅黑" w:eastAsia="微软雅黑"/>
          <w:b/>
          <w:color w:val="1F4E79"/>
          <w:sz w:val="24"/>
        </w:rPr>
        <w:t>4.1 最小可靠性边界</w:t>
      </w:r>
    </w:p>
    <w:p>
      <w:pPr>
        <w:spacing w:after="60" w:line="300" w:lineRule="auto"/>
        <w:ind w:left="369" w:hanging="255"/>
      </w:pPr>
      <w:r>
        <w:rPr>
          <w:rFonts w:ascii="微软雅黑" w:hAnsi="微软雅黑" w:eastAsia="微软雅黑"/>
          <w:b w:val="0"/>
          <w:color w:val="222222"/>
          <w:sz w:val="20"/>
        </w:rPr>
        <w:t xml:space="preserve">1. </w:t>
      </w:r>
      <w:r>
        <w:rPr>
          <w:rFonts w:ascii="微软雅黑" w:hAnsi="微软雅黑" w:eastAsia="微软雅黑"/>
          <w:b w:val="0"/>
          <w:color w:val="222222"/>
          <w:sz w:val="20"/>
        </w:rPr>
        <w:t>确定性抽取在没有任何模型依赖时仍可完整运行。</w:t>
      </w:r>
    </w:p>
    <w:p>
      <w:pPr>
        <w:spacing w:after="60" w:line="300" w:lineRule="auto"/>
        <w:ind w:left="369" w:hanging="255"/>
      </w:pPr>
      <w:r>
        <w:rPr>
          <w:rFonts w:ascii="微软雅黑" w:hAnsi="微软雅黑" w:eastAsia="微软雅黑"/>
          <w:b w:val="0"/>
          <w:color w:val="222222"/>
          <w:sz w:val="20"/>
        </w:rPr>
        <w:t xml:space="preserve">2. </w:t>
      </w:r>
      <w:r>
        <w:rPr>
          <w:rFonts w:ascii="微软雅黑" w:hAnsi="微软雅黑" w:eastAsia="微软雅黑"/>
          <w:b w:val="0"/>
          <w:color w:val="222222"/>
          <w:sz w:val="20"/>
        </w:rPr>
        <w:t>无当前报告证据的成因、安全影响和风险扩写不进入生产结果。</w:t>
      </w:r>
    </w:p>
    <w:p>
      <w:pPr>
        <w:spacing w:after="60" w:line="300" w:lineRule="auto"/>
        <w:ind w:left="369" w:hanging="255"/>
      </w:pPr>
      <w:r>
        <w:rPr>
          <w:rFonts w:ascii="微软雅黑" w:hAnsi="微软雅黑" w:eastAsia="微软雅黑"/>
          <w:b w:val="0"/>
          <w:color w:val="222222"/>
          <w:sz w:val="20"/>
        </w:rPr>
        <w:t xml:space="preserve">3. </w:t>
      </w:r>
      <w:r>
        <w:rPr>
          <w:rFonts w:ascii="微软雅黑" w:hAnsi="微软雅黑" w:eastAsia="微软雅黑"/>
          <w:b w:val="0"/>
          <w:color w:val="222222"/>
          <w:sz w:val="20"/>
        </w:rPr>
        <w:t>建议类别统一在 Prediction 层完成，渲染器只展示同一结果。</w:t>
      </w:r>
    </w:p>
    <w:p>
      <w:pPr>
        <w:spacing w:after="60" w:line="300" w:lineRule="auto"/>
        <w:ind w:left="369" w:hanging="255"/>
      </w:pPr>
      <w:r>
        <w:rPr>
          <w:rFonts w:ascii="微软雅黑" w:hAnsi="微软雅黑" w:eastAsia="微软雅黑"/>
          <w:b w:val="0"/>
          <w:color w:val="222222"/>
          <w:sz w:val="20"/>
        </w:rPr>
        <w:t xml:space="preserve">4. </w:t>
      </w:r>
      <w:r>
        <w:rPr>
          <w:rFonts w:ascii="微软雅黑" w:hAnsi="微软雅黑" w:eastAsia="微软雅黑"/>
          <w:b w:val="0"/>
          <w:color w:val="222222"/>
          <w:sz w:val="20"/>
        </w:rPr>
        <w:t>覆盖最终字段的实验模块必须先通过同口径全量评估，才能进入正式链。</w:t>
      </w:r>
    </w:p>
    <w:p>
      <w:pPr>
        <w:spacing w:after="60" w:line="300" w:lineRule="auto"/>
        <w:ind w:left="369" w:hanging="255"/>
      </w:pPr>
      <w:r>
        <w:rPr>
          <w:rFonts w:ascii="微软雅黑" w:hAnsi="微软雅黑" w:eastAsia="微软雅黑"/>
          <w:b w:val="0"/>
          <w:color w:val="222222"/>
          <w:sz w:val="20"/>
        </w:rPr>
        <w:t xml:space="preserve">5. </w:t>
      </w:r>
      <w:r>
        <w:rPr>
          <w:rFonts w:ascii="微软雅黑" w:hAnsi="微软雅黑" w:eastAsia="微软雅黑"/>
          <w:b w:val="0"/>
          <w:color w:val="222222"/>
          <w:sz w:val="20"/>
        </w:rPr>
        <w:t>最终包验证只负责格式完整性；内容质量另由事实一致性门禁负责。</w:t>
      </w:r>
    </w:p>
    <w:p>
      <w:pPr>
        <w:pStyle w:val="Heading1"/>
        <w:spacing w:before="200" w:after="100"/>
      </w:pPr>
      <w:r>
        <w:rPr>
          <w:rFonts w:ascii="微软雅黑" w:hAnsi="微软雅黑" w:eastAsia="微软雅黑"/>
          <w:b/>
          <w:color w:val="1F4E79"/>
          <w:sz w:val="30"/>
        </w:rPr>
        <w:t>五、效果评估与交付方案</w:t>
      </w:r>
    </w:p>
    <w:p>
      <w:pPr>
        <w:pStyle w:val="Heading2"/>
        <w:spacing w:before="120" w:after="100"/>
      </w:pPr>
      <w:r>
        <w:rPr>
          <w:rFonts w:ascii="微软雅黑" w:hAnsi="微软雅黑" w:eastAsia="微软雅黑"/>
          <w:b/>
          <w:color w:val="1F4E79"/>
          <w:sz w:val="24"/>
        </w:rPr>
        <w:t>5.1 评估体系</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1701"/>
            <w:shd w:fill="D9EAF7"/>
            <w:vAlign w:val="center"/>
            <w:tcMar>
              <w:top w:w="90" w:type="dxa"/>
              <w:start w:w="100" w:type="dxa"/>
              <w:bottom w:w="90" w:type="dxa"/>
              <w:end w:w="100" w:type="dxa"/>
            </w:tcMar>
          </w:tcPr>
          <w:p>
            <w:pPr>
              <w:jc w:val="center"/>
            </w:pPr>
            <w:r>
              <w:rPr>
                <w:rFonts w:ascii="微软雅黑" w:hAnsi="微软雅黑" w:eastAsia="微软雅黑"/>
                <w:b/>
                <w:color w:val="1F4E79"/>
                <w:sz w:val="19"/>
              </w:rPr>
              <w:t>评估层</w:t>
            </w:r>
          </w:p>
        </w:tc>
        <w:tc>
          <w:tcPr>
            <w:tcW w:type="dxa" w:w="4139"/>
            <w:shd w:fill="D9EAF7"/>
            <w:vAlign w:val="center"/>
            <w:tcMar>
              <w:top w:w="90" w:type="dxa"/>
              <w:start w:w="100" w:type="dxa"/>
              <w:bottom w:w="90" w:type="dxa"/>
              <w:end w:w="100" w:type="dxa"/>
            </w:tcMar>
          </w:tcPr>
          <w:p>
            <w:pPr>
              <w:jc w:val="center"/>
            </w:pPr>
            <w:r>
              <w:rPr>
                <w:rFonts w:ascii="微软雅黑" w:hAnsi="微软雅黑" w:eastAsia="微软雅黑"/>
                <w:b/>
                <w:color w:val="1F4E79"/>
                <w:sz w:val="19"/>
              </w:rPr>
              <w:t>核心指标</w:t>
            </w:r>
          </w:p>
        </w:tc>
        <w:tc>
          <w:tcPr>
            <w:tcW w:type="dxa" w:w="2608"/>
            <w:shd w:fill="D9EAF7"/>
            <w:vAlign w:val="center"/>
            <w:tcMar>
              <w:top w:w="90" w:type="dxa"/>
              <w:start w:w="100" w:type="dxa"/>
              <w:bottom w:w="90" w:type="dxa"/>
              <w:end w:w="100" w:type="dxa"/>
            </w:tcMar>
          </w:tcPr>
          <w:p>
            <w:pPr>
              <w:jc w:val="center"/>
            </w:pPr>
            <w:r>
              <w:rPr>
                <w:rFonts w:ascii="微软雅黑" w:hAnsi="微软雅黑" w:eastAsia="微软雅黑"/>
                <w:b/>
                <w:color w:val="1F4E79"/>
                <w:sz w:val="19"/>
              </w:rPr>
              <w:t>接受条件</w:t>
            </w:r>
          </w:p>
        </w:tc>
      </w:tr>
      <w:tr>
        <w:tc>
          <w:tcPr>
            <w:tcW w:type="dxa" w:w="1701"/>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结构字段</w:t>
            </w:r>
          </w:p>
        </w:tc>
        <w:tc>
          <w:tcPr>
            <w:tcW w:type="dxa" w:w="4139"/>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名称/日期/评分/等级准确率，病害与建议F1</w:t>
            </w:r>
          </w:p>
        </w:tc>
        <w:tc>
          <w:tcPr>
            <w:tcW w:type="dxa" w:w="2608"/>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锁定事实不退化</w:t>
            </w:r>
          </w:p>
        </w:tc>
      </w:tr>
      <w:tr>
        <w:tc>
          <w:tcPr>
            <w:tcW w:type="dxa" w:w="1701"/>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文本一致性</w:t>
            </w:r>
          </w:p>
        </w:tc>
        <w:tc>
          <w:tcPr>
            <w:tcW w:type="dxa" w:w="4139"/>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输出事实均可回指报告证据</w:t>
            </w:r>
          </w:p>
        </w:tc>
        <w:tc>
          <w:tcPr>
            <w:tcW w:type="dxa" w:w="2608"/>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无证据扩写为0</w:t>
            </w:r>
          </w:p>
        </w:tc>
      </w:tr>
      <w:tr>
        <w:tc>
          <w:tcPr>
            <w:tcW w:type="dxa" w:w="1701"/>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内部逻辑</w:t>
            </w:r>
          </w:p>
        </w:tc>
        <w:tc>
          <w:tcPr>
            <w:tcW w:type="dxa" w:w="4139"/>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建议摘要=建议表计数；历史/当前等级一致</w:t>
            </w:r>
          </w:p>
        </w:tc>
        <w:tc>
          <w:tcPr>
            <w:tcW w:type="dxa" w:w="2608"/>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可见矛盾为0</w:t>
            </w:r>
          </w:p>
        </w:tc>
      </w:tr>
      <w:tr>
        <w:tc>
          <w:tcPr>
            <w:tcW w:type="dxa" w:w="1701"/>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工程链路</w:t>
            </w:r>
          </w:p>
        </w:tc>
        <w:tc>
          <w:tcPr>
            <w:tcW w:type="dxa" w:w="4139"/>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批量成功率、DOC可打开、文件名和清单一致</w:t>
            </w:r>
          </w:p>
        </w:tc>
        <w:tc>
          <w:tcPr>
            <w:tcW w:type="dxa" w:w="2608"/>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全部样本终态</w:t>
            </w:r>
          </w:p>
        </w:tc>
      </w:tr>
      <w:tr>
        <w:tc>
          <w:tcPr>
            <w:tcW w:type="dxa" w:w="1701"/>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A/B实验</w:t>
            </w:r>
          </w:p>
        </w:tc>
        <w:tc>
          <w:tcPr>
            <w:tcW w:type="dxa" w:w="4139"/>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源证据基线 vs 语义增强</w:t>
            </w:r>
          </w:p>
        </w:tc>
        <w:tc>
          <w:tcPr>
            <w:tcW w:type="dxa" w:w="2608"/>
            <w:vAlign w:val="center"/>
            <w:tcMar>
              <w:top w:w="90" w:type="dxa"/>
              <w:start w:w="100" w:type="dxa"/>
              <w:bottom w:w="90" w:type="dxa"/>
              <w:end w:w="100" w:type="dxa"/>
            </w:tcMar>
          </w:tcPr>
          <w:p>
            <w:pPr>
              <w:spacing w:after="0" w:line="276" w:lineRule="auto"/>
            </w:pPr>
            <w:r>
              <w:rPr>
                <w:rFonts w:ascii="微软雅黑" w:hAnsi="微软雅黑" w:eastAsia="微软雅黑"/>
                <w:b w:val="0"/>
                <w:color w:val="222222"/>
                <w:sz w:val="18"/>
              </w:rPr>
              <w:t>只合入稳定提升字段</w:t>
            </w:r>
          </w:p>
        </w:tc>
      </w:tr>
    </w:tbl>
    <w:p>
      <w:pPr>
        <w:spacing w:after="0"/>
      </w:pPr>
    </w:p>
    <w:p>
      <w:pPr>
        <w:pStyle w:val="Heading2"/>
        <w:spacing w:before="120" w:after="100"/>
      </w:pPr>
      <w:r>
        <w:rPr>
          <w:rFonts w:ascii="微软雅黑" w:hAnsi="微软雅黑" w:eastAsia="微软雅黑"/>
          <w:b/>
          <w:color w:val="1F4E79"/>
          <w:sz w:val="24"/>
        </w:rPr>
        <w:t>5.2 当前交付能力</w:t>
      </w:r>
    </w:p>
    <w:p>
      <w:pPr>
        <w:pStyle w:val="ListBullet"/>
        <w:spacing w:after="60" w:line="300" w:lineRule="auto"/>
        <w:ind w:left="312" w:hanging="142"/>
      </w:pPr>
      <w:r>
        <w:rPr>
          <w:rFonts w:ascii="微软雅黑" w:hAnsi="微软雅黑" w:eastAsia="微软雅黑"/>
          <w:b w:val="0"/>
          <w:color w:val="222222"/>
          <w:sz w:val="20"/>
        </w:rPr>
        <w:t>支持批量 DOC/DOCX 转换、解析、结构化抽取和 Prediction JSONL 输出。</w:t>
      </w:r>
    </w:p>
    <w:p>
      <w:pPr>
        <w:pStyle w:val="ListBullet"/>
        <w:spacing w:after="60" w:line="300" w:lineRule="auto"/>
        <w:ind w:left="312" w:hanging="142"/>
      </w:pPr>
      <w:r>
        <w:rPr>
          <w:rFonts w:ascii="微软雅黑" w:hAnsi="微软雅黑" w:eastAsia="微软雅黑"/>
          <w:b w:val="0"/>
          <w:color w:val="222222"/>
          <w:sz w:val="20"/>
        </w:rPr>
        <w:t>支持固定模板批量渲染、DOCX 转 DOC 和 code/design/result 打包。</w:t>
      </w:r>
    </w:p>
    <w:p>
      <w:pPr>
        <w:pStyle w:val="ListBullet"/>
        <w:spacing w:after="60" w:line="300" w:lineRule="auto"/>
        <w:ind w:left="312" w:hanging="142"/>
      </w:pPr>
      <w:r>
        <w:rPr>
          <w:rFonts w:ascii="微软雅黑" w:hAnsi="微软雅黑" w:eastAsia="微软雅黑"/>
          <w:b w:val="0"/>
          <w:color w:val="222222"/>
          <w:sz w:val="20"/>
        </w:rPr>
        <w:t>支持按样本保存语义候选、检索轨迹、模型决策和字段回退状态。</w:t>
      </w:r>
    </w:p>
    <w:p>
      <w:pPr>
        <w:pStyle w:val="ListBullet"/>
        <w:spacing w:after="60" w:line="300" w:lineRule="auto"/>
        <w:ind w:left="312" w:hanging="142"/>
      </w:pPr>
      <w:r>
        <w:rPr>
          <w:rFonts w:ascii="微软雅黑" w:hAnsi="微软雅黑" w:eastAsia="微软雅黑"/>
          <w:b w:val="0"/>
          <w:color w:val="222222"/>
          <w:sz w:val="20"/>
        </w:rPr>
        <w:t>支持提交前检查建议类别、摘要一致性、文件名历史等级及当前等级冲突。</w:t>
      </w:r>
    </w:p>
    <w:p>
      <w:pPr>
        <w:pStyle w:val="Heading2"/>
        <w:spacing w:before="120" w:after="100"/>
      </w:pPr>
      <w:r>
        <w:rPr>
          <w:rFonts w:ascii="微软雅黑" w:hAnsi="微软雅黑" w:eastAsia="微软雅黑"/>
          <w:b/>
          <w:color w:val="1F4E79"/>
          <w:sz w:val="24"/>
        </w:rPr>
        <w:t>5.3 正式运行流程</w:t>
      </w:r>
    </w:p>
    <w:p>
      <w:pPr>
        <w:spacing w:after="60" w:line="300" w:lineRule="auto"/>
        <w:ind w:left="369" w:hanging="255"/>
      </w:pPr>
      <w:r>
        <w:rPr>
          <w:rFonts w:ascii="微软雅黑" w:hAnsi="微软雅黑" w:eastAsia="微软雅黑"/>
          <w:b w:val="0"/>
          <w:color w:val="222222"/>
          <w:sz w:val="20"/>
        </w:rPr>
        <w:t xml:space="preserve">1. </w:t>
      </w:r>
      <w:r>
        <w:rPr>
          <w:rFonts w:ascii="微软雅黑" w:hAnsi="微软雅黑" w:eastAsia="微软雅黑"/>
          <w:b w:val="0"/>
          <w:color w:val="222222"/>
          <w:sz w:val="20"/>
        </w:rPr>
        <w:t>运行 predict-batch 生成最新结构化 Prediction。</w:t>
      </w:r>
    </w:p>
    <w:p>
      <w:pPr>
        <w:spacing w:after="60" w:line="300" w:lineRule="auto"/>
        <w:ind w:left="369" w:hanging="255"/>
      </w:pPr>
      <w:r>
        <w:rPr>
          <w:rFonts w:ascii="微软雅黑" w:hAnsi="微软雅黑" w:eastAsia="微软雅黑"/>
          <w:b w:val="0"/>
          <w:color w:val="222222"/>
          <w:sz w:val="20"/>
        </w:rPr>
        <w:t xml:space="preserve">2. </w:t>
      </w:r>
      <w:r>
        <w:rPr>
          <w:rFonts w:ascii="微软雅黑" w:hAnsi="微软雅黑" w:eastAsia="微软雅黑"/>
          <w:b w:val="0"/>
          <w:color w:val="222222"/>
          <w:sz w:val="20"/>
        </w:rPr>
        <w:t>执行平台一致性检查，发现硬矛盾时停止渲染。</w:t>
      </w:r>
    </w:p>
    <w:p>
      <w:pPr>
        <w:spacing w:after="60" w:line="300" w:lineRule="auto"/>
        <w:ind w:left="369" w:hanging="255"/>
      </w:pPr>
      <w:r>
        <w:rPr>
          <w:rFonts w:ascii="微软雅黑" w:hAnsi="微软雅黑" w:eastAsia="微软雅黑"/>
          <w:b w:val="0"/>
          <w:color w:val="222222"/>
          <w:sz w:val="20"/>
        </w:rPr>
        <w:t xml:space="preserve">3. </w:t>
      </w:r>
      <w:r>
        <w:rPr>
          <w:rFonts w:ascii="微软雅黑" w:hAnsi="微软雅黑" w:eastAsia="微软雅黑"/>
          <w:b w:val="0"/>
          <w:color w:val="222222"/>
          <w:sz w:val="20"/>
        </w:rPr>
        <w:t>按需运行经过验证的语义增强，仅合并授权字段。</w:t>
      </w:r>
    </w:p>
    <w:p>
      <w:pPr>
        <w:spacing w:after="60" w:line="300" w:lineRule="auto"/>
        <w:ind w:left="369" w:hanging="255"/>
      </w:pPr>
      <w:r>
        <w:rPr>
          <w:rFonts w:ascii="微软雅黑" w:hAnsi="微软雅黑" w:eastAsia="微软雅黑"/>
          <w:b w:val="0"/>
          <w:color w:val="222222"/>
          <w:sz w:val="20"/>
        </w:rPr>
        <w:t xml:space="preserve">4. </w:t>
      </w:r>
      <w:r>
        <w:rPr>
          <w:rFonts w:ascii="微软雅黑" w:hAnsi="微软雅黑" w:eastAsia="微软雅黑"/>
          <w:b w:val="0"/>
          <w:color w:val="222222"/>
          <w:sz w:val="20"/>
        </w:rPr>
        <w:t>运行生产模板 render-batch，随后 convert-doc。</w:t>
      </w:r>
    </w:p>
    <w:p>
      <w:pPr>
        <w:spacing w:after="60" w:line="300" w:lineRule="auto"/>
        <w:ind w:left="369" w:hanging="255"/>
      </w:pPr>
      <w:r>
        <w:rPr>
          <w:rFonts w:ascii="微软雅黑" w:hAnsi="微软雅黑" w:eastAsia="微软雅黑"/>
          <w:b w:val="0"/>
          <w:color w:val="222222"/>
          <w:sz w:val="20"/>
        </w:rPr>
        <w:t xml:space="preserve">5. </w:t>
      </w:r>
      <w:r>
        <w:rPr>
          <w:rFonts w:ascii="微软雅黑" w:hAnsi="微软雅黑" w:eastAsia="微软雅黑"/>
          <w:b w:val="0"/>
          <w:color w:val="222222"/>
          <w:sz w:val="20"/>
        </w:rPr>
        <w:t>创建 submission.tar.gz 并执行 validate-package。</w:t>
      </w:r>
    </w:p>
    <w:p>
      <w:pPr>
        <w:spacing w:before="160" w:after="0" w:line="324" w:lineRule="auto"/>
      </w:pPr>
      <w:r>
        <w:rPr>
          <w:rFonts w:ascii="微软雅黑" w:hAnsi="微软雅黑" w:eastAsia="微软雅黑"/>
          <w:b w:val="0"/>
          <w:color w:val="222222"/>
          <w:sz w:val="21"/>
        </w:rPr>
        <w:t>结论：智鉴城脉以结构化事实为主、证据约束语义增强为辅，在不牺牲批处理稳定性的前提下，将复杂定检报告转换为统一、可核验、可直接交付的 Word 结果。</w:t>
      </w:r>
    </w:p>
    <w:sectPr w:rsidR="00FC693F" w:rsidRPr="0006063C" w:rsidSect="00034616">
      <w:footerReference w:type="default" r:id="rId9"/>
      <w:headerReference w:type="default" r:id="rId10"/>
      <w:pgSz w:w="12240" w:h="15840"/>
      <w:pgMar w:top="1020" w:right="1191" w:bottom="964"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eastAsia="微软雅黑"/>
        <w:b w:val="0"/>
        <w:color w:val="777777"/>
        <w:sz w:val="17"/>
      </w:rPr>
      <w:t xml:space="preserve">智鉴城脉 · AI智能体设计方案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微软雅黑" w:hAnsi="微软雅黑" w:eastAsia="微软雅黑"/>
        <w:b w:val="0"/>
        <w:color w:val="7F8C8D"/>
        <w:sz w:val="17"/>
      </w:rPr>
      <w:t>智鉴城脉 | 城市基础设施定检报告智能抽取</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AI智能体设计方案——智鉴城脉</dc:title>
  <dc:subject>城市基础设施定检报告智能抽取与证据增强系统</dc:subject>
  <dc:creator>山水智鉴</dc:creator>
  <cp:keywords/>
  <dc:description>generated by python-docx</dc:description>
  <cp:lastModifiedBy/>
  <cp:revision>1</cp:revision>
  <dcterms:created xsi:type="dcterms:W3CDTF">2013-12-23T23:15:00Z</dcterms:created>
  <dcterms:modified xsi:type="dcterms:W3CDTF">2013-12-23T23:15:00Z</dcterms:modified>
  <cp:category/>
</cp:coreProperties>
</file>