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5a326f9234140195e4331ed5846dc6e23d8685"/>
    <w:p>
      <w:pPr>
        <w:pStyle w:val="Heading1"/>
      </w:pPr>
      <w:r>
        <w:t xml:space="preserve">ImpactOutreach: Multi-Brand Advocacy Campaign Platform</w:t>
      </w:r>
    </w:p>
    <w:p>
      <w:r>
        <w:pict>
          <v:rect style="width:0;height:1.5pt" o:hralign="center" o:hrstd="t" o:hr="t"/>
        </w:pict>
      </w:r>
    </w:p>
    <w:bookmarkStart w:id="13" w:name="what-our-platform-does"/>
    <w:p>
      <w:pPr>
        <w:pStyle w:val="Heading2"/>
      </w:pPr>
      <w:r>
        <w:t xml:space="preserve">What Our Platform Does</w:t>
      </w:r>
    </w:p>
    <w:p>
      <w:pPr>
        <w:pStyle w:val="FirstParagraph"/>
      </w:pPr>
      <w:r>
        <w:t xml:space="preserve">ImpactOutreach automates personalized constituent outreach to decision-makers at scale. Give us the constituent list and the issues they care about. We turn that into sustained campaign pressure across email, SMS, phone, print media, and public consultations - all running through a network of distinct advocacy brands.</w:t>
      </w:r>
    </w:p>
    <w:bookmarkStart w:id="9" w:name="how-the-ai-engine-works"/>
    <w:p>
      <w:pPr>
        <w:pStyle w:val="Heading4"/>
      </w:pPr>
      <w:r>
        <w:t xml:space="preserve">How the AI Engine Works</w:t>
      </w:r>
    </w:p>
    <w:p>
      <w:pPr>
        <w:pStyle w:val="FirstParagraph"/>
      </w:pPr>
      <w:r>
        <w:t xml:space="preserve">Every message the platform generates sounds like a real person wrote it. Not a template. Not a mail merge. Each one is different - different tone, different length, different level of polish. Some read like someone sat down and carefully composed their thoughts. Others read like someone fired off a quick email between meetings, typos and all.</w:t>
      </w:r>
    </w:p>
    <w:p>
      <w:pPr>
        <w:pStyle w:val="BodyText"/>
      </w:pPr>
      <w:r>
        <w:t xml:space="preserve">The engine can also embed</w:t>
      </w:r>
      <w:r>
        <w:t xml:space="preserve"> </w:t>
      </w:r>
      <w:r>
        <w:rPr>
          <w:i/>
          <w:iCs/>
        </w:rPr>
        <w:t xml:space="preserve">who</w:t>
      </w:r>
      <w:r>
        <w:t xml:space="preserve"> </w:t>
      </w:r>
      <w:r>
        <w:t xml:space="preserve">is writing. A constituent who’s a family doctor in Red Deer gets a message that leans on their medical credibility. A small business owner in Lethbridge gets one that talks about economic impact. A parent in Saskatoon writes about their kids. Same issue, same campaign, but every message hits from a different angle. Stakeholders end up reading what looks like a broad cross-section of their riding reaching out - because that’s exactly what it is.</w:t>
      </w:r>
    </w:p>
    <w:bookmarkEnd w:id="9"/>
    <w:bookmarkStart w:id="10" w:name="built-in-optimization"/>
    <w:p>
      <w:pPr>
        <w:pStyle w:val="Heading4"/>
      </w:pPr>
      <w:r>
        <w:t xml:space="preserve">Built-In Optimization</w:t>
      </w:r>
    </w:p>
    <w:p>
      <w:pPr>
        <w:pStyle w:val="FirstParagraph"/>
      </w:pPr>
      <w:r>
        <w:t xml:space="preserve">The platform runs A/B tests on its own. Subject lines, message framing, send times, tone - it tests variants across the campaign and shifts volume toward whatever’s working best. No manual tuning needed. Campaigns get sharper the longer they run.</w:t>
      </w:r>
    </w:p>
    <w:bookmarkEnd w:id="10"/>
    <w:bookmarkStart w:id="11" w:name="scheduling-that-looks-organic"/>
    <w:p>
      <w:pPr>
        <w:pStyle w:val="Heading4"/>
      </w:pPr>
      <w:r>
        <w:t xml:space="preserve">Scheduling That Looks Organic</w:t>
      </w:r>
    </w:p>
    <w:p>
      <w:pPr>
        <w:pStyle w:val="FirstParagraph"/>
      </w:pPr>
      <w:r>
        <w:t xml:space="preserve">Messages go out across business hours with randomized timing and natural gaps between sends. Nothing arrives in suspicious bursts. Nothing hits the same inbox twice in quick succession. It looks like people sending emails when they get around to it, because that’s what it’s designed to mimic.</w:t>
      </w:r>
    </w:p>
    <w:bookmarkEnd w:id="11"/>
    <w:bookmarkStart w:id="12" w:name="full-tracking"/>
    <w:p>
      <w:pPr>
        <w:pStyle w:val="Heading4"/>
      </w:pPr>
      <w:r>
        <w:t xml:space="preserve">Full Tracking</w:t>
      </w:r>
    </w:p>
    <w:p>
      <w:pPr>
        <w:pStyle w:val="FirstParagraph"/>
      </w:pPr>
      <w:r>
        <w:t xml:space="preserve">Every send, every bounce, every reply - captured and surfaced through a campaign dashboard. You can see exactly what’s landing, what’s bouncing, and where replies are coming from.</w:t>
      </w:r>
    </w:p>
    <w:p>
      <w:r>
        <w:pict>
          <v:rect style="width:0;height:1.5pt" o:hralign="center" o:hrstd="t" o:hr="t"/>
        </w:pict>
      </w:r>
    </w:p>
    <w:bookmarkEnd w:id="12"/>
    <w:bookmarkEnd w:id="13"/>
    <w:bookmarkStart w:id="14" w:name="what-was-delivered"/>
    <w:p>
      <w:pPr>
        <w:pStyle w:val="Heading2"/>
      </w:pPr>
      <w:r>
        <w:t xml:space="preserve">What Was Delivered</w:t>
      </w:r>
    </w:p>
    <w:p>
      <w:pPr>
        <w:pStyle w:val="FirstParagraph"/>
      </w:pPr>
      <w:r>
        <w:t xml:space="preserve">For this engagement we deployed a single-brand campaign end to end:</w:t>
      </w:r>
    </w:p>
    <w:p>
      <w:pPr>
        <w:pStyle w:val="Compact"/>
        <w:numPr>
          <w:ilvl w:val="0"/>
          <w:numId w:val="1001"/>
        </w:numPr>
      </w:pPr>
      <w:r>
        <w:t xml:space="preserve">Live advocacy website with campaign messaging and constituent action flows</w:t>
      </w:r>
    </w:p>
    <w:p>
      <w:pPr>
        <w:pStyle w:val="Compact"/>
        <w:numPr>
          <w:ilvl w:val="0"/>
          <w:numId w:val="1001"/>
        </w:numPr>
      </w:pPr>
      <w:r>
        <w:t xml:space="preserve">Admin dashboard for managing constituents, stakeholders, and campaign settings</w:t>
      </w:r>
    </w:p>
    <w:p>
      <w:pPr>
        <w:pStyle w:val="Compact"/>
        <w:numPr>
          <w:ilvl w:val="0"/>
          <w:numId w:val="1001"/>
        </w:numPr>
      </w:pPr>
      <w:r>
        <w:t xml:space="preserve">AI email generation tuned to the client’s specific issue brief and tone</w:t>
      </w:r>
    </w:p>
    <w:p>
      <w:pPr>
        <w:pStyle w:val="Compact"/>
        <w:numPr>
          <w:ilvl w:val="0"/>
          <w:numId w:val="1001"/>
        </w:numPr>
      </w:pPr>
      <w:r>
        <w:t xml:space="preserve">Daily automated sends distributed across business hours to targeted stakeholders</w:t>
      </w:r>
    </w:p>
    <w:p>
      <w:pPr>
        <w:pStyle w:val="Compact"/>
        <w:numPr>
          <w:ilvl w:val="0"/>
          <w:numId w:val="1001"/>
        </w:numPr>
      </w:pPr>
      <w:r>
        <w:t xml:space="preserve">Reply capture and delivery tracking with real-time reporting</w:t>
      </w:r>
    </w:p>
    <w:p>
      <w:pPr>
        <w:pStyle w:val="FirstParagraph"/>
      </w:pPr>
      <w:r>
        <w:t xml:space="preserve">The campaign ran on its own with full visibility through the dashboard.</w:t>
      </w:r>
    </w:p>
    <w:p>
      <w:r>
        <w:pict>
          <v:rect style="width:0;height:1.5pt" o:hralign="center" o:hrstd="t" o:hr="t"/>
        </w:pict>
      </w:r>
    </w:p>
    <w:bookmarkEnd w:id="14"/>
    <w:bookmarkStart w:id="22" w:name="where-we-go-from-here"/>
    <w:p>
      <w:pPr>
        <w:pStyle w:val="Heading2"/>
      </w:pPr>
      <w:r>
        <w:t xml:space="preserve">Where We Go From Here</w:t>
      </w:r>
    </w:p>
    <w:bookmarkStart w:id="15" w:name="multi-brand-network"/>
    <w:p>
      <w:pPr>
        <w:pStyle w:val="Heading4"/>
      </w:pPr>
      <w:r>
        <w:t xml:space="preserve">Multi-Brand Network</w:t>
      </w:r>
    </w:p>
    <w:p>
      <w:pPr>
        <w:pStyle w:val="FirstParagraph"/>
      </w:pPr>
      <w:r>
        <w:t xml:space="preserve">Right now it’s one brand. The platform is built to run</w:t>
      </w:r>
      <w:r>
        <w:t xml:space="preserve"> </w:t>
      </w:r>
      <w:r>
        <w:rPr>
          <w:b/>
          <w:bCs/>
        </w:rPr>
        <w:t xml:space="preserve">15 to 20 distinct advocacy brands</w:t>
      </w:r>
      <w:r>
        <w:t xml:space="preserve">, each with its own website, its own domain, its own email infrastructure, and its own organizational voice.</w:t>
      </w:r>
    </w:p>
    <w:p>
      <w:pPr>
        <w:pStyle w:val="BodyText"/>
      </w:pPr>
      <w:r>
        <w:t xml:space="preserve">What does that look like from the stakeholder’s end? They’re getting emails from what appears to be multiple independent organizations, all mobilizing constituents around the same issues. The grassroots pressure multiplies without the constituent list needing to grow at all.</w:t>
      </w:r>
    </w:p>
    <w:p>
      <w:pPr>
        <w:pStyle w:val="BodyText"/>
      </w:pPr>
      <w:r>
        <w:t xml:space="preserve">Every brand is a full deployment. Its own site, dashboard, sending domain. The architecture is already designed for this - it’s a matter of replication, not reinvention.</w:t>
      </w:r>
    </w:p>
    <w:bookmarkEnd w:id="15"/>
    <w:bookmarkStart w:id="16" w:name="scaling-the-volume"/>
    <w:p>
      <w:pPr>
        <w:pStyle w:val="Heading4"/>
      </w:pPr>
      <w:r>
        <w:t xml:space="preserve">Scaling the Volume</w:t>
      </w:r>
    </w:p>
    <w:p>
      <w:pPr>
        <w:pStyle w:val="FirstParagraph"/>
      </w:pPr>
      <w:r>
        <w:t xml:space="preserve">Here’s what changes with a multi-brand network:</w:t>
      </w:r>
    </w:p>
    <w:p>
      <w:pPr>
        <w:pStyle w:val="Compact"/>
        <w:numPr>
          <w:ilvl w:val="0"/>
          <w:numId w:val="1002"/>
        </w:numPr>
      </w:pPr>
      <w:r>
        <w:rPr>
          <w:b/>
          <w:bCs/>
        </w:rPr>
        <w:t xml:space="preserve">Daily emails per constituent</w:t>
      </w:r>
      <w:r>
        <w:t xml:space="preserve"> </w:t>
      </w:r>
      <w:r>
        <w:t xml:space="preserve">go from controlled single-brand limits to distributed sends across the full network</w:t>
      </w:r>
    </w:p>
    <w:p>
      <w:pPr>
        <w:pStyle w:val="Compact"/>
        <w:numPr>
          <w:ilvl w:val="0"/>
          <w:numId w:val="1002"/>
        </w:numPr>
      </w:pPr>
      <w:r>
        <w:rPr>
          <w:b/>
          <w:bCs/>
        </w:rPr>
        <w:t xml:space="preserve">Total daily messages</w:t>
      </w:r>
      <w:r>
        <w:t xml:space="preserve"> </w:t>
      </w:r>
      <w:r>
        <w:t xml:space="preserve">scale from tens into hundreds or thousands</w:t>
      </w:r>
    </w:p>
    <w:p>
      <w:pPr>
        <w:pStyle w:val="Compact"/>
        <w:numPr>
          <w:ilvl w:val="0"/>
          <w:numId w:val="1002"/>
        </w:numPr>
      </w:pPr>
      <w:r>
        <w:rPr>
          <w:b/>
          <w:bCs/>
        </w:rPr>
        <w:t xml:space="preserve">Stakeholder touchpoints</w:t>
      </w:r>
      <w:r>
        <w:t xml:space="preserve"> </w:t>
      </w:r>
      <w:r>
        <w:t xml:space="preserve">jump from one organization’s voice to 15-20 different ones</w:t>
      </w:r>
    </w:p>
    <w:p>
      <w:pPr>
        <w:pStyle w:val="Compact"/>
        <w:numPr>
          <w:ilvl w:val="0"/>
          <w:numId w:val="1002"/>
        </w:numPr>
      </w:pPr>
      <w:r>
        <w:rPr>
          <w:b/>
          <w:bCs/>
        </w:rPr>
        <w:t xml:space="preserve">Geographic coverage</w:t>
      </w:r>
      <w:r>
        <w:t xml:space="preserve"> </w:t>
      </w:r>
      <w:r>
        <w:t xml:space="preserve">expands from a single campaign scope to regional and local variants running simultaneously</w:t>
      </w:r>
    </w:p>
    <w:bookmarkEnd w:id="16"/>
    <w:bookmarkStart w:id="17" w:name="sms"/>
    <w:p>
      <w:pPr>
        <w:pStyle w:val="Heading4"/>
      </w:pPr>
      <w:r>
        <w:t xml:space="preserve">SMS</w:t>
      </w:r>
    </w:p>
    <w:p>
      <w:pPr>
        <w:pStyle w:val="FirstParagraph"/>
      </w:pPr>
      <w:r>
        <w:t xml:space="preserve">Same constituent list. Same AI engine. Different channel. The platform generates text messages matched to each constituent’s voice and concern, delivered with the same natural timing variation as email. No inbox filtering to worry about - texts land directly on the phone.</w:t>
      </w:r>
    </w:p>
    <w:bookmarkEnd w:id="17"/>
    <w:bookmarkStart w:id="18" w:name="ai-powered-calling-beta"/>
    <w:p>
      <w:pPr>
        <w:pStyle w:val="Heading4"/>
      </w:pPr>
      <w:r>
        <w:t xml:space="preserve">AI-Powered Calling (Beta)</w:t>
      </w:r>
    </w:p>
    <w:p>
      <w:pPr>
        <w:pStyle w:val="FirstParagraph"/>
      </w:pPr>
      <w:r>
        <w:t xml:space="preserve">Voice outreach to stakeholder offices through a hybrid system:</w:t>
      </w:r>
    </w:p>
    <w:p>
      <w:pPr>
        <w:pStyle w:val="BodyText"/>
      </w:pPr>
      <w:r>
        <w:rPr>
          <w:b/>
          <w:bCs/>
        </w:rPr>
        <w:t xml:space="preserve">Patch-through calling</w:t>
      </w:r>
      <w:r>
        <w:t xml:space="preserve"> </w:t>
      </w:r>
      <w:r>
        <w:t xml:space="preserve">is the cleanest approach - a constituent clicks a button, gets connected directly to their MP or minister’s office, and the platform feeds them AI-generated talking points and a script in real time. The constituent is on the line. It’s their voice. Fully compliant, high impact.</w:t>
      </w:r>
    </w:p>
    <w:p>
      <w:pPr>
        <w:pStyle w:val="BodyText"/>
      </w:pPr>
      <w:r>
        <w:rPr>
          <w:b/>
          <w:bCs/>
        </w:rPr>
        <w:t xml:space="preserve">Click-to-call</w:t>
      </w:r>
      <w:r>
        <w:t xml:space="preserve"> </w:t>
      </w:r>
      <w:r>
        <w:t xml:space="preserve">works similarly - a web tool that lets constituents dial stakeholder offices with one click, guided by AI-prepared messaging.</w:t>
      </w:r>
    </w:p>
    <w:p>
      <w:pPr>
        <w:pStyle w:val="BodyText"/>
      </w:pPr>
      <w:r>
        <w:rPr>
          <w:b/>
          <w:bCs/>
        </w:rPr>
        <w:t xml:space="preserve">AI voice delivery</w:t>
      </w:r>
      <w:r>
        <w:t xml:space="preserve"> </w:t>
      </w:r>
      <w:r>
        <w:t xml:space="preserve">adds the volume layer - automated voice messages delivered to government office lines at scale with compliant caller ID and natural pacing. Government offices are business lines, not consumer numbers, so the regulatory framework is workable here. We use STIR/SHAKEN Level A attestation, number pooling, and proper call pacing to stay clean with carrier spam detection.</w:t>
      </w:r>
    </w:p>
    <w:p>
      <w:pPr>
        <w:pStyle w:val="BodyText"/>
      </w:pPr>
      <w:r>
        <w:t xml:space="preserve">Three calling modes. The constituent-driven ones carry the most weight. The automated one adds scale. Together they give the phone channel real teeth.</w:t>
      </w:r>
    </w:p>
    <w:bookmarkEnd w:id="18"/>
    <w:bookmarkStart w:id="19" w:name="letters-to-the-editor"/>
    <w:p>
      <w:pPr>
        <w:pStyle w:val="Heading4"/>
      </w:pPr>
      <w:r>
        <w:t xml:space="preserve">Letters to the Editor</w:t>
      </w:r>
    </w:p>
    <w:p>
      <w:pPr>
        <w:pStyle w:val="FirstParagraph"/>
      </w:pPr>
      <w:r>
        <w:t xml:space="preserve">Legislators and their staff actually read their local papers. A letter in the Edmonton Journal or Saskatoon StarPhoenix from a concerned constituent creates a completely different kind of pressure than an email to their office.</w:t>
      </w:r>
    </w:p>
    <w:p>
      <w:pPr>
        <w:pStyle w:val="BodyText"/>
      </w:pPr>
      <w:r>
        <w:t xml:space="preserve">The AI engine generates letters tailored to each paper’s style and word limits. The constituent’s name, city, and concern come through naturally. Run this across a multi-brand network and you’ve got letters appearing in multiple publications from what looks like broad public concern brewing organically.</w:t>
      </w:r>
    </w:p>
    <w:bookmarkEnd w:id="19"/>
    <w:bookmarkStart w:id="20" w:name="X435c15d5ce3535dd755e618361b41a68133e331"/>
    <w:p>
      <w:pPr>
        <w:pStyle w:val="Heading4"/>
      </w:pPr>
      <w:r>
        <w:t xml:space="preserve">Public Consultation and Regulatory Comments</w:t>
      </w:r>
    </w:p>
    <w:p>
      <w:pPr>
        <w:pStyle w:val="FirstParagraph"/>
      </w:pPr>
      <w:r>
        <w:t xml:space="preserve">When governments open public consultations - Canada Gazette, provincial regulatory bodies, municipal planning - the platform generates and submits personalized constituent comments at scale.</w:t>
      </w:r>
    </w:p>
    <w:p>
      <w:pPr>
        <w:pStyle w:val="BodyText"/>
      </w:pPr>
      <w:r>
        <w:t xml:space="preserve">Every submission is genuinely different. Different arguments, different personal angles, different lengths. They meet formatting requirements. And across multiple brands, the volume of public input on a single consultation adds up fast.</w:t>
      </w:r>
    </w:p>
    <w:p>
      <w:pPr>
        <w:pStyle w:val="BodyText"/>
      </w:pPr>
      <w:r>
        <w:t xml:space="preserve">This pushes the campaign into formal policy channels where decisions actually get made. It’s not just about reaching stakeholders directly anymore - it’s about showing up in every process where their decisions are being shaped.</w:t>
      </w:r>
    </w:p>
    <w:bookmarkEnd w:id="20"/>
    <w:bookmarkStart w:id="21" w:name="regional-deployment"/>
    <w:p>
      <w:pPr>
        <w:pStyle w:val="Heading4"/>
      </w:pPr>
      <w:r>
        <w:t xml:space="preserve">Regional Deployment</w:t>
      </w:r>
    </w:p>
    <w:p>
      <w:pPr>
        <w:pStyle w:val="FirstParagraph"/>
      </w:pPr>
      <w:r>
        <w:t xml:space="preserve">The platform replicates regionally. Same core engine, different targets.</w:t>
      </w:r>
    </w:p>
    <w:p>
      <w:pPr>
        <w:pStyle w:val="BodyText"/>
      </w:pPr>
      <w:r>
        <w:rPr>
          <w:b/>
          <w:bCs/>
        </w:rPr>
        <w:t xml:space="preserve">Provincial versions</w:t>
      </w:r>
      <w:r>
        <w:t xml:space="preserve"> </w:t>
      </w:r>
      <w:r>
        <w:t xml:space="preserve">- Alberta gets its own stakeholders, regional concerns, and riding data. Saskatchewan gets the same treatment but tuned to its own political reality. More provinces as needed.</w:t>
      </w:r>
    </w:p>
    <w:p>
      <w:pPr>
        <w:pStyle w:val="BodyText"/>
      </w:pPr>
      <w:r>
        <w:rPr>
          <w:b/>
          <w:bCs/>
        </w:rPr>
        <w:t xml:space="preserve">City-to-city versions</w:t>
      </w:r>
      <w:r>
        <w:t xml:space="preserve"> </w:t>
      </w:r>
      <w:r>
        <w:t xml:space="preserve">- municipal campaigns targeting city councillors, mayors, local officials. The messaging gets hyper-local. Neighbourhood-level concerns. Smaller constituent pools but sharply targeted.</w:t>
      </w:r>
    </w:p>
    <w:p>
      <w:pPr>
        <w:pStyle w:val="BodyText"/>
      </w:pPr>
      <w:r>
        <w:t xml:space="preserve">Each deployment runs the full stack: AI writing, automated scheduling, multi-brand infrastructure, tracking. The only things that change are the politics, the stakeholders, and the constituent concerns.</w:t>
      </w:r>
    </w:p>
    <w:p>
      <w:r>
        <w:pict>
          <v:rect style="width:0;height:1.5pt" o:hralign="center" o:hrstd="t" o:hr="t"/>
        </w:pict>
      </w:r>
    </w:p>
    <w:bookmarkEnd w:id="21"/>
    <w:bookmarkEnd w:id="22"/>
    <w:bookmarkStart w:id="23" w:name="how-it-all-fits-together"/>
    <w:p>
      <w:pPr>
        <w:pStyle w:val="Heading2"/>
      </w:pPr>
      <w:r>
        <w:t xml:space="preserve">How It All Fits Together</w:t>
      </w:r>
    </w:p>
    <w:p>
      <w:pPr>
        <w:pStyle w:val="FirstParagraph"/>
      </w:pPr>
      <w:r>
        <w:t xml:space="preserve">Start with the constituent database - names, locations, ridings, what they care about.</w:t>
      </w:r>
    </w:p>
    <w:p>
      <w:pPr>
        <w:pStyle w:val="BodyText"/>
      </w:pPr>
      <w:r>
        <w:t xml:space="preserve">That feeds the AI personalization engine, which handles personas, tone, style, and optimization.</w:t>
      </w:r>
    </w:p>
    <w:p>
      <w:pPr>
        <w:pStyle w:val="BodyText"/>
      </w:pPr>
      <w:r>
        <w:t xml:space="preserve">From there it branches into five outreach channels:</w:t>
      </w:r>
    </w:p>
    <w:p>
      <w:pPr>
        <w:pStyle w:val="Compact"/>
        <w:numPr>
          <w:ilvl w:val="0"/>
          <w:numId w:val="1003"/>
        </w:numPr>
      </w:pPr>
      <w:r>
        <w:rPr>
          <w:b/>
          <w:bCs/>
        </w:rPr>
        <w:t xml:space="preserve">Email</w:t>
      </w:r>
      <w:r>
        <w:t xml:space="preserve"> </w:t>
      </w:r>
      <w:r>
        <w:t xml:space="preserve">across 15-20 brands with unique domains</w:t>
      </w:r>
    </w:p>
    <w:p>
      <w:pPr>
        <w:pStyle w:val="Compact"/>
        <w:numPr>
          <w:ilvl w:val="0"/>
          <w:numId w:val="1003"/>
        </w:numPr>
      </w:pPr>
      <w:r>
        <w:rPr>
          <w:b/>
          <w:bCs/>
        </w:rPr>
        <w:t xml:space="preserve">SMS</w:t>
      </w:r>
      <w:r>
        <w:t xml:space="preserve"> </w:t>
      </w:r>
      <w:r>
        <w:t xml:space="preserve">direct to phone</w:t>
      </w:r>
    </w:p>
    <w:p>
      <w:pPr>
        <w:pStyle w:val="Compact"/>
        <w:numPr>
          <w:ilvl w:val="0"/>
          <w:numId w:val="1003"/>
        </w:numPr>
      </w:pPr>
      <w:r>
        <w:rPr>
          <w:b/>
          <w:bCs/>
        </w:rPr>
        <w:t xml:space="preserve">AI-powered calling</w:t>
      </w:r>
      <w:r>
        <w:t xml:space="preserve"> </w:t>
      </w:r>
      <w:r>
        <w:t xml:space="preserve">- patch-through, click-to-call, and automated voice</w:t>
      </w:r>
    </w:p>
    <w:p>
      <w:pPr>
        <w:pStyle w:val="Compact"/>
        <w:numPr>
          <w:ilvl w:val="0"/>
          <w:numId w:val="1003"/>
        </w:numPr>
      </w:pPr>
      <w:r>
        <w:rPr>
          <w:b/>
          <w:bCs/>
        </w:rPr>
        <w:t xml:space="preserve">Letters to the editor</w:t>
      </w:r>
      <w:r>
        <w:t xml:space="preserve"> </w:t>
      </w:r>
      <w:r>
        <w:t xml:space="preserve">in local and regional papers</w:t>
      </w:r>
    </w:p>
    <w:p>
      <w:pPr>
        <w:pStyle w:val="Compact"/>
        <w:numPr>
          <w:ilvl w:val="0"/>
          <w:numId w:val="1003"/>
        </w:numPr>
      </w:pPr>
      <w:r>
        <w:rPr>
          <w:b/>
          <w:bCs/>
        </w:rPr>
        <w:t xml:space="preserve">Public consultation comments</w:t>
      </w:r>
      <w:r>
        <w:t xml:space="preserve"> </w:t>
      </w:r>
      <w:r>
        <w:t xml:space="preserve">submitted to government processes</w:t>
      </w:r>
    </w:p>
    <w:p>
      <w:pPr>
        <w:pStyle w:val="FirstParagraph"/>
      </w:pPr>
      <w:r>
        <w:t xml:space="preserve">All of it targets the same stakeholders - MPs, ministers, councillors, officials - across regional deployments in Alberta, Saskatchewan, municipalities, and wherever else the campaign needs to reach.</w:t>
      </w:r>
    </w:p>
    <w:p>
      <w:pPr>
        <w:pStyle w:val="BodyText"/>
      </w:pPr>
      <w:r>
        <w:t xml:space="preserve">One constituent list. One set of issues. Five channels. Up to twenty brands. As many regions as you need.</w:t>
      </w:r>
    </w:p>
    <w:p>
      <w:r>
        <w:pict>
          <v:rect style="width:0;height:1.5pt" o:hralign="center" o:hrstd="t" o:hr="t"/>
        </w:pict>
      </w:r>
    </w:p>
    <w:bookmarkEnd w:id="23"/>
    <w:bookmarkStart w:id="24" w:name="the-point"/>
    <w:p>
      <w:pPr>
        <w:pStyle w:val="Heading2"/>
      </w:pPr>
      <w:r>
        <w:t xml:space="preserve">The Point</w:t>
      </w:r>
    </w:p>
    <w:p>
      <w:pPr>
        <w:pStyle w:val="FirstParagraph"/>
      </w:pPr>
      <w:r>
        <w:t xml:space="preserve">A single organization sending emails is a lobby effort. 15+ organizations sending emails, texts, and phone calls while letters show up in local papers and public consultations fill with constituent voices to portray a movement.</w:t>
      </w:r>
    </w:p>
    <w:p>
      <w:pPr>
        <w:pStyle w:val="BodyText"/>
      </w:pPr>
      <w:r>
        <w:t xml:space="preserve">That’s what this platform builds. Automated, personalized, and built to scale.</w:t>
      </w:r>
    </w:p>
    <w:p>
      <w:r>
        <w:pict>
          <v:rect style="width:0;height:1.5pt" o:hralign="center" o:hrstd="t" o:hr="t"/>
        </w:pict>
      </w:r>
    </w:p>
    <w:p>
      <w:pPr>
        <w:pStyle w:val="FirstParagraph"/>
      </w:pPr>
      <w:r>
        <w:rPr>
          <w:i/>
          <w:iCs/>
        </w:rPr>
        <w:t xml:space="preserve">ImpactOutreach - April 2026</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2026-04-07T00:20:27Z</dcterms:created>
  <dcterms:modified xsi:type="dcterms:W3CDTF">2026-04-07T00:20:27Z</dcterms:modified>
</cp:coreProperties>
</file>

<file path=docProps/custom.xml><?xml version="1.0" encoding="utf-8"?>
<Properties xmlns="http://schemas.openxmlformats.org/officeDocument/2006/custom-properties" xmlns:vt="http://schemas.openxmlformats.org/officeDocument/2006/docPropsVTypes"/>
</file>