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B13227" w14:textId="77777777" w:rsidR="00CF6C94" w:rsidRDefault="00DD0924">
      <w:pPr>
        <w:spacing w:after="0"/>
      </w:pPr>
      <w:r>
        <w:rPr>
          <w:b/>
          <w:sz w:val="26"/>
        </w:rPr>
        <w:t>City of Wyoming, Michigan - Clean Water Plant</w:t>
      </w:r>
    </w:p>
    <w:p w14:paraId="58DDF1CF" w14:textId="77777777" w:rsidR="00CF6C94" w:rsidRDefault="00DD0924">
      <w:pPr>
        <w:spacing w:after="0"/>
      </w:pPr>
      <w:r>
        <w:rPr>
          <w:b/>
          <w:sz w:val="24"/>
        </w:rPr>
        <w:t>Industrial Pretreatment Program</w:t>
      </w:r>
    </w:p>
    <w:p w14:paraId="559284C3" w14:textId="77777777" w:rsidR="00CF6C94" w:rsidRDefault="00DD0924">
      <w:pPr>
        <w:spacing w:after="160"/>
      </w:pPr>
      <w:r>
        <w:rPr>
          <w:b/>
          <w:sz w:val="24"/>
        </w:rPr>
        <w:t>Wastewater Discharge Permit No. IP-0421</w:t>
      </w:r>
    </w:p>
    <w:p w14:paraId="70FC22A0" w14:textId="77777777" w:rsidR="00CF6C94" w:rsidRDefault="00DD0924">
      <w:r>
        <w:rPr>
          <w:i/>
        </w:rPr>
        <w:t>Permittee: Vandeveer Plating LLC, 2140 Chicago Drive SW, Wyoming, Michigan 49519. Authorized representative: Harlan Vandeveer, President. Discharge point: Outfall 001, the effluent of the metal finishing wastewater pretreatment system, to the sanitary sewer at manhole 44-118. Effective November 1, 2024; expires October 31, 2029. Categorical standard: 40 CFR Part 433, metal finishing, pretreatment standards for existing sources.</w:t>
      </w:r>
    </w:p>
    <w:p w14:paraId="13C942A6" w14:textId="77777777" w:rsidR="00CF6C94" w:rsidRDefault="00DD0924">
      <w:pPr>
        <w:pStyle w:val="Heading1"/>
      </w:pPr>
      <w:r>
        <w:t>Part I. Effluent limitations</w:t>
      </w:r>
    </w:p>
    <w:p w14:paraId="2B0E8AC9" w14:textId="77777777" w:rsidR="00CF6C94" w:rsidRDefault="00DD0924">
      <w:pPr>
        <w:spacing w:after="120"/>
      </w:pPr>
      <w:r>
        <w:t>The permittee shall not discharge from Outfall 001 wastewater exceeding the following limitations. Concentrations are in milligrams per liter and apply to the effluent of the pretreatment system before any dilution.</w:t>
      </w:r>
    </w:p>
    <w:tbl>
      <w:tblPr>
        <w:tblStyle w:val="TableGrid"/>
        <w:tblW w:w="0" w:type="auto"/>
        <w:tblLook w:val="04A0" w:firstRow="1" w:lastRow="0" w:firstColumn="1" w:lastColumn="0" w:noHBand="0" w:noVBand="1"/>
      </w:tblPr>
      <w:tblGrid>
        <w:gridCol w:w="1872"/>
        <w:gridCol w:w="1872"/>
        <w:gridCol w:w="1872"/>
        <w:gridCol w:w="1872"/>
        <w:gridCol w:w="1872"/>
      </w:tblGrid>
      <w:tr w:rsidR="00CF6C94" w14:paraId="011B5A9A" w14:textId="77777777">
        <w:tc>
          <w:tcPr>
            <w:tcW w:w="1872" w:type="dxa"/>
            <w:shd w:val="clear" w:color="auto" w:fill="DCEBE3"/>
          </w:tcPr>
          <w:p w14:paraId="67EF0880" w14:textId="77777777" w:rsidR="00CF6C94" w:rsidRDefault="00DD0924">
            <w:r>
              <w:rPr>
                <w:b/>
              </w:rPr>
              <w:t>Parameter</w:t>
            </w:r>
          </w:p>
        </w:tc>
        <w:tc>
          <w:tcPr>
            <w:tcW w:w="1872" w:type="dxa"/>
            <w:shd w:val="clear" w:color="auto" w:fill="DCEBE3"/>
          </w:tcPr>
          <w:p w14:paraId="5825FB47" w14:textId="77777777" w:rsidR="00CF6C94" w:rsidRDefault="00DD0924">
            <w:r>
              <w:rPr>
                <w:b/>
              </w:rPr>
              <w:t>Daily maximum</w:t>
            </w:r>
          </w:p>
        </w:tc>
        <w:tc>
          <w:tcPr>
            <w:tcW w:w="1872" w:type="dxa"/>
            <w:shd w:val="clear" w:color="auto" w:fill="DCEBE3"/>
          </w:tcPr>
          <w:p w14:paraId="4425B865" w14:textId="77777777" w:rsidR="00CF6C94" w:rsidRDefault="00DD0924">
            <w:r>
              <w:rPr>
                <w:b/>
              </w:rPr>
              <w:t>Monthly average</w:t>
            </w:r>
          </w:p>
        </w:tc>
        <w:tc>
          <w:tcPr>
            <w:tcW w:w="1872" w:type="dxa"/>
            <w:shd w:val="clear" w:color="auto" w:fill="DCEBE3"/>
          </w:tcPr>
          <w:p w14:paraId="761FE037" w14:textId="77777777" w:rsidR="00CF6C94" w:rsidRDefault="00DD0924">
            <w:r>
              <w:rPr>
                <w:b/>
              </w:rPr>
              <w:t>Sample type</w:t>
            </w:r>
          </w:p>
        </w:tc>
        <w:tc>
          <w:tcPr>
            <w:tcW w:w="1872" w:type="dxa"/>
            <w:shd w:val="clear" w:color="auto" w:fill="DCEBE3"/>
          </w:tcPr>
          <w:p w14:paraId="3FE9A2E7" w14:textId="77777777" w:rsidR="00CF6C94" w:rsidRDefault="00DD0924">
            <w:r>
              <w:rPr>
                <w:b/>
              </w:rPr>
              <w:t>Frequency</w:t>
            </w:r>
          </w:p>
        </w:tc>
      </w:tr>
      <w:tr w:rsidR="00CF6C94" w14:paraId="38AB827D" w14:textId="77777777">
        <w:tc>
          <w:tcPr>
            <w:tcW w:w="1872" w:type="dxa"/>
          </w:tcPr>
          <w:p w14:paraId="116F81E4" w14:textId="77777777" w:rsidR="00CF6C94" w:rsidRDefault="00DD0924">
            <w:r>
              <w:t>Cadmium, total</w:t>
            </w:r>
          </w:p>
        </w:tc>
        <w:tc>
          <w:tcPr>
            <w:tcW w:w="1872" w:type="dxa"/>
          </w:tcPr>
          <w:p w14:paraId="7DD6C74A" w14:textId="77777777" w:rsidR="00CF6C94" w:rsidRDefault="00DD0924">
            <w:r>
              <w:t>0.11</w:t>
            </w:r>
          </w:p>
        </w:tc>
        <w:tc>
          <w:tcPr>
            <w:tcW w:w="1872" w:type="dxa"/>
          </w:tcPr>
          <w:p w14:paraId="33A867D1" w14:textId="77777777" w:rsidR="00CF6C94" w:rsidRDefault="00DD0924">
            <w:r>
              <w:t>0.07</w:t>
            </w:r>
          </w:p>
        </w:tc>
        <w:tc>
          <w:tcPr>
            <w:tcW w:w="1872" w:type="dxa"/>
          </w:tcPr>
          <w:p w14:paraId="5EA39DCE" w14:textId="77777777" w:rsidR="00CF6C94" w:rsidRDefault="00DD0924">
            <w:r>
              <w:t>24-hour composite</w:t>
            </w:r>
          </w:p>
        </w:tc>
        <w:tc>
          <w:tcPr>
            <w:tcW w:w="1872" w:type="dxa"/>
          </w:tcPr>
          <w:p w14:paraId="45E9E2B8" w14:textId="77777777" w:rsidR="00CF6C94" w:rsidRDefault="00DD0924">
            <w:r>
              <w:t>Twice per month</w:t>
            </w:r>
          </w:p>
        </w:tc>
      </w:tr>
      <w:tr w:rsidR="00CF6C94" w14:paraId="1265368F" w14:textId="77777777">
        <w:tc>
          <w:tcPr>
            <w:tcW w:w="1872" w:type="dxa"/>
          </w:tcPr>
          <w:p w14:paraId="26B9C07D" w14:textId="77777777" w:rsidR="00CF6C94" w:rsidRDefault="00DD0924">
            <w:r>
              <w:t>Chromium, total</w:t>
            </w:r>
          </w:p>
        </w:tc>
        <w:tc>
          <w:tcPr>
            <w:tcW w:w="1872" w:type="dxa"/>
          </w:tcPr>
          <w:p w14:paraId="3F1A5566" w14:textId="77777777" w:rsidR="00CF6C94" w:rsidRDefault="00DD0924">
            <w:r>
              <w:t>2.77</w:t>
            </w:r>
          </w:p>
        </w:tc>
        <w:tc>
          <w:tcPr>
            <w:tcW w:w="1872" w:type="dxa"/>
          </w:tcPr>
          <w:p w14:paraId="704B09A9" w14:textId="77777777" w:rsidR="00CF6C94" w:rsidRDefault="00DD0924">
            <w:r>
              <w:t>1.71</w:t>
            </w:r>
          </w:p>
        </w:tc>
        <w:tc>
          <w:tcPr>
            <w:tcW w:w="1872" w:type="dxa"/>
          </w:tcPr>
          <w:p w14:paraId="09BE8FE9" w14:textId="77777777" w:rsidR="00CF6C94" w:rsidRDefault="00DD0924">
            <w:r>
              <w:t>24-hour composite</w:t>
            </w:r>
          </w:p>
        </w:tc>
        <w:tc>
          <w:tcPr>
            <w:tcW w:w="1872" w:type="dxa"/>
          </w:tcPr>
          <w:p w14:paraId="6EA38654" w14:textId="77777777" w:rsidR="00CF6C94" w:rsidRDefault="00DD0924">
            <w:r>
              <w:t>Twice per month</w:t>
            </w:r>
          </w:p>
        </w:tc>
      </w:tr>
      <w:tr w:rsidR="00CF6C94" w14:paraId="2318CAEA" w14:textId="77777777">
        <w:tc>
          <w:tcPr>
            <w:tcW w:w="1872" w:type="dxa"/>
          </w:tcPr>
          <w:p w14:paraId="4FEAD0F5" w14:textId="77777777" w:rsidR="00CF6C94" w:rsidRDefault="00DD0924">
            <w:r>
              <w:t>Copper, total</w:t>
            </w:r>
          </w:p>
        </w:tc>
        <w:tc>
          <w:tcPr>
            <w:tcW w:w="1872" w:type="dxa"/>
          </w:tcPr>
          <w:p w14:paraId="7E5F2C01" w14:textId="77777777" w:rsidR="00CF6C94" w:rsidRDefault="00DD0924">
            <w:r>
              <w:t>3.38</w:t>
            </w:r>
          </w:p>
        </w:tc>
        <w:tc>
          <w:tcPr>
            <w:tcW w:w="1872" w:type="dxa"/>
          </w:tcPr>
          <w:p w14:paraId="24281CE0" w14:textId="77777777" w:rsidR="00CF6C94" w:rsidRDefault="00DD0924">
            <w:r>
              <w:t>2.07</w:t>
            </w:r>
          </w:p>
        </w:tc>
        <w:tc>
          <w:tcPr>
            <w:tcW w:w="1872" w:type="dxa"/>
          </w:tcPr>
          <w:p w14:paraId="31E87041" w14:textId="77777777" w:rsidR="00CF6C94" w:rsidRDefault="00DD0924">
            <w:r>
              <w:t>24-hour composite</w:t>
            </w:r>
          </w:p>
        </w:tc>
        <w:tc>
          <w:tcPr>
            <w:tcW w:w="1872" w:type="dxa"/>
          </w:tcPr>
          <w:p w14:paraId="3D272DE7" w14:textId="77777777" w:rsidR="00CF6C94" w:rsidRDefault="00DD0924">
            <w:r>
              <w:t>Twice per month</w:t>
            </w:r>
          </w:p>
        </w:tc>
      </w:tr>
      <w:tr w:rsidR="00CF6C94" w14:paraId="4F547F25" w14:textId="77777777">
        <w:tc>
          <w:tcPr>
            <w:tcW w:w="1872" w:type="dxa"/>
          </w:tcPr>
          <w:p w14:paraId="092D3E3D" w14:textId="77777777" w:rsidR="00CF6C94" w:rsidRDefault="00DD0924">
            <w:r>
              <w:t>Nickel, total</w:t>
            </w:r>
          </w:p>
        </w:tc>
        <w:tc>
          <w:tcPr>
            <w:tcW w:w="1872" w:type="dxa"/>
          </w:tcPr>
          <w:p w14:paraId="27B96BB9" w14:textId="77777777" w:rsidR="00CF6C94" w:rsidRDefault="00DD0924">
            <w:r>
              <w:t>3.98</w:t>
            </w:r>
          </w:p>
        </w:tc>
        <w:tc>
          <w:tcPr>
            <w:tcW w:w="1872" w:type="dxa"/>
          </w:tcPr>
          <w:p w14:paraId="0F666F94" w14:textId="77777777" w:rsidR="00CF6C94" w:rsidRDefault="00DD0924">
            <w:r>
              <w:t>2.38</w:t>
            </w:r>
          </w:p>
        </w:tc>
        <w:tc>
          <w:tcPr>
            <w:tcW w:w="1872" w:type="dxa"/>
          </w:tcPr>
          <w:p w14:paraId="67D32C4C" w14:textId="77777777" w:rsidR="00CF6C94" w:rsidRDefault="00DD0924">
            <w:r>
              <w:t>24-hour composite</w:t>
            </w:r>
          </w:p>
        </w:tc>
        <w:tc>
          <w:tcPr>
            <w:tcW w:w="1872" w:type="dxa"/>
          </w:tcPr>
          <w:p w14:paraId="2B574DE8" w14:textId="77777777" w:rsidR="00CF6C94" w:rsidRDefault="00DD0924">
            <w:r>
              <w:t>Twice per month</w:t>
            </w:r>
          </w:p>
        </w:tc>
      </w:tr>
      <w:tr w:rsidR="00CF6C94" w14:paraId="06561921" w14:textId="77777777">
        <w:tc>
          <w:tcPr>
            <w:tcW w:w="1872" w:type="dxa"/>
          </w:tcPr>
          <w:p w14:paraId="779E7B51" w14:textId="77777777" w:rsidR="00CF6C94" w:rsidRDefault="00DD0924">
            <w:r>
              <w:t>Zinc, total</w:t>
            </w:r>
          </w:p>
        </w:tc>
        <w:tc>
          <w:tcPr>
            <w:tcW w:w="1872" w:type="dxa"/>
          </w:tcPr>
          <w:p w14:paraId="15EDBA34" w14:textId="77777777" w:rsidR="00CF6C94" w:rsidRDefault="00DD0924">
            <w:r>
              <w:t>2.61</w:t>
            </w:r>
          </w:p>
        </w:tc>
        <w:tc>
          <w:tcPr>
            <w:tcW w:w="1872" w:type="dxa"/>
          </w:tcPr>
          <w:p w14:paraId="5C0D2665" w14:textId="77777777" w:rsidR="00CF6C94" w:rsidRDefault="00DD0924">
            <w:r>
              <w:t>1.48</w:t>
            </w:r>
          </w:p>
        </w:tc>
        <w:tc>
          <w:tcPr>
            <w:tcW w:w="1872" w:type="dxa"/>
          </w:tcPr>
          <w:p w14:paraId="7F86D1CB" w14:textId="77777777" w:rsidR="00CF6C94" w:rsidRDefault="00DD0924">
            <w:r>
              <w:t>24-hour composite</w:t>
            </w:r>
          </w:p>
        </w:tc>
        <w:tc>
          <w:tcPr>
            <w:tcW w:w="1872" w:type="dxa"/>
          </w:tcPr>
          <w:p w14:paraId="722B6888" w14:textId="77777777" w:rsidR="00CF6C94" w:rsidRDefault="00DD0924">
            <w:r>
              <w:t>Twice per month</w:t>
            </w:r>
          </w:p>
        </w:tc>
      </w:tr>
      <w:tr w:rsidR="00CF6C94" w14:paraId="3CA8F968" w14:textId="77777777">
        <w:tc>
          <w:tcPr>
            <w:tcW w:w="1872" w:type="dxa"/>
          </w:tcPr>
          <w:p w14:paraId="300EB3DF" w14:textId="77777777" w:rsidR="00CF6C94" w:rsidRDefault="00DD0924">
            <w:r>
              <w:t>Cyanide, total</w:t>
            </w:r>
          </w:p>
        </w:tc>
        <w:tc>
          <w:tcPr>
            <w:tcW w:w="1872" w:type="dxa"/>
          </w:tcPr>
          <w:p w14:paraId="3F174449" w14:textId="77777777" w:rsidR="00CF6C94" w:rsidRDefault="00DD0924">
            <w:r>
              <w:t>1.20</w:t>
            </w:r>
          </w:p>
        </w:tc>
        <w:tc>
          <w:tcPr>
            <w:tcW w:w="1872" w:type="dxa"/>
          </w:tcPr>
          <w:p w14:paraId="7AA368ED" w14:textId="77777777" w:rsidR="00CF6C94" w:rsidRDefault="00DD0924">
            <w:r>
              <w:t>0.65</w:t>
            </w:r>
          </w:p>
        </w:tc>
        <w:tc>
          <w:tcPr>
            <w:tcW w:w="1872" w:type="dxa"/>
          </w:tcPr>
          <w:p w14:paraId="69FD4614" w14:textId="77777777" w:rsidR="00CF6C94" w:rsidRDefault="00DD0924">
            <w:r>
              <w:t>Grab</w:t>
            </w:r>
          </w:p>
        </w:tc>
        <w:tc>
          <w:tcPr>
            <w:tcW w:w="1872" w:type="dxa"/>
          </w:tcPr>
          <w:p w14:paraId="34766261" w14:textId="77777777" w:rsidR="00CF6C94" w:rsidRDefault="00DD0924">
            <w:r>
              <w:t>Twice per month</w:t>
            </w:r>
          </w:p>
        </w:tc>
      </w:tr>
      <w:tr w:rsidR="00CF6C94" w14:paraId="425F37B5" w14:textId="77777777">
        <w:tc>
          <w:tcPr>
            <w:tcW w:w="1872" w:type="dxa"/>
          </w:tcPr>
          <w:p w14:paraId="3974E046" w14:textId="77777777" w:rsidR="00CF6C94" w:rsidRDefault="00DD0924">
            <w:r>
              <w:t>pH, standard units</w:t>
            </w:r>
          </w:p>
        </w:tc>
        <w:tc>
          <w:tcPr>
            <w:tcW w:w="1872" w:type="dxa"/>
          </w:tcPr>
          <w:p w14:paraId="53CCC0EF" w14:textId="77777777" w:rsidR="00CF6C94" w:rsidRDefault="00DD0924">
            <w:r>
              <w:t>6.0 to 9.0 at all times</w:t>
            </w:r>
          </w:p>
        </w:tc>
        <w:tc>
          <w:tcPr>
            <w:tcW w:w="1872" w:type="dxa"/>
          </w:tcPr>
          <w:p w14:paraId="7112730D" w14:textId="77777777" w:rsidR="00CF6C94" w:rsidRDefault="00DD0924">
            <w:r>
              <w:t>not applicable</w:t>
            </w:r>
          </w:p>
        </w:tc>
        <w:tc>
          <w:tcPr>
            <w:tcW w:w="1872" w:type="dxa"/>
          </w:tcPr>
          <w:p w14:paraId="6BD4BEF1" w14:textId="77777777" w:rsidR="00CF6C94" w:rsidRDefault="00DD0924">
            <w:r>
              <w:t>Grab and in-line meter</w:t>
            </w:r>
          </w:p>
        </w:tc>
        <w:tc>
          <w:tcPr>
            <w:tcW w:w="1872" w:type="dxa"/>
          </w:tcPr>
          <w:p w14:paraId="5BAE221A" w14:textId="77777777" w:rsidR="00CF6C94" w:rsidRDefault="00DD0924">
            <w:r>
              <w:t>Each event and continuous</w:t>
            </w:r>
          </w:p>
        </w:tc>
      </w:tr>
      <w:tr w:rsidR="00CF6C94" w14:paraId="6D806EF4" w14:textId="77777777">
        <w:tc>
          <w:tcPr>
            <w:tcW w:w="1872" w:type="dxa"/>
          </w:tcPr>
          <w:p w14:paraId="59E8E2AF" w14:textId="77777777" w:rsidR="00CF6C94" w:rsidRDefault="00DD0924">
            <w:r>
              <w:t>Flow, gallons per day</w:t>
            </w:r>
          </w:p>
        </w:tc>
        <w:tc>
          <w:tcPr>
            <w:tcW w:w="1872" w:type="dxa"/>
          </w:tcPr>
          <w:p w14:paraId="564D3BCC" w14:textId="77777777" w:rsidR="00CF6C94" w:rsidRDefault="00DD0924">
            <w:r>
              <w:t>45,000</w:t>
            </w:r>
          </w:p>
        </w:tc>
        <w:tc>
          <w:tcPr>
            <w:tcW w:w="1872" w:type="dxa"/>
          </w:tcPr>
          <w:p w14:paraId="6BFBF459" w14:textId="77777777" w:rsidR="00CF6C94" w:rsidRDefault="00DD0924">
            <w:r>
              <w:t>not applicable</w:t>
            </w:r>
          </w:p>
        </w:tc>
        <w:tc>
          <w:tcPr>
            <w:tcW w:w="1872" w:type="dxa"/>
          </w:tcPr>
          <w:p w14:paraId="3BD9E21C" w14:textId="77777777" w:rsidR="00CF6C94" w:rsidRDefault="00DD0924">
            <w:r>
              <w:t>Totalizing meter</w:t>
            </w:r>
          </w:p>
        </w:tc>
        <w:tc>
          <w:tcPr>
            <w:tcW w:w="1872" w:type="dxa"/>
          </w:tcPr>
          <w:p w14:paraId="30C415AE" w14:textId="77777777" w:rsidR="00CF6C94" w:rsidRDefault="00DD0924">
            <w:r>
              <w:t>Daily</w:t>
            </w:r>
          </w:p>
        </w:tc>
      </w:tr>
    </w:tbl>
    <w:p w14:paraId="732D7010" w14:textId="77777777" w:rsidR="00CF6C94" w:rsidRDefault="00CF6C94">
      <w:pPr>
        <w:spacing w:after="80"/>
      </w:pPr>
    </w:p>
    <w:p w14:paraId="31310588" w14:textId="77777777" w:rsidR="00CF6C94" w:rsidRDefault="00DD0924">
      <w:pPr>
        <w:pStyle w:val="Heading1"/>
      </w:pPr>
      <w:r>
        <w:t>Part II. Monitoring and computation</w:t>
      </w:r>
    </w:p>
    <w:p w14:paraId="40AE05A7" w14:textId="77777777" w:rsidR="00CF6C94" w:rsidRDefault="00DD0924">
      <w:pPr>
        <w:spacing w:after="120"/>
      </w:pPr>
      <w:r>
        <w:t>Section 2.1. Samples shall be collected at Outfall 001 on at least two days in each calendar month, at least ten days apart. The monitoring frequency for a parameter is met for a calendar month where valid sample results for the parameter come from samples of at least two days of the month that are at least ten days apart. Metals shall be collected as 24-hour flow-proportional composites made up of not fewer than twelve aliquots taken across the full 24 hours. Cyanide shall be collected as a grab sample on the day the composite is pulled. pH shall be measured on a grab at each sampling event with a calibrated meter, and the permittee's in-line pH meter on the pretreatment system effluent shall record continuously. Flow shall be recorded daily from the totalizing meter.</w:t>
      </w:r>
    </w:p>
    <w:p w14:paraId="6F1BA9F0" w14:textId="77777777" w:rsidR="00CF6C94" w:rsidRDefault="00DD0924">
      <w:pPr>
        <w:spacing w:after="120"/>
      </w:pPr>
      <w:r>
        <w:t xml:space="preserve">Section 2.2. Daily maximum means the concentration of any single valid sample, and a composite sample is a sample of the calendar day on which the composite is pulled. Monthly average means the arithmetic mean of the results of all valid samples collected by the permittee during the calendar month, including any resample collected in that month under Section 3.3 and any additional sample under Section 2.5. A </w:t>
      </w:r>
      <w:r>
        <w:lastRenderedPageBreak/>
        <w:t>result reported by the laboratory as not detected shall be reported on the self-monitoring report as less than the method detection limit and shall be treated as zero in computing the monthly average. A result qualified as estimated between the detection limit and the reporting limit shall be used at the value reported. Where the laboratory issues a revised report, the revised result replaces the result first reported.</w:t>
      </w:r>
    </w:p>
    <w:p w14:paraId="135346F7" w14:textId="77777777" w:rsidR="00CF6C94" w:rsidRDefault="00DD0924">
      <w:pPr>
        <w:spacing w:after="120"/>
      </w:pPr>
      <w:r>
        <w:t>Section 2.3. A sample result is not a valid sample result, and shall not be used in any computation under this permit, where the sample was not collected as Section 2.1 requires, where the analysis was made outside the holding time specified in 40 CFR Part 136, or where the laboratory has rejected the result. Where a result is not valid, the permittee may collect a replacement sample for the parameter within the same calendar month. A month in which the frequency in Section 2.1 is not met for a parameter shall be reported as monitored below the required frequency for that parameter.</w:t>
      </w:r>
    </w:p>
    <w:p w14:paraId="7CD61F0F" w14:textId="77777777" w:rsidR="00CF6C94" w:rsidRDefault="00DD0924">
      <w:pPr>
        <w:spacing w:after="120"/>
      </w:pPr>
      <w:r>
        <w:t>Section 2.4. Any pH value outside the range of 6.0 to 9.0, whether measured on a grab or recorded by the in-line meter, is a violation of Part I and shall be reported on the self-monitoring report with its date, time, duration and cause. Any daily flow above the limit in Part I is a violation and shall be reported the same way.</w:t>
      </w:r>
    </w:p>
    <w:p w14:paraId="7BD59101" w14:textId="77777777" w:rsidR="00CF6C94" w:rsidRDefault="00DD0924">
      <w:pPr>
        <w:spacing w:after="120"/>
      </w:pPr>
      <w:r>
        <w:t>Section 2.5. Where the permittee samples Outfall 001 more often than Part I requires, each additional sample collected as Section 2.1 requires and analyzed by a method approved under 40 CFR Part 136 is a sample under this permit, and its results shall be reported and used in every computation. A sample taken at any point other than Outfall 001, or tested by a method not approved under 40 CFR Part 136, is process control information and is not a sample under this permit. Results of monitoring performed by the City are reported by the City and are not carried on the permittee's self-monitoring report.</w:t>
      </w:r>
    </w:p>
    <w:p w14:paraId="3D727E88" w14:textId="77777777" w:rsidR="00CF6C94" w:rsidRDefault="00DD0924">
      <w:pPr>
        <w:pStyle w:val="Heading1"/>
      </w:pPr>
      <w:r>
        <w:t>Part III. Reporting and notification</w:t>
      </w:r>
    </w:p>
    <w:p w14:paraId="6C6CF973" w14:textId="77777777" w:rsidR="00CF6C94" w:rsidRDefault="00DD0924">
      <w:pPr>
        <w:spacing w:after="120"/>
      </w:pPr>
      <w:r>
        <w:t>Section 3.1. The permittee shall submit a self-monitoring report for each calendar quarter, in the format of Attachment B, no later than the fifteenth day of the month following the end of the quarter. The report shall state, for each parameter and each month, the number of valid samples, the monthly average, the daily maximum, and whether each limitation in Part I was met, and shall list every violation of Part I, Part II or Part III occurring in the quarter with its date and cause. The report shall be signed by an authorized representative of the permittee under the certification in Attachment B.</w:t>
      </w:r>
    </w:p>
    <w:p w14:paraId="2BAAAD03" w14:textId="77777777" w:rsidR="00CF6C94" w:rsidRDefault="00DD0924">
      <w:pPr>
        <w:spacing w:after="120"/>
      </w:pPr>
      <w:r>
        <w:t>Section 3.2. The permittee shall notify the Pretreatment Coordinator by telephone within 24 hours of becoming aware of any discharge that exceeds a daily maximum, pH or flow limitation in Part I or that Part IV prohibits, including any bypass of the pretreatment system and any slug discharge. For a bypass, a slug discharge or a pH value outside the range, the permittee shall also submit a written report within five days of the event describing the discharge, its cause, its duration, and the steps taken to prevent recurrence. The permittee becomes aware of a sample result when the laboratory issues the report that carries it, and of a flow or pH value when the meter or the chart is read.</w:t>
      </w:r>
    </w:p>
    <w:p w14:paraId="4DBC05B6" w14:textId="77777777" w:rsidR="00CF6C94" w:rsidRDefault="00DD0924">
      <w:pPr>
        <w:spacing w:after="120"/>
      </w:pPr>
      <w:r>
        <w:t>Section 3.3. Where a sample result exceeds a daily maximum limitation in Part I, the permittee shall repeat the sampling and analysis for that parameter and submit the result to the Pretreatment Coordinator within 30 days of becoming aware of the exceedance. A valid result from a routine sample, an additional sample or a resample satisfies this section where the sample was collected after the permittee became aware, and the laboratory's report of the result reaches the Coordinator within the 30 days.</w:t>
      </w:r>
    </w:p>
    <w:p w14:paraId="4133E4BE" w14:textId="77777777" w:rsidR="00CF6C94" w:rsidRDefault="00DD0924">
      <w:pPr>
        <w:spacing w:after="120"/>
      </w:pPr>
      <w:r>
        <w:t>Section 3.4. Significant noncompliance. The Pretreatment Coordinator evaluates each permittee for significant noncompliance under 40 CFR 403.8(f)(2)(viii) at the end of each six-month period ending March 31 and September 30. A permittee is in significant noncompliance where, for any pollutant parameter, sixty-six percent or more of all measurements taken during the six-month period exceed the daily maximum limitation, or where thirty-three percent or more of all measurements taken during the six-month period exceed the daily maximum limitation by more than the technical review criterion, which is 1.4 for conventional pollutants and 1.2 for all other pollutants, including metals and cyanide, or where a self-monitoring report required by Section 3.1 does not reach the Pretreatment Coordinator within 45 days of its due date, the failure being counted in the six-month period in which the forty-fifth day falls. Every valid sample result for a parameter from a sample collected at Outfall 001 during the six-month period is a measurement, whether the sample was collected by the permittee or by the City, with resamples and additional samples included. Where two or more valid results for a parameter come from Outfall 001 samples of the same calendar day, the results are averaged, and the average is the one measurement for that day. A permittee in significant noncompliance is published in the annual notice under Section 403.8(f)(2)(viii) and is subject to the enforcement response plan.</w:t>
      </w:r>
    </w:p>
    <w:p w14:paraId="4B28BCA3" w14:textId="77777777" w:rsidR="00CF6C94" w:rsidRDefault="00DD0924">
      <w:pPr>
        <w:spacing w:after="120"/>
      </w:pPr>
      <w:r>
        <w:t>Section 3.5. Signatory. Each report under this Part shall be signed by the authorized representative named on the first page of this permit, or by a person the authorized representative has designated in a writing filed with the Pretreatment Coordinator before the report is submitted, as 40 CFR 403.12(l) requires.</w:t>
      </w:r>
    </w:p>
    <w:p w14:paraId="7EDB2DC1" w14:textId="77777777" w:rsidR="00CF6C94" w:rsidRDefault="00DD0924">
      <w:pPr>
        <w:pStyle w:val="Heading1"/>
      </w:pPr>
      <w:r>
        <w:t>Part IV. Bypass and prohibited discharges</w:t>
      </w:r>
    </w:p>
    <w:p w14:paraId="3977320F" w14:textId="77777777" w:rsidR="00CF6C94" w:rsidRDefault="00DD0924">
      <w:pPr>
        <w:spacing w:after="120"/>
      </w:pPr>
      <w:r>
        <w:t>Section 4.1. Bypass of any part of the pretreatment system is prohibited except where unavoidable to prevent loss of life, personal injury or severe property damage and there was no feasible alternative. An overflow of process wastewater to the sewer around the treatment system is a bypass. The permittee shall report any bypass under Section 3.2.</w:t>
      </w:r>
    </w:p>
    <w:p w14:paraId="2CC84756" w14:textId="77777777" w:rsidR="00CF6C94" w:rsidRDefault="00DD0924">
      <w:pPr>
        <w:spacing w:after="120"/>
      </w:pPr>
      <w:r>
        <w:t>Section 4.2. The permittee shall not discharge any wastewater with a pH below 6.0 or above 9.0, any pollutant in a quantity that causes pass-through or interference, or any slug load.</w:t>
      </w:r>
    </w:p>
    <w:p w14:paraId="1A657893" w14:textId="77777777" w:rsidR="00CF6C94" w:rsidRDefault="00DD0924">
      <w:pPr>
        <w:pStyle w:val="Heading1"/>
      </w:pPr>
      <w:r>
        <w:t>Attachment B. Self-monitoring report format and certification</w:t>
      </w:r>
    </w:p>
    <w:p w14:paraId="41CF5A12" w14:textId="77777777" w:rsidR="00CF6C94" w:rsidRDefault="00DD0924">
      <w:pPr>
        <w:spacing w:after="120"/>
      </w:pPr>
      <w:r>
        <w:t>The report shall present, for each month of the quarter, a table with one line per parameter carrying the daily maximum limitation, the monthly average limitation, the number of valid samples, the number of samples required, the monthly average, the daily maximum, and a statement of whether each limitation was met. A second table shall list each violation with the date, the parameter or condition, the value, the limitation, and the cause as known. The report shall carry the following certification, signed and dated by the authorized representative:</w:t>
      </w:r>
    </w:p>
    <w:p w14:paraId="4ABF46FF" w14:textId="77777777" w:rsidR="00CF6C94" w:rsidRDefault="00DD0924">
      <w:pPr>
        <w:spacing w:after="120"/>
      </w:pPr>
      <w:r>
        <w:rPr>
          <w:i/>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14:paraId="2713720A" w14:textId="77777777" w:rsidR="00CF6C94" w:rsidRDefault="00DD0924">
      <w:pPr>
        <w:spacing w:after="120"/>
      </w:pPr>
      <w:r>
        <w:t>Authorized representative: ______________________________   Title: ______________________   Date: ______________</w:t>
      </w:r>
    </w:p>
    <w:sectPr w:rsidR="00CF6C9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562467">
    <w:abstractNumId w:val="8"/>
  </w:num>
  <w:num w:numId="2" w16cid:durableId="2098015817">
    <w:abstractNumId w:val="6"/>
  </w:num>
  <w:num w:numId="3" w16cid:durableId="2131170113">
    <w:abstractNumId w:val="5"/>
  </w:num>
  <w:num w:numId="4" w16cid:durableId="1458986262">
    <w:abstractNumId w:val="4"/>
  </w:num>
  <w:num w:numId="5" w16cid:durableId="1245645689">
    <w:abstractNumId w:val="7"/>
  </w:num>
  <w:num w:numId="6" w16cid:durableId="522322528">
    <w:abstractNumId w:val="3"/>
  </w:num>
  <w:num w:numId="7" w16cid:durableId="1801923440">
    <w:abstractNumId w:val="2"/>
  </w:num>
  <w:num w:numId="8" w16cid:durableId="423494628">
    <w:abstractNumId w:val="1"/>
  </w:num>
  <w:num w:numId="9" w16cid:durableId="1122306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0E714F"/>
    <w:rsid w:val="0015074B"/>
    <w:rsid w:val="001B275D"/>
    <w:rsid w:val="0029639D"/>
    <w:rsid w:val="00326F90"/>
    <w:rsid w:val="0039147D"/>
    <w:rsid w:val="006B4089"/>
    <w:rsid w:val="007D58F0"/>
    <w:rsid w:val="007F4DF0"/>
    <w:rsid w:val="00891EAE"/>
    <w:rsid w:val="008A67A5"/>
    <w:rsid w:val="00AA1D8D"/>
    <w:rsid w:val="00B47730"/>
    <w:rsid w:val="00CB0664"/>
    <w:rsid w:val="00CF6C94"/>
    <w:rsid w:val="00DD0924"/>
    <w:rsid w:val="00E11E58"/>
    <w:rsid w:val="00E21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AE884"/>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3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Wastewater Discharge Permit IP-0421 - Vandeveer Plating LLC</dc:title>
  <dc:subject/>
  <dc:creator>City of Wyoming Clean Water Plant</dc:creator>
  <cp:keywords/>
  <dc:description/>
  <cp:lastModifiedBy>Talcott Environmental Services</cp:lastModifiedBy>
  <cp:revision>1</cp:revision>
  <dcterms:created xsi:type="dcterms:W3CDTF">2024-10-22T11:05:30Z</dcterms:created>
  <dcterms:modified xsi:type="dcterms:W3CDTF">2024-10-29T16:40:02Z</dcterms:modified>
  <cp:category/>
</cp:coreProperties>
</file>