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C7ACAF" w14:textId="77777777" w:rsidR="00B32C8F" w:rsidRDefault="00CA4352">
      <w:r>
        <w:rPr>
          <w:b/>
          <w:color w:val="6B2E2A"/>
          <w:sz w:val="26"/>
        </w:rPr>
        <w:t>Ferraro Whitcombe LLP</w:t>
      </w:r>
    </w:p>
    <w:p w14:paraId="6738B121" w14:textId="77777777" w:rsidR="00B32C8F" w:rsidRDefault="00CA4352">
      <w:pPr>
        <w:pBdr>
          <w:bottom w:val="single" w:sz="8" w:space="1" w:color="6B2E2A"/>
        </w:pBdr>
      </w:pPr>
      <w:r>
        <w:rPr>
          <w:color w:val="3D3D3D"/>
          <w:sz w:val="19"/>
        </w:rPr>
        <w:t>Practice Note PN-14, Mechanics lien claims on private works: notice, timing, waivers, and the owner's remedies. Revised March 2026. Author: Marguerite Okonjo, partner.</w:t>
      </w:r>
    </w:p>
    <w:p w14:paraId="04F02CFD" w14:textId="77777777" w:rsidR="00B32C8F" w:rsidRDefault="00CA4352">
      <w:r>
        <w:t>This note collects the Civil Code rules the office applies when an owner client asks what to do about claims of mechanics lien recorded against a private work of improvement after the 2012 recodification (Civil Code sections 8000 and following). It is written for the paralegals who prepare the first analysis, and it states the counting conventions the office uses so that two analysts reach the same date. Section references are to the Civil Code unless another code is named.</w:t>
      </w:r>
    </w:p>
    <w:p w14:paraId="0CFA8BE7" w14:textId="77777777" w:rsidR="00B32C8F" w:rsidRDefault="00CA4352">
      <w:r>
        <w:t>Three terms carry most of the weight. The owner is the person that holds the interest in the property and causes the work to be done. A direct contractor is a contractor that has a direct contractual relationship with the owner (section 8018), and one work of improvement can have more than one of them. Every other person that furnishes work is a claimant other than the direct contractor, whether it is a subcontractor, a supplier to a subcontractor, or an equipment lessor.</w:t>
      </w:r>
    </w:p>
    <w:p w14:paraId="02D5D3EB" w14:textId="77777777" w:rsidR="00B32C8F" w:rsidRDefault="00CA4352">
      <w:pPr>
        <w:pStyle w:val="Heading1"/>
      </w:pPr>
      <w:r>
        <w:t>1. Preliminary notice</w:t>
      </w:r>
    </w:p>
    <w:p w14:paraId="602F9E49" w14:textId="77777777" w:rsidR="00B32C8F" w:rsidRDefault="00CA4352">
      <w:r>
        <w:t>1.1. A claimant other than the direct contractor may enforce a lien only if it gave preliminary notice to the extent section 8200 requires (section 8410). Section 8200(a) requires the notice to be given to the owner, to the direct contractor, and to the construction lender if there is one. A notice that never went to the owner does not satisfy the section as against the owner, and the claimant has no lien to enforce against the property. A direct contractor gives preliminary notice only to a construction lender (section 8200(e)), so on a project with no construction lender a direct contractor gives none and loses nothing by it.</w:t>
      </w:r>
    </w:p>
    <w:p w14:paraId="1DD82E0A" w14:textId="77777777" w:rsidR="00B32C8F" w:rsidRDefault="00CA4352">
      <w:r>
        <w:t>1.2. The notice must be given not later than 20 days after the claimant first furnishes work (section 8204(a)). A notice given later is still effective, but only for work furnished within 20 days before the notice is given and thereafter (section 8204(b)). Work furnished earlier than that window is not secured by the lien, whatever the claim of lien says.</w:t>
      </w:r>
    </w:p>
    <w:p w14:paraId="096B061C" w14:textId="77777777" w:rsidR="00B32C8F" w:rsidRDefault="00CA4352">
      <w:r>
        <w:t>1.3. Notice given by registered or certified mail, express mail, or overnight delivery is complete at the time of deposit (section 8116). The office reads the date of deposit, taken from the proof of service or the postmark, as the date the notice is given. The date typed on the notice and the date the notice reached the owner are not the date it was given. When counting the 20 days back from a late notice, the day the notice is given is not counted, and the 20 days before it are counted in full.</w:t>
      </w:r>
    </w:p>
    <w:p w14:paraId="69D616CB" w14:textId="77777777" w:rsidR="00B32C8F" w:rsidRDefault="00CA4352">
      <w:r>
        <w:t>1.4. Work is furnished when the labor is performed or the material is delivered to the site. The date of first furnishing is taken from the record of the work itself, and a date the claimant entered on its preliminary notice form does not displace that record.</w:t>
      </w:r>
    </w:p>
    <w:p w14:paraId="5535538B" w14:textId="77777777" w:rsidR="00B32C8F" w:rsidRDefault="00CA4352">
      <w:r>
        <w:t>1.5. The claimant bears the burden of showing that the notice was given. The office checks the owner's own preliminary notice log first and then the proof of service the claimant attaches to its claim of lien or produces on request. A recital in the claim of lien that notice was given proves nothing on its own.</w:t>
      </w:r>
    </w:p>
    <w:p w14:paraId="79D2E79D" w14:textId="77777777" w:rsidR="00B32C8F" w:rsidRDefault="00CA4352">
      <w:pPr>
        <w:pStyle w:val="Heading1"/>
      </w:pPr>
      <w:r>
        <w:t>2. Completion, the notice of completion, and the time to record a claim</w:t>
      </w:r>
    </w:p>
    <w:p w14:paraId="2B0C765C" w14:textId="77777777" w:rsidR="00B32C8F" w:rsidRDefault="00CA4352">
      <w:r>
        <w:t>2.1. Completion of a work of improvement is actual completion, or occupation or use by the owner accompanied by cessation of labor, or cessation of labor for a continuous 60 days, or recordation of a notice of cessation after a 30 day cessation (section 8180). On our files the certificate of occupancy and the last day of labor on the owner's log are the evidence of actual completion.</w:t>
      </w:r>
    </w:p>
    <w:p w14:paraId="182578B9" w14:textId="77777777" w:rsidR="00B32C8F" w:rsidRDefault="00CA4352">
      <w:r>
        <w:lastRenderedPageBreak/>
        <w:t>2.2. An owner may record a notice of completion within 15 days after completion (section 8182(a)). A notice recorded later than 15 days after completion is not effective, and the lien periods run from completion as though no notice had been recorded. Check the 15 days on every file before relying on the shortened periods below.</w:t>
      </w:r>
    </w:p>
    <w:p w14:paraId="709507C1" w14:textId="77777777" w:rsidR="00B32C8F" w:rsidRDefault="00CA4352">
      <w:r>
        <w:t>2.3. An owner that records a notice of completion must give a copy of it, within 10 days after it is recorded, to the direct contractor and to every claimant that has given the owner a preliminary notice (section 8190(a)). If the owner fails to give the copy to a person entitled to it, the notice of completion is ineffective to shorten the time within which that person may record a claim of lien (section 8190(d)), and that person's time runs from completion as though no notice had been recorded. A claimant that never gave the owner a preliminary notice is not entitled to a copy. A copy sent by certified mail is given when it is deposited (section 8116).</w:t>
      </w:r>
    </w:p>
    <w:p w14:paraId="205759F2" w14:textId="77777777" w:rsidR="00B32C8F" w:rsidRDefault="00CA4352">
      <w:r>
        <w:t>2.4. A direct contractor may not enforce a lien unless it records its claim after it completes its contract and before the earlier of 90 days after completion of the work of improvement or 60 days after the owner records a notice of completion (section 8412). A claimant other than the direct contractor may not enforce a lien unless it records its claim after it ceases to provide work and before the earlier of 90 days after completion or 30 days after the owner records a notice of completion (section 8414). Where no notice of completion is effective as to a claimant, the 90 days after completion is that claimant's period, whichever kind of claimant it is. A claim recorded after the claimant ceased work but before the work of improvement was complete is timely. The early recording is permitted, and the periods above fix only the last day.</w:t>
      </w:r>
    </w:p>
    <w:p w14:paraId="522262DE" w14:textId="77777777" w:rsidR="00B32C8F" w:rsidRDefault="00CA4352">
      <w:r>
        <w:t>2.5. The office counts every period in this note under Code of Civil Procedure section 12: the day of the event that starts the period is excluded, and the last day is included. Under Code of Civil Procedure section 12a, if the last day for doing an act falls on a Saturday, a Sunday, or a holiday, the period runs to the next day that is not a holiday. Under Code of Civil Procedure section 12b, a day on which a county or other public office, other than a branch office, is closed for the whole of the day is a holiday for the purpose of computing time, whether or not the calendar shows one, and the office reads the recorder's and the clerk's own statements of closure for this. The extension applies to every period in this note that fixes a last day for an act. An act done on the day after the extended last day is late, and a late claim is not enforceable however meritorious the underlying debt.</w:t>
      </w:r>
    </w:p>
    <w:p w14:paraId="0C37C335" w14:textId="77777777" w:rsidR="00B32C8F" w:rsidRDefault="00CA4352">
      <w:r>
        <w:t>2.6. The claim of lien must contain the matters listed in section 8416(a), and a copy of it must be served on the owner or reputed owner by registered, certified, or first-class mail at the owner's residence or place of business, or at the address shown on the building permit (section 8416(c)(1)). Service on the construction lender or on the direct contractor is allowed only where the owner cannot be served by that method (section 8416(c)(2)), and the proof of service affidavit has to show the facts that make it so. A claim that was not served as the section prescribes is unenforceable as a matter of law (section 8416(e)). The recorder's copy on our files is transcribed with the affidavit, so the addressee and the date of service are on the face of the transcription.</w:t>
      </w:r>
    </w:p>
    <w:p w14:paraId="52487296" w14:textId="77777777" w:rsidR="00B32C8F" w:rsidRDefault="00CA4352">
      <w:pPr>
        <w:pStyle w:val="Heading1"/>
      </w:pPr>
      <w:r>
        <w:t>3. Amount of the lien and the effect of waivers</w:t>
      </w:r>
    </w:p>
    <w:p w14:paraId="4060D662" w14:textId="77777777" w:rsidR="00B32C8F" w:rsidRDefault="00CA4352">
      <w:r>
        <w:t>3.1. The lien is for the lesser of the reasonable value of the work provided by the claimant or the price agreed to by the claimant and the person that contracted for the work, in either case less payments received (section 8430(a)). The price agreed is the contract price with the change orders the person that contracted for the work approved, and a change order request that was not approved adds nothing to it, whatever the claimant furnished under it. A payment the claimant receives after it records reduces what it can enforce in the same way, whatever the claim of lien says. The lien secures the work itself, so interest, finance charges, and collection costs that a claimant adds to its account are not part of it. A claim of lien that includes amounts for work not furnished, or work furnished before the window a late preliminary notice covers, is overstated by those amounts, and the enforceable amount is what remains after they are taken out. An overstatement does not by itself invalidate the lien; forfeiture under section 8422 requires a willful inclusion of work not furnished, and the office does not assume willfulness from arithmetic.</w:t>
      </w:r>
    </w:p>
    <w:p w14:paraId="5E0D4B09" w14:textId="77777777" w:rsidR="00B32C8F" w:rsidRDefault="00CA4352">
      <w:r>
        <w:t>3.2. A waiver and release given by a claimant binds the claimant only if it is signed by the claimant and is in substantially one of the four forms the Code provides (sections 8124 and 8126). The four are the conditional waiver and release on progress payment (section 8132), the unconditional waiver and release on progress payment (section 8134), the conditional waiver and release on final payment (section 8136), and the unconditional waiver and release on final payment (section 8138). A document in any other form does not release the lien, whoever drafted it and whatever it says, and the office treats the claim as though that document had not been given.</w:t>
      </w:r>
    </w:p>
    <w:p w14:paraId="3F048584" w14:textId="77777777" w:rsidR="00B32C8F" w:rsidRDefault="00CA4352">
      <w:r>
        <w:t>3.3. A progress payment form releases the claimant's lien rights for work furnished through the through date stated on the form. By its own terms it does not affect retention, extras for which the claimant has not been paid, or work furnished after the through date. A final payment form carries no through date. It releases every lien right the claimant has on the job, retention included, and it saves only a disputed claim for extras that the form states in a dollar amount.</w:t>
      </w:r>
    </w:p>
    <w:p w14:paraId="2B82EC5A" w14:textId="77777777" w:rsidR="00B32C8F" w:rsidRDefault="00CA4352">
      <w:r>
        <w:t>3.4. A conditional form, on progress payment or on final payment, is effective only on evidence that the claimant has been paid the amount the form states (section 8124(b)). Evidence of payment is the claimant's endorsement on a check that the bank has paid, or the claimant's written acknowledgment of payment. A check is evidence of payment only once the bank has paid it, and a conditional form releases nothing until the payment is shown.</w:t>
      </w:r>
    </w:p>
    <w:p w14:paraId="58B1F28A" w14:textId="77777777" w:rsidR="00B32C8F" w:rsidRDefault="00CA4352">
      <w:r>
        <w:t>3.5. An unconditional form, on progress payment or on final payment, is effective when signed, whether or not the claimant has been paid. The statutory form says so on its face. A claimant that signs one and is not paid has released what the form releases, and it is left with its contract claim against the party that owed it the money.</w:t>
      </w:r>
    </w:p>
    <w:p w14:paraId="3DB27AAA" w14:textId="77777777" w:rsidR="00B32C8F" w:rsidRDefault="00CA4352">
      <w:r>
        <w:t>3.6. Read every waiver on the owner's log against the payment record before giving it effect: the form title, the through date, the amount, the exceptions stated, the check the form refers to, and whether that check was paid. The owner's log records what was received with each payment application, and the direct contractor's payment ledger records what happened to the checks.</w:t>
      </w:r>
    </w:p>
    <w:p w14:paraId="0318A022" w14:textId="77777777" w:rsidR="00B32C8F" w:rsidRDefault="00CA4352">
      <w:pPr>
        <w:pStyle w:val="Heading1"/>
      </w:pPr>
      <w:r>
        <w:t>4. Duration of the lien and the owner's remedies</w:t>
      </w:r>
    </w:p>
    <w:p w14:paraId="62C3D9B1" w14:textId="77777777" w:rsidR="00B32C8F" w:rsidRDefault="00CA4352">
      <w:r>
        <w:t>4.1. The claimant must commence an action to enforce the lien within 90 days after the claim is recorded (section 8460(a)), unless a notice of credit extending the time was recorded (section 8460(b)). If no action is commenced within that time, the lien expires and is unenforceable (section 8460(a)). The 90 days are counted under Code of Civil Procedure sections 12 and 12a as in paragraph 2.5. The office confirms the absence of an action by a civil index search in the superior court of the county where the property is located, and by a search of the recorder's index for a notice of pendency of action. A search proves nothing about days it did not cover. A lien is treated as expired only on a search run after the last day to commence the action. Where the only search on file was run on or before that day, the claim stays with the enforceable claims, and the bond figures include it until a later search clears it.</w:t>
      </w:r>
    </w:p>
    <w:p w14:paraId="0E8354FD" w14:textId="77777777" w:rsidR="00B32C8F" w:rsidRDefault="00CA4352">
      <w:r>
        <w:t>4.2. Where a lien has expired for want of an action, the owner's remedy is a petition for a release order under sections 8480 to 8488. The petition may be filed only after the owner has given the claimant a demand for release at least 10 days before the petition is filed (section 8482), and the court may award the prevailing party its attorney's fees (section 8488(c)). On our files the demand goes out first, and the petition is drafted only if the 10 days pass.</w:t>
      </w:r>
    </w:p>
    <w:p w14:paraId="5F6037CA" w14:textId="77777777" w:rsidR="00B32C8F" w:rsidRDefault="00CA4352">
      <w:r>
        <w:t>4.3. The summary petition reaches only the expired lien. A claim can fail for another reason: the claimant has no lien rights for want of preliminary notice, the claim was recorded late, the claim was not served on the owner, or an effective waiver released all of it. On those claims the owner demands a recorded release and states the defect in the demand. If the claimant refuses, the partner decides between a release bond and an action to clear the title. The first analysis routes every such claim to a demand for release and carries no bond for it.</w:t>
      </w:r>
    </w:p>
    <w:p w14:paraId="09491DF9" w14:textId="77777777" w:rsidR="00B32C8F" w:rsidRDefault="00CA4352">
      <w:r>
        <w:t>4.4. Where a claim is timely and served, the claimant has lien rights, the lien has not expired, and no waiver has released all of it, the property can be freed of the lien by a release bond recorded under section 8424. The bond must be in an amount equal to 125 percent of the amount of the claim of lien as recorded (section 8424(b)). The bond is measured by the recorded amount, not by the amount the office thinks the claimant could actually enforce, so where a timely lien is overstated the choice is between a bond on the recorded amount and a negotiated amended claim at the enforceable figure. An owner may also pay the enforceable amount against an unconditional waiver and release on final payment and take a recorded release.</w:t>
      </w:r>
    </w:p>
    <w:p w14:paraId="550F87E9" w14:textId="77777777" w:rsidR="00B32C8F" w:rsidRDefault="00CA4352">
      <w:r>
        <w:t>4.5. A retention payment withheld by the owner from the direct contractor is due within 45 days after completion of the work of improvement (section 8812(a)), subject to the owner's right to withhold 150 percent of any amount in good faith dispute (section 8812(c)). Retention that is overdue accrues a penalty of 2 percent per month in place of interest (section 8818(a)). While claims of lien stand of record, the owner may withhold from the direct contractor what is needed to satisfy the claims of the persons who furnished work under the direct contract. What the owner holds on a direct contract is the contract sum, as adjusted by the change orders the owner has approved, less what the owner has paid on it, unpaid applications and retention together. Where the enforceable claims of those persons exceed what the owner holds, the owner is exposed for the difference, and the analysis states both figures.</w:t>
      </w:r>
    </w:p>
    <w:p w14:paraId="4FDDE729" w14:textId="77777777" w:rsidR="00B32C8F" w:rsidRDefault="00CA4352">
      <w:pPr>
        <w:pStyle w:val="Heading1"/>
      </w:pPr>
      <w:r>
        <w:t>5. The first analysis</w:t>
      </w:r>
    </w:p>
    <w:p w14:paraId="0EF9F0DB" w14:textId="77777777" w:rsidR="00B32C8F" w:rsidRDefault="00CA4352">
      <w:r>
        <w:t>The first analysis on any lien file works every recorded claim through the questions above in order: whether the claimant has lien rights at all, whether the claim was recorded in time, whether it was served on the owner, what the waivers on file release, what the claimant could enforce, whether the lien has expired, and what the owner does about it. The dates come from the recorder's copies and the owner's records, never from the claimant's recital, and every figure is built from the claimant's own statement of account and the payment record. Where the file does not settle a point, the analysis says so and names the document that would settle it.</w:t>
      </w:r>
    </w:p>
    <w:sectPr w:rsidR="00B32C8F"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8725798">
    <w:abstractNumId w:val="8"/>
  </w:num>
  <w:num w:numId="2" w16cid:durableId="1206522104">
    <w:abstractNumId w:val="6"/>
  </w:num>
  <w:num w:numId="3" w16cid:durableId="2126536717">
    <w:abstractNumId w:val="5"/>
  </w:num>
  <w:num w:numId="4" w16cid:durableId="1946305446">
    <w:abstractNumId w:val="4"/>
  </w:num>
  <w:num w:numId="5" w16cid:durableId="1132987637">
    <w:abstractNumId w:val="7"/>
  </w:num>
  <w:num w:numId="6" w16cid:durableId="1527136824">
    <w:abstractNumId w:val="3"/>
  </w:num>
  <w:num w:numId="7" w16cid:durableId="303463978">
    <w:abstractNumId w:val="2"/>
  </w:num>
  <w:num w:numId="8" w16cid:durableId="818037087">
    <w:abstractNumId w:val="1"/>
  </w:num>
  <w:num w:numId="9" w16cid:durableId="44997760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1FC"/>
    <w:rsid w:val="0006063C"/>
    <w:rsid w:val="000B736D"/>
    <w:rsid w:val="000E714F"/>
    <w:rsid w:val="0015074B"/>
    <w:rsid w:val="0029639D"/>
    <w:rsid w:val="002B5C01"/>
    <w:rsid w:val="00326F90"/>
    <w:rsid w:val="0041739E"/>
    <w:rsid w:val="00581F2F"/>
    <w:rsid w:val="006B4089"/>
    <w:rsid w:val="007B5346"/>
    <w:rsid w:val="00A521C4"/>
    <w:rsid w:val="00AA1D8D"/>
    <w:rsid w:val="00B32C8F"/>
    <w:rsid w:val="00B47730"/>
    <w:rsid w:val="00CA435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82EA48"/>
  <w14:defaultImageDpi w14:val="300"/>
  <w15:docId w15:val="{366AD8E3-353D-B742-90BF-D4D3FD581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eastAsia="Georgia" w:hAnsi="Georgia" w:cs="Georgia"/>
      <w:sz w:val="21"/>
    </w:rPr>
  </w:style>
  <w:style w:type="paragraph" w:styleId="Heading1">
    <w:name w:val="heading 1"/>
    <w:basedOn w:val="Normal"/>
    <w:next w:val="Normal"/>
    <w:link w:val="Heading1Char"/>
    <w:uiPriority w:val="9"/>
    <w:qFormat/>
    <w:rsid w:val="00FC693F"/>
    <w:pPr>
      <w:keepNext/>
      <w:keepLines/>
      <w:spacing w:before="200" w:after="80"/>
      <w:outlineLvl w:val="0"/>
    </w:pPr>
    <w:rPr>
      <w:b/>
      <w:bCs/>
      <w:color w:val="6B2E2A"/>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b/>
      <w:bCs/>
      <w:color w:val="6B2E2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B2E2A"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6B2E2A"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51615"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51615"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6B2E2A"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4F221F"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6B2E2A"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6B2E2A" w:themeColor="accent1"/>
    </w:rPr>
  </w:style>
  <w:style w:type="paragraph" w:styleId="Title">
    <w:name w:val="Title"/>
    <w:basedOn w:val="Normal"/>
    <w:next w:val="Normal"/>
    <w:link w:val="TitleChar"/>
    <w:uiPriority w:val="10"/>
    <w:qFormat/>
    <w:rsid w:val="00FC693F"/>
    <w:pPr>
      <w:pBdr>
        <w:bottom w:val="single" w:sz="8" w:space="4" w:color="6B2E2A" w:themeColor="accent1"/>
      </w:pBdr>
      <w:spacing w:before="200" w:after="80" w:line="240" w:lineRule="auto"/>
      <w:contextualSpacing/>
    </w:pPr>
    <w:rPr>
      <w:b/>
      <w:color w:val="6B2E2A"/>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2D2D2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B2E2A"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6B2E2A"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6B2E2A"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51615"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51615"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6B2E2A"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6B2E2A"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6B2E2A" w:themeColor="accent1"/>
      </w:pBdr>
      <w:spacing w:before="200" w:after="280"/>
      <w:ind w:left="936" w:right="936"/>
    </w:pPr>
    <w:rPr>
      <w:b/>
      <w:bCs/>
      <w:i/>
      <w:iCs/>
      <w:color w:val="6B2E2A" w:themeColor="accent1"/>
    </w:rPr>
  </w:style>
  <w:style w:type="character" w:customStyle="1" w:styleId="IntenseQuoteChar">
    <w:name w:val="Intense Quote Char"/>
    <w:basedOn w:val="DefaultParagraphFont"/>
    <w:link w:val="IntenseQuote"/>
    <w:uiPriority w:val="30"/>
    <w:rsid w:val="00FC693F"/>
    <w:rPr>
      <w:b/>
      <w:bCs/>
      <w:i/>
      <w:iCs/>
      <w:color w:val="6B2E2A"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6B2E2A" w:themeColor="accent1"/>
    </w:rPr>
  </w:style>
  <w:style w:type="character" w:styleId="SubtleReference">
    <w:name w:val="Subtle Reference"/>
    <w:basedOn w:val="DefaultParagraphFont"/>
    <w:uiPriority w:val="31"/>
    <w:qFormat/>
    <w:rsid w:val="00FC693F"/>
    <w:rPr>
      <w:smallCaps/>
      <w:color w:val="A6A6A6" w:themeColor="accent2"/>
      <w:u w:val="single"/>
    </w:rPr>
  </w:style>
  <w:style w:type="character" w:styleId="IntenseReference">
    <w:name w:val="Intense Reference"/>
    <w:basedOn w:val="DefaultParagraphFont"/>
    <w:uiPriority w:val="32"/>
    <w:qFormat/>
    <w:rsid w:val="00FC693F"/>
    <w:rPr>
      <w:b/>
      <w:bCs/>
      <w:smallCaps/>
      <w:color w:val="A6A6A6"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4F221F" w:themeColor="accent1" w:themeShade="BF"/>
    </w:rPr>
    <w:tblPr>
      <w:tblStyleRowBandSize w:val="1"/>
      <w:tblStyleColBandSize w:val="1"/>
      <w:tblBorders>
        <w:top w:val="single" w:sz="8" w:space="0" w:color="6B2E2A" w:themeColor="accent1"/>
        <w:bottom w:val="single" w:sz="8" w:space="0" w:color="6B2E2A" w:themeColor="accent1"/>
      </w:tblBorders>
    </w:tblPr>
    <w:tblStylePr w:type="firstRow">
      <w:pPr>
        <w:spacing w:before="0" w:after="0" w:line="240" w:lineRule="auto"/>
      </w:pPr>
      <w:rPr>
        <w:b/>
        <w:bCs/>
      </w:rPr>
      <w:tblPr/>
      <w:tcPr>
        <w:tcBorders>
          <w:top w:val="single" w:sz="8" w:space="0" w:color="6B2E2A" w:themeColor="accent1"/>
          <w:left w:val="nil"/>
          <w:bottom w:val="single" w:sz="8" w:space="0" w:color="6B2E2A" w:themeColor="accent1"/>
          <w:right w:val="nil"/>
          <w:insideH w:val="nil"/>
          <w:insideV w:val="nil"/>
        </w:tcBorders>
      </w:tcPr>
    </w:tblStylePr>
    <w:tblStylePr w:type="lastRow">
      <w:pPr>
        <w:spacing w:before="0" w:after="0" w:line="240" w:lineRule="auto"/>
      </w:pPr>
      <w:rPr>
        <w:b/>
        <w:bCs/>
      </w:rPr>
      <w:tblPr/>
      <w:tcPr>
        <w:tcBorders>
          <w:top w:val="single" w:sz="8" w:space="0" w:color="6B2E2A" w:themeColor="accent1"/>
          <w:left w:val="nil"/>
          <w:bottom w:val="single" w:sz="8" w:space="0" w:color="6B2E2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C1BE" w:themeFill="accent1" w:themeFillTint="3F"/>
      </w:tcPr>
    </w:tblStylePr>
    <w:tblStylePr w:type="band1Horz">
      <w:tblPr/>
      <w:tcPr>
        <w:tcBorders>
          <w:left w:val="nil"/>
          <w:right w:val="nil"/>
          <w:insideH w:val="nil"/>
          <w:insideV w:val="nil"/>
        </w:tcBorders>
        <w:shd w:val="clear" w:color="auto" w:fill="E5C1BE" w:themeFill="accent1" w:themeFillTint="3F"/>
      </w:tcPr>
    </w:tblStylePr>
  </w:style>
  <w:style w:type="table" w:styleId="LightShading-Accent2">
    <w:name w:val="Light Shading Accent 2"/>
    <w:basedOn w:val="TableNormal"/>
    <w:uiPriority w:val="60"/>
    <w:rsid w:val="00FC693F"/>
    <w:pPr>
      <w:spacing w:after="0" w:line="240" w:lineRule="auto"/>
    </w:pPr>
    <w:rPr>
      <w:color w:val="7C7C7C" w:themeColor="accent2" w:themeShade="BF"/>
    </w:rPr>
    <w:tblPr>
      <w:tblStyleRowBandSize w:val="1"/>
      <w:tblStyleColBandSize w:val="1"/>
      <w:tblBorders>
        <w:top w:val="single" w:sz="8" w:space="0" w:color="A6A6A6" w:themeColor="accent2"/>
        <w:bottom w:val="single" w:sz="8" w:space="0" w:color="A6A6A6" w:themeColor="accent2"/>
      </w:tblBorders>
    </w:tblPr>
    <w:tblStylePr w:type="firstRow">
      <w:pPr>
        <w:spacing w:before="0" w:after="0" w:line="240" w:lineRule="auto"/>
      </w:pPr>
      <w:rPr>
        <w:b/>
        <w:bCs/>
      </w:rPr>
      <w:tblPr/>
      <w:tcPr>
        <w:tcBorders>
          <w:top w:val="single" w:sz="8" w:space="0" w:color="A6A6A6" w:themeColor="accent2"/>
          <w:left w:val="nil"/>
          <w:bottom w:val="single" w:sz="8" w:space="0" w:color="A6A6A6" w:themeColor="accent2"/>
          <w:right w:val="nil"/>
          <w:insideH w:val="nil"/>
          <w:insideV w:val="nil"/>
        </w:tcBorders>
      </w:tcPr>
    </w:tblStylePr>
    <w:tblStylePr w:type="lastRow">
      <w:pPr>
        <w:spacing w:before="0" w:after="0" w:line="240" w:lineRule="auto"/>
      </w:pPr>
      <w:rPr>
        <w:b/>
        <w:bCs/>
      </w:rPr>
      <w:tblPr/>
      <w:tcPr>
        <w:tcBorders>
          <w:top w:val="single" w:sz="8" w:space="0" w:color="A6A6A6" w:themeColor="accent2"/>
          <w:left w:val="nil"/>
          <w:bottom w:val="single" w:sz="8" w:space="0" w:color="A6A6A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9E9E9" w:themeFill="accent2" w:themeFillTint="3F"/>
      </w:tcPr>
    </w:tblStylePr>
    <w:tblStylePr w:type="band1Horz">
      <w:tblPr/>
      <w:tcPr>
        <w:tcBorders>
          <w:left w:val="nil"/>
          <w:right w:val="nil"/>
          <w:insideH w:val="nil"/>
          <w:insideV w:val="nil"/>
        </w:tcBorders>
        <w:shd w:val="clear" w:color="auto" w:fill="E9E9E9"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6B2E2A" w:themeColor="accent1"/>
        <w:left w:val="single" w:sz="8" w:space="0" w:color="6B2E2A" w:themeColor="accent1"/>
        <w:bottom w:val="single" w:sz="8" w:space="0" w:color="6B2E2A" w:themeColor="accent1"/>
        <w:right w:val="single" w:sz="8" w:space="0" w:color="6B2E2A" w:themeColor="accent1"/>
      </w:tblBorders>
    </w:tblPr>
    <w:tblStylePr w:type="firstRow">
      <w:pPr>
        <w:spacing w:before="0" w:after="0" w:line="240" w:lineRule="auto"/>
      </w:pPr>
      <w:rPr>
        <w:b/>
        <w:bCs/>
        <w:color w:val="FFFFFF" w:themeColor="background1"/>
      </w:rPr>
      <w:tblPr/>
      <w:tcPr>
        <w:shd w:val="clear" w:color="auto" w:fill="6B2E2A" w:themeFill="accent1"/>
      </w:tcPr>
    </w:tblStylePr>
    <w:tblStylePr w:type="lastRow">
      <w:pPr>
        <w:spacing w:before="0" w:after="0" w:line="240" w:lineRule="auto"/>
      </w:pPr>
      <w:rPr>
        <w:b/>
        <w:bCs/>
      </w:rPr>
      <w:tblPr/>
      <w:tcPr>
        <w:tcBorders>
          <w:top w:val="double" w:sz="6" w:space="0" w:color="6B2E2A" w:themeColor="accent1"/>
          <w:left w:val="single" w:sz="8" w:space="0" w:color="6B2E2A" w:themeColor="accent1"/>
          <w:bottom w:val="single" w:sz="8" w:space="0" w:color="6B2E2A" w:themeColor="accent1"/>
          <w:right w:val="single" w:sz="8" w:space="0" w:color="6B2E2A" w:themeColor="accent1"/>
        </w:tcBorders>
      </w:tcPr>
    </w:tblStylePr>
    <w:tblStylePr w:type="firstCol">
      <w:rPr>
        <w:b/>
        <w:bCs/>
      </w:rPr>
    </w:tblStylePr>
    <w:tblStylePr w:type="lastCol">
      <w:rPr>
        <w:b/>
        <w:bCs/>
      </w:rPr>
    </w:tblStylePr>
    <w:tblStylePr w:type="band1Vert">
      <w:tblPr/>
      <w:tcPr>
        <w:tcBorders>
          <w:top w:val="single" w:sz="8" w:space="0" w:color="6B2E2A" w:themeColor="accent1"/>
          <w:left w:val="single" w:sz="8" w:space="0" w:color="6B2E2A" w:themeColor="accent1"/>
          <w:bottom w:val="single" w:sz="8" w:space="0" w:color="6B2E2A" w:themeColor="accent1"/>
          <w:right w:val="single" w:sz="8" w:space="0" w:color="6B2E2A" w:themeColor="accent1"/>
        </w:tcBorders>
      </w:tcPr>
    </w:tblStylePr>
    <w:tblStylePr w:type="band1Horz">
      <w:tblPr/>
      <w:tcPr>
        <w:tcBorders>
          <w:top w:val="single" w:sz="8" w:space="0" w:color="6B2E2A" w:themeColor="accent1"/>
          <w:left w:val="single" w:sz="8" w:space="0" w:color="6B2E2A" w:themeColor="accent1"/>
          <w:bottom w:val="single" w:sz="8" w:space="0" w:color="6B2E2A" w:themeColor="accent1"/>
          <w:right w:val="single" w:sz="8" w:space="0" w:color="6B2E2A"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A6A6A6" w:themeColor="accent2"/>
        <w:left w:val="single" w:sz="8" w:space="0" w:color="A6A6A6" w:themeColor="accent2"/>
        <w:bottom w:val="single" w:sz="8" w:space="0" w:color="A6A6A6" w:themeColor="accent2"/>
        <w:right w:val="single" w:sz="8" w:space="0" w:color="A6A6A6" w:themeColor="accent2"/>
      </w:tblBorders>
    </w:tblPr>
    <w:tblStylePr w:type="firstRow">
      <w:pPr>
        <w:spacing w:before="0" w:after="0" w:line="240" w:lineRule="auto"/>
      </w:pPr>
      <w:rPr>
        <w:b/>
        <w:bCs/>
        <w:color w:val="FFFFFF" w:themeColor="background1"/>
      </w:rPr>
      <w:tblPr/>
      <w:tcPr>
        <w:shd w:val="clear" w:color="auto" w:fill="A6A6A6" w:themeFill="accent2"/>
      </w:tcPr>
    </w:tblStylePr>
    <w:tblStylePr w:type="lastRow">
      <w:pPr>
        <w:spacing w:before="0" w:after="0" w:line="240" w:lineRule="auto"/>
      </w:pPr>
      <w:rPr>
        <w:b/>
        <w:bCs/>
      </w:rPr>
      <w:tblPr/>
      <w:tcPr>
        <w:tcBorders>
          <w:top w:val="double" w:sz="6" w:space="0" w:color="A6A6A6" w:themeColor="accent2"/>
          <w:left w:val="single" w:sz="8" w:space="0" w:color="A6A6A6" w:themeColor="accent2"/>
          <w:bottom w:val="single" w:sz="8" w:space="0" w:color="A6A6A6" w:themeColor="accent2"/>
          <w:right w:val="single" w:sz="8" w:space="0" w:color="A6A6A6" w:themeColor="accent2"/>
        </w:tcBorders>
      </w:tcPr>
    </w:tblStylePr>
    <w:tblStylePr w:type="firstCol">
      <w:rPr>
        <w:b/>
        <w:bCs/>
      </w:rPr>
    </w:tblStylePr>
    <w:tblStylePr w:type="lastCol">
      <w:rPr>
        <w:b/>
        <w:bCs/>
      </w:rPr>
    </w:tblStylePr>
    <w:tblStylePr w:type="band1Vert">
      <w:tblPr/>
      <w:tcPr>
        <w:tcBorders>
          <w:top w:val="single" w:sz="8" w:space="0" w:color="A6A6A6" w:themeColor="accent2"/>
          <w:left w:val="single" w:sz="8" w:space="0" w:color="A6A6A6" w:themeColor="accent2"/>
          <w:bottom w:val="single" w:sz="8" w:space="0" w:color="A6A6A6" w:themeColor="accent2"/>
          <w:right w:val="single" w:sz="8" w:space="0" w:color="A6A6A6" w:themeColor="accent2"/>
        </w:tcBorders>
      </w:tcPr>
    </w:tblStylePr>
    <w:tblStylePr w:type="band1Horz">
      <w:tblPr/>
      <w:tcPr>
        <w:tcBorders>
          <w:top w:val="single" w:sz="8" w:space="0" w:color="A6A6A6" w:themeColor="accent2"/>
          <w:left w:val="single" w:sz="8" w:space="0" w:color="A6A6A6" w:themeColor="accent2"/>
          <w:bottom w:val="single" w:sz="8" w:space="0" w:color="A6A6A6" w:themeColor="accent2"/>
          <w:right w:val="single" w:sz="8" w:space="0" w:color="A6A6A6"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6B2E2A" w:themeColor="accent1"/>
        <w:left w:val="single" w:sz="8" w:space="0" w:color="6B2E2A" w:themeColor="accent1"/>
        <w:bottom w:val="single" w:sz="8" w:space="0" w:color="6B2E2A" w:themeColor="accent1"/>
        <w:right w:val="single" w:sz="8" w:space="0" w:color="6B2E2A" w:themeColor="accent1"/>
        <w:insideH w:val="single" w:sz="8" w:space="0" w:color="6B2E2A" w:themeColor="accent1"/>
        <w:insideV w:val="single" w:sz="8" w:space="0" w:color="6B2E2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B2E2A" w:themeColor="accent1"/>
          <w:left w:val="single" w:sz="8" w:space="0" w:color="6B2E2A" w:themeColor="accent1"/>
          <w:bottom w:val="single" w:sz="18" w:space="0" w:color="6B2E2A" w:themeColor="accent1"/>
          <w:right w:val="single" w:sz="8" w:space="0" w:color="6B2E2A" w:themeColor="accent1"/>
          <w:insideH w:val="nil"/>
          <w:insideV w:val="single" w:sz="8" w:space="0" w:color="6B2E2A"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B2E2A" w:themeColor="accent1"/>
          <w:left w:val="single" w:sz="8" w:space="0" w:color="6B2E2A" w:themeColor="accent1"/>
          <w:bottom w:val="single" w:sz="8" w:space="0" w:color="6B2E2A" w:themeColor="accent1"/>
          <w:right w:val="single" w:sz="8" w:space="0" w:color="6B2E2A" w:themeColor="accent1"/>
          <w:insideH w:val="nil"/>
          <w:insideV w:val="single" w:sz="8" w:space="0" w:color="6B2E2A"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B2E2A" w:themeColor="accent1"/>
          <w:left w:val="single" w:sz="8" w:space="0" w:color="6B2E2A" w:themeColor="accent1"/>
          <w:bottom w:val="single" w:sz="8" w:space="0" w:color="6B2E2A" w:themeColor="accent1"/>
          <w:right w:val="single" w:sz="8" w:space="0" w:color="6B2E2A" w:themeColor="accent1"/>
        </w:tcBorders>
      </w:tcPr>
    </w:tblStylePr>
    <w:tblStylePr w:type="band1Vert">
      <w:tblPr/>
      <w:tcPr>
        <w:tcBorders>
          <w:top w:val="single" w:sz="8" w:space="0" w:color="6B2E2A" w:themeColor="accent1"/>
          <w:left w:val="single" w:sz="8" w:space="0" w:color="6B2E2A" w:themeColor="accent1"/>
          <w:bottom w:val="single" w:sz="8" w:space="0" w:color="6B2E2A" w:themeColor="accent1"/>
          <w:right w:val="single" w:sz="8" w:space="0" w:color="6B2E2A" w:themeColor="accent1"/>
        </w:tcBorders>
        <w:shd w:val="clear" w:color="auto" w:fill="E5C1BE" w:themeFill="accent1" w:themeFillTint="3F"/>
      </w:tcPr>
    </w:tblStylePr>
    <w:tblStylePr w:type="band1Horz">
      <w:tblPr/>
      <w:tcPr>
        <w:tcBorders>
          <w:top w:val="single" w:sz="8" w:space="0" w:color="6B2E2A" w:themeColor="accent1"/>
          <w:left w:val="single" w:sz="8" w:space="0" w:color="6B2E2A" w:themeColor="accent1"/>
          <w:bottom w:val="single" w:sz="8" w:space="0" w:color="6B2E2A" w:themeColor="accent1"/>
          <w:right w:val="single" w:sz="8" w:space="0" w:color="6B2E2A" w:themeColor="accent1"/>
          <w:insideV w:val="single" w:sz="8" w:space="0" w:color="6B2E2A" w:themeColor="accent1"/>
        </w:tcBorders>
        <w:shd w:val="clear" w:color="auto" w:fill="E5C1BE" w:themeFill="accent1" w:themeFillTint="3F"/>
      </w:tcPr>
    </w:tblStylePr>
    <w:tblStylePr w:type="band2Horz">
      <w:tblPr/>
      <w:tcPr>
        <w:tcBorders>
          <w:top w:val="single" w:sz="8" w:space="0" w:color="6B2E2A" w:themeColor="accent1"/>
          <w:left w:val="single" w:sz="8" w:space="0" w:color="6B2E2A" w:themeColor="accent1"/>
          <w:bottom w:val="single" w:sz="8" w:space="0" w:color="6B2E2A" w:themeColor="accent1"/>
          <w:right w:val="single" w:sz="8" w:space="0" w:color="6B2E2A" w:themeColor="accent1"/>
          <w:insideV w:val="single" w:sz="8" w:space="0" w:color="6B2E2A"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A6A6A6" w:themeColor="accent2"/>
        <w:left w:val="single" w:sz="8" w:space="0" w:color="A6A6A6" w:themeColor="accent2"/>
        <w:bottom w:val="single" w:sz="8" w:space="0" w:color="A6A6A6" w:themeColor="accent2"/>
        <w:right w:val="single" w:sz="8" w:space="0" w:color="A6A6A6" w:themeColor="accent2"/>
        <w:insideH w:val="single" w:sz="8" w:space="0" w:color="A6A6A6" w:themeColor="accent2"/>
        <w:insideV w:val="single" w:sz="8" w:space="0" w:color="A6A6A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6A6A6" w:themeColor="accent2"/>
          <w:left w:val="single" w:sz="8" w:space="0" w:color="A6A6A6" w:themeColor="accent2"/>
          <w:bottom w:val="single" w:sz="18" w:space="0" w:color="A6A6A6" w:themeColor="accent2"/>
          <w:right w:val="single" w:sz="8" w:space="0" w:color="A6A6A6" w:themeColor="accent2"/>
          <w:insideH w:val="nil"/>
          <w:insideV w:val="single" w:sz="8" w:space="0" w:color="A6A6A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6A6A6" w:themeColor="accent2"/>
          <w:left w:val="single" w:sz="8" w:space="0" w:color="A6A6A6" w:themeColor="accent2"/>
          <w:bottom w:val="single" w:sz="8" w:space="0" w:color="A6A6A6" w:themeColor="accent2"/>
          <w:right w:val="single" w:sz="8" w:space="0" w:color="A6A6A6" w:themeColor="accent2"/>
          <w:insideH w:val="nil"/>
          <w:insideV w:val="single" w:sz="8" w:space="0" w:color="A6A6A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6A6A6" w:themeColor="accent2"/>
          <w:left w:val="single" w:sz="8" w:space="0" w:color="A6A6A6" w:themeColor="accent2"/>
          <w:bottom w:val="single" w:sz="8" w:space="0" w:color="A6A6A6" w:themeColor="accent2"/>
          <w:right w:val="single" w:sz="8" w:space="0" w:color="A6A6A6" w:themeColor="accent2"/>
        </w:tcBorders>
      </w:tcPr>
    </w:tblStylePr>
    <w:tblStylePr w:type="band1Vert">
      <w:tblPr/>
      <w:tcPr>
        <w:tcBorders>
          <w:top w:val="single" w:sz="8" w:space="0" w:color="A6A6A6" w:themeColor="accent2"/>
          <w:left w:val="single" w:sz="8" w:space="0" w:color="A6A6A6" w:themeColor="accent2"/>
          <w:bottom w:val="single" w:sz="8" w:space="0" w:color="A6A6A6" w:themeColor="accent2"/>
          <w:right w:val="single" w:sz="8" w:space="0" w:color="A6A6A6" w:themeColor="accent2"/>
        </w:tcBorders>
        <w:shd w:val="clear" w:color="auto" w:fill="E9E9E9" w:themeFill="accent2" w:themeFillTint="3F"/>
      </w:tcPr>
    </w:tblStylePr>
    <w:tblStylePr w:type="band1Horz">
      <w:tblPr/>
      <w:tcPr>
        <w:tcBorders>
          <w:top w:val="single" w:sz="8" w:space="0" w:color="A6A6A6" w:themeColor="accent2"/>
          <w:left w:val="single" w:sz="8" w:space="0" w:color="A6A6A6" w:themeColor="accent2"/>
          <w:bottom w:val="single" w:sz="8" w:space="0" w:color="A6A6A6" w:themeColor="accent2"/>
          <w:right w:val="single" w:sz="8" w:space="0" w:color="A6A6A6" w:themeColor="accent2"/>
          <w:insideV w:val="single" w:sz="8" w:space="0" w:color="A6A6A6" w:themeColor="accent2"/>
        </w:tcBorders>
        <w:shd w:val="clear" w:color="auto" w:fill="E9E9E9" w:themeFill="accent2" w:themeFillTint="3F"/>
      </w:tcPr>
    </w:tblStylePr>
    <w:tblStylePr w:type="band2Horz">
      <w:tblPr/>
      <w:tcPr>
        <w:tcBorders>
          <w:top w:val="single" w:sz="8" w:space="0" w:color="A6A6A6" w:themeColor="accent2"/>
          <w:left w:val="single" w:sz="8" w:space="0" w:color="A6A6A6" w:themeColor="accent2"/>
          <w:bottom w:val="single" w:sz="8" w:space="0" w:color="A6A6A6" w:themeColor="accent2"/>
          <w:right w:val="single" w:sz="8" w:space="0" w:color="A6A6A6" w:themeColor="accent2"/>
          <w:insideV w:val="single" w:sz="8" w:space="0" w:color="A6A6A6"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AB4943" w:themeColor="accent1" w:themeTint="BF"/>
        <w:left w:val="single" w:sz="8" w:space="0" w:color="AB4943" w:themeColor="accent1" w:themeTint="BF"/>
        <w:bottom w:val="single" w:sz="8" w:space="0" w:color="AB4943" w:themeColor="accent1" w:themeTint="BF"/>
        <w:right w:val="single" w:sz="8" w:space="0" w:color="AB4943" w:themeColor="accent1" w:themeTint="BF"/>
        <w:insideH w:val="single" w:sz="8" w:space="0" w:color="AB4943" w:themeColor="accent1" w:themeTint="BF"/>
      </w:tblBorders>
    </w:tblPr>
    <w:tblStylePr w:type="firstRow">
      <w:pPr>
        <w:spacing w:before="0" w:after="0" w:line="240" w:lineRule="auto"/>
      </w:pPr>
      <w:rPr>
        <w:b/>
        <w:bCs/>
        <w:color w:val="FFFFFF" w:themeColor="background1"/>
      </w:rPr>
      <w:tblPr/>
      <w:tcPr>
        <w:tcBorders>
          <w:top w:val="single" w:sz="8" w:space="0" w:color="AB4943" w:themeColor="accent1" w:themeTint="BF"/>
          <w:left w:val="single" w:sz="8" w:space="0" w:color="AB4943" w:themeColor="accent1" w:themeTint="BF"/>
          <w:bottom w:val="single" w:sz="8" w:space="0" w:color="AB4943" w:themeColor="accent1" w:themeTint="BF"/>
          <w:right w:val="single" w:sz="8" w:space="0" w:color="AB4943" w:themeColor="accent1" w:themeTint="BF"/>
          <w:insideH w:val="nil"/>
          <w:insideV w:val="nil"/>
        </w:tcBorders>
        <w:shd w:val="clear" w:color="auto" w:fill="6B2E2A" w:themeFill="accent1"/>
      </w:tcPr>
    </w:tblStylePr>
    <w:tblStylePr w:type="lastRow">
      <w:pPr>
        <w:spacing w:before="0" w:after="0" w:line="240" w:lineRule="auto"/>
      </w:pPr>
      <w:rPr>
        <w:b/>
        <w:bCs/>
      </w:rPr>
      <w:tblPr/>
      <w:tcPr>
        <w:tcBorders>
          <w:top w:val="double" w:sz="6" w:space="0" w:color="AB4943" w:themeColor="accent1" w:themeTint="BF"/>
          <w:left w:val="single" w:sz="8" w:space="0" w:color="AB4943" w:themeColor="accent1" w:themeTint="BF"/>
          <w:bottom w:val="single" w:sz="8" w:space="0" w:color="AB4943" w:themeColor="accent1" w:themeTint="BF"/>
          <w:right w:val="single" w:sz="8" w:space="0" w:color="AB4943" w:themeColor="accent1" w:themeTint="BF"/>
          <w:insideH w:val="nil"/>
          <w:insideV w:val="nil"/>
        </w:tcBorders>
      </w:tcPr>
    </w:tblStylePr>
    <w:tblStylePr w:type="firstCol">
      <w:rPr>
        <w:b/>
        <w:bCs/>
      </w:rPr>
    </w:tblStylePr>
    <w:tblStylePr w:type="lastCol">
      <w:rPr>
        <w:b/>
        <w:bCs/>
      </w:rPr>
    </w:tblStylePr>
    <w:tblStylePr w:type="band1Vert">
      <w:tblPr/>
      <w:tcPr>
        <w:shd w:val="clear" w:color="auto" w:fill="E5C1BE" w:themeFill="accent1" w:themeFillTint="3F"/>
      </w:tcPr>
    </w:tblStylePr>
    <w:tblStylePr w:type="band1Horz">
      <w:tblPr/>
      <w:tcPr>
        <w:tcBorders>
          <w:insideH w:val="nil"/>
          <w:insideV w:val="nil"/>
        </w:tcBorders>
        <w:shd w:val="clear" w:color="auto" w:fill="E5C1B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BCBCBC" w:themeColor="accent2" w:themeTint="BF"/>
        <w:left w:val="single" w:sz="8" w:space="0" w:color="BCBCBC" w:themeColor="accent2" w:themeTint="BF"/>
        <w:bottom w:val="single" w:sz="8" w:space="0" w:color="BCBCBC" w:themeColor="accent2" w:themeTint="BF"/>
        <w:right w:val="single" w:sz="8" w:space="0" w:color="BCBCBC" w:themeColor="accent2" w:themeTint="BF"/>
        <w:insideH w:val="single" w:sz="8" w:space="0" w:color="BCBCBC" w:themeColor="accent2" w:themeTint="BF"/>
      </w:tblBorders>
    </w:tblPr>
    <w:tblStylePr w:type="firstRow">
      <w:pPr>
        <w:spacing w:before="0" w:after="0" w:line="240" w:lineRule="auto"/>
      </w:pPr>
      <w:rPr>
        <w:b/>
        <w:bCs/>
        <w:color w:val="FFFFFF" w:themeColor="background1"/>
      </w:rPr>
      <w:tblPr/>
      <w:tcPr>
        <w:tcBorders>
          <w:top w:val="single" w:sz="8" w:space="0" w:color="BCBCBC" w:themeColor="accent2" w:themeTint="BF"/>
          <w:left w:val="single" w:sz="8" w:space="0" w:color="BCBCBC" w:themeColor="accent2" w:themeTint="BF"/>
          <w:bottom w:val="single" w:sz="8" w:space="0" w:color="BCBCBC" w:themeColor="accent2" w:themeTint="BF"/>
          <w:right w:val="single" w:sz="8" w:space="0" w:color="BCBCBC" w:themeColor="accent2" w:themeTint="BF"/>
          <w:insideH w:val="nil"/>
          <w:insideV w:val="nil"/>
        </w:tcBorders>
        <w:shd w:val="clear" w:color="auto" w:fill="A6A6A6" w:themeFill="accent2"/>
      </w:tcPr>
    </w:tblStylePr>
    <w:tblStylePr w:type="lastRow">
      <w:pPr>
        <w:spacing w:before="0" w:after="0" w:line="240" w:lineRule="auto"/>
      </w:pPr>
      <w:rPr>
        <w:b/>
        <w:bCs/>
      </w:rPr>
      <w:tblPr/>
      <w:tcPr>
        <w:tcBorders>
          <w:top w:val="double" w:sz="6" w:space="0" w:color="BCBCBC" w:themeColor="accent2" w:themeTint="BF"/>
          <w:left w:val="single" w:sz="8" w:space="0" w:color="BCBCBC" w:themeColor="accent2" w:themeTint="BF"/>
          <w:bottom w:val="single" w:sz="8" w:space="0" w:color="BCBCBC" w:themeColor="accent2" w:themeTint="BF"/>
          <w:right w:val="single" w:sz="8" w:space="0" w:color="BCBCBC" w:themeColor="accent2" w:themeTint="BF"/>
          <w:insideH w:val="nil"/>
          <w:insideV w:val="nil"/>
        </w:tcBorders>
      </w:tcPr>
    </w:tblStylePr>
    <w:tblStylePr w:type="firstCol">
      <w:rPr>
        <w:b/>
        <w:bCs/>
      </w:rPr>
    </w:tblStylePr>
    <w:tblStylePr w:type="lastCol">
      <w:rPr>
        <w:b/>
        <w:bCs/>
      </w:rPr>
    </w:tblStylePr>
    <w:tblStylePr w:type="band1Vert">
      <w:tblPr/>
      <w:tcPr>
        <w:shd w:val="clear" w:color="auto" w:fill="E9E9E9" w:themeFill="accent2" w:themeFillTint="3F"/>
      </w:tcPr>
    </w:tblStylePr>
    <w:tblStylePr w:type="band1Horz">
      <w:tblPr/>
      <w:tcPr>
        <w:tcBorders>
          <w:insideH w:val="nil"/>
          <w:insideV w:val="nil"/>
        </w:tcBorders>
        <w:shd w:val="clear" w:color="auto" w:fill="E9E9E9"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B2E2A"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B2E2A" w:themeFill="accent1"/>
      </w:tcPr>
    </w:tblStylePr>
    <w:tblStylePr w:type="lastCol">
      <w:rPr>
        <w:b/>
        <w:bCs/>
        <w:color w:val="FFFFFF" w:themeColor="background1"/>
      </w:rPr>
      <w:tblPr/>
      <w:tcPr>
        <w:tcBorders>
          <w:left w:val="nil"/>
          <w:right w:val="nil"/>
          <w:insideH w:val="nil"/>
          <w:insideV w:val="nil"/>
        </w:tcBorders>
        <w:shd w:val="clear" w:color="auto" w:fill="6B2E2A"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6A6A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6A6A6" w:themeFill="accent2"/>
      </w:tcPr>
    </w:tblStylePr>
    <w:tblStylePr w:type="lastCol">
      <w:rPr>
        <w:b/>
        <w:bCs/>
        <w:color w:val="FFFFFF" w:themeColor="background1"/>
      </w:rPr>
      <w:tblPr/>
      <w:tcPr>
        <w:tcBorders>
          <w:left w:val="nil"/>
          <w:right w:val="nil"/>
          <w:insideH w:val="nil"/>
          <w:insideV w:val="nil"/>
        </w:tcBorders>
        <w:shd w:val="clear" w:color="auto" w:fill="A6A6A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D3D3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6B2E2A" w:themeColor="accent1"/>
        <w:bottom w:val="single" w:sz="8" w:space="0" w:color="6B2E2A" w:themeColor="accent1"/>
      </w:tblBorders>
    </w:tblPr>
    <w:tblStylePr w:type="firstRow">
      <w:rPr>
        <w:rFonts w:asciiTheme="majorHAnsi" w:eastAsiaTheme="majorEastAsia" w:hAnsiTheme="majorHAnsi" w:cstheme="majorBidi"/>
      </w:rPr>
      <w:tblPr/>
      <w:tcPr>
        <w:tcBorders>
          <w:top w:val="nil"/>
          <w:bottom w:val="single" w:sz="8" w:space="0" w:color="6B2E2A" w:themeColor="accent1"/>
        </w:tcBorders>
      </w:tcPr>
    </w:tblStylePr>
    <w:tblStylePr w:type="lastRow">
      <w:rPr>
        <w:b/>
        <w:bCs/>
        <w:color w:val="3D3D3D" w:themeColor="text2"/>
      </w:rPr>
      <w:tblPr/>
      <w:tcPr>
        <w:tcBorders>
          <w:top w:val="single" w:sz="8" w:space="0" w:color="6B2E2A" w:themeColor="accent1"/>
          <w:bottom w:val="single" w:sz="8" w:space="0" w:color="6B2E2A" w:themeColor="accent1"/>
        </w:tcBorders>
      </w:tcPr>
    </w:tblStylePr>
    <w:tblStylePr w:type="firstCol">
      <w:rPr>
        <w:b/>
        <w:bCs/>
      </w:rPr>
    </w:tblStylePr>
    <w:tblStylePr w:type="lastCol">
      <w:rPr>
        <w:b/>
        <w:bCs/>
      </w:rPr>
      <w:tblPr/>
      <w:tcPr>
        <w:tcBorders>
          <w:top w:val="single" w:sz="8" w:space="0" w:color="6B2E2A" w:themeColor="accent1"/>
          <w:bottom w:val="single" w:sz="8" w:space="0" w:color="6B2E2A" w:themeColor="accent1"/>
        </w:tcBorders>
      </w:tcPr>
    </w:tblStylePr>
    <w:tblStylePr w:type="band1Vert">
      <w:tblPr/>
      <w:tcPr>
        <w:shd w:val="clear" w:color="auto" w:fill="E5C1BE" w:themeFill="accent1" w:themeFillTint="3F"/>
      </w:tcPr>
    </w:tblStylePr>
    <w:tblStylePr w:type="band1Horz">
      <w:tblPr/>
      <w:tcPr>
        <w:shd w:val="clear" w:color="auto" w:fill="E5C1B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A6A6A6" w:themeColor="accent2"/>
        <w:bottom w:val="single" w:sz="8" w:space="0" w:color="A6A6A6" w:themeColor="accent2"/>
      </w:tblBorders>
    </w:tblPr>
    <w:tblStylePr w:type="firstRow">
      <w:rPr>
        <w:rFonts w:asciiTheme="majorHAnsi" w:eastAsiaTheme="majorEastAsia" w:hAnsiTheme="majorHAnsi" w:cstheme="majorBidi"/>
      </w:rPr>
      <w:tblPr/>
      <w:tcPr>
        <w:tcBorders>
          <w:top w:val="nil"/>
          <w:bottom w:val="single" w:sz="8" w:space="0" w:color="A6A6A6" w:themeColor="accent2"/>
        </w:tcBorders>
      </w:tcPr>
    </w:tblStylePr>
    <w:tblStylePr w:type="lastRow">
      <w:rPr>
        <w:b/>
        <w:bCs/>
        <w:color w:val="3D3D3D" w:themeColor="text2"/>
      </w:rPr>
      <w:tblPr/>
      <w:tcPr>
        <w:tcBorders>
          <w:top w:val="single" w:sz="8" w:space="0" w:color="A6A6A6" w:themeColor="accent2"/>
          <w:bottom w:val="single" w:sz="8" w:space="0" w:color="A6A6A6" w:themeColor="accent2"/>
        </w:tcBorders>
      </w:tcPr>
    </w:tblStylePr>
    <w:tblStylePr w:type="firstCol">
      <w:rPr>
        <w:b/>
        <w:bCs/>
      </w:rPr>
    </w:tblStylePr>
    <w:tblStylePr w:type="lastCol">
      <w:rPr>
        <w:b/>
        <w:bCs/>
      </w:rPr>
      <w:tblPr/>
      <w:tcPr>
        <w:tcBorders>
          <w:top w:val="single" w:sz="8" w:space="0" w:color="A6A6A6" w:themeColor="accent2"/>
          <w:bottom w:val="single" w:sz="8" w:space="0" w:color="A6A6A6" w:themeColor="accent2"/>
        </w:tcBorders>
      </w:tcPr>
    </w:tblStylePr>
    <w:tblStylePr w:type="band1Vert">
      <w:tblPr/>
      <w:tcPr>
        <w:shd w:val="clear" w:color="auto" w:fill="E9E9E9" w:themeFill="accent2" w:themeFillTint="3F"/>
      </w:tcPr>
    </w:tblStylePr>
    <w:tblStylePr w:type="band1Horz">
      <w:tblPr/>
      <w:tcPr>
        <w:shd w:val="clear" w:color="auto" w:fill="E9E9E9"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D3D3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D3D3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D3D3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D3D3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B2E2A" w:themeColor="accent1"/>
        <w:left w:val="single" w:sz="8" w:space="0" w:color="6B2E2A" w:themeColor="accent1"/>
        <w:bottom w:val="single" w:sz="8" w:space="0" w:color="6B2E2A" w:themeColor="accent1"/>
        <w:right w:val="single" w:sz="8" w:space="0" w:color="6B2E2A" w:themeColor="accent1"/>
      </w:tblBorders>
    </w:tblPr>
    <w:tblStylePr w:type="firstRow">
      <w:rPr>
        <w:sz w:val="24"/>
        <w:szCs w:val="24"/>
      </w:rPr>
      <w:tblPr/>
      <w:tcPr>
        <w:tcBorders>
          <w:top w:val="nil"/>
          <w:left w:val="nil"/>
          <w:bottom w:val="single" w:sz="24" w:space="0" w:color="6B2E2A" w:themeColor="accent1"/>
          <w:right w:val="nil"/>
          <w:insideH w:val="nil"/>
          <w:insideV w:val="nil"/>
        </w:tcBorders>
        <w:shd w:val="clear" w:color="auto" w:fill="FFFFFF" w:themeFill="background1"/>
      </w:tcPr>
    </w:tblStylePr>
    <w:tblStylePr w:type="lastRow">
      <w:tblPr/>
      <w:tcPr>
        <w:tcBorders>
          <w:top w:val="single" w:sz="8" w:space="0" w:color="6B2E2A"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B2E2A" w:themeColor="accent1"/>
          <w:insideH w:val="nil"/>
          <w:insideV w:val="nil"/>
        </w:tcBorders>
        <w:shd w:val="clear" w:color="auto" w:fill="FFFFFF" w:themeFill="background1"/>
      </w:tcPr>
    </w:tblStylePr>
    <w:tblStylePr w:type="lastCol">
      <w:tblPr/>
      <w:tcPr>
        <w:tcBorders>
          <w:top w:val="nil"/>
          <w:left w:val="single" w:sz="8" w:space="0" w:color="6B2E2A"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C1BE" w:themeFill="accent1" w:themeFillTint="3F"/>
      </w:tcPr>
    </w:tblStylePr>
    <w:tblStylePr w:type="band1Horz">
      <w:tblPr/>
      <w:tcPr>
        <w:tcBorders>
          <w:top w:val="nil"/>
          <w:bottom w:val="nil"/>
          <w:insideH w:val="nil"/>
          <w:insideV w:val="nil"/>
        </w:tcBorders>
        <w:shd w:val="clear" w:color="auto" w:fill="E5C1B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6A6A6" w:themeColor="accent2"/>
        <w:left w:val="single" w:sz="8" w:space="0" w:color="A6A6A6" w:themeColor="accent2"/>
        <w:bottom w:val="single" w:sz="8" w:space="0" w:color="A6A6A6" w:themeColor="accent2"/>
        <w:right w:val="single" w:sz="8" w:space="0" w:color="A6A6A6" w:themeColor="accent2"/>
      </w:tblBorders>
    </w:tblPr>
    <w:tblStylePr w:type="firstRow">
      <w:rPr>
        <w:sz w:val="24"/>
        <w:szCs w:val="24"/>
      </w:rPr>
      <w:tblPr/>
      <w:tcPr>
        <w:tcBorders>
          <w:top w:val="nil"/>
          <w:left w:val="nil"/>
          <w:bottom w:val="single" w:sz="24" w:space="0" w:color="A6A6A6" w:themeColor="accent2"/>
          <w:right w:val="nil"/>
          <w:insideH w:val="nil"/>
          <w:insideV w:val="nil"/>
        </w:tcBorders>
        <w:shd w:val="clear" w:color="auto" w:fill="FFFFFF" w:themeFill="background1"/>
      </w:tcPr>
    </w:tblStylePr>
    <w:tblStylePr w:type="lastRow">
      <w:tblPr/>
      <w:tcPr>
        <w:tcBorders>
          <w:top w:val="single" w:sz="8" w:space="0" w:color="A6A6A6"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6A6A6" w:themeColor="accent2"/>
          <w:insideH w:val="nil"/>
          <w:insideV w:val="nil"/>
        </w:tcBorders>
        <w:shd w:val="clear" w:color="auto" w:fill="FFFFFF" w:themeFill="background1"/>
      </w:tcPr>
    </w:tblStylePr>
    <w:tblStylePr w:type="lastCol">
      <w:tblPr/>
      <w:tcPr>
        <w:tcBorders>
          <w:top w:val="nil"/>
          <w:left w:val="single" w:sz="8" w:space="0" w:color="A6A6A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9E9E9" w:themeFill="accent2" w:themeFillTint="3F"/>
      </w:tcPr>
    </w:tblStylePr>
    <w:tblStylePr w:type="band1Horz">
      <w:tblPr/>
      <w:tcPr>
        <w:tcBorders>
          <w:top w:val="nil"/>
          <w:bottom w:val="nil"/>
          <w:insideH w:val="nil"/>
          <w:insideV w:val="nil"/>
        </w:tcBorders>
        <w:shd w:val="clear" w:color="auto" w:fill="E9E9E9"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AB4943" w:themeColor="accent1" w:themeTint="BF"/>
        <w:left w:val="single" w:sz="8" w:space="0" w:color="AB4943" w:themeColor="accent1" w:themeTint="BF"/>
        <w:bottom w:val="single" w:sz="8" w:space="0" w:color="AB4943" w:themeColor="accent1" w:themeTint="BF"/>
        <w:right w:val="single" w:sz="8" w:space="0" w:color="AB4943" w:themeColor="accent1" w:themeTint="BF"/>
        <w:insideH w:val="single" w:sz="8" w:space="0" w:color="AB4943" w:themeColor="accent1" w:themeTint="BF"/>
        <w:insideV w:val="single" w:sz="8" w:space="0" w:color="AB4943" w:themeColor="accent1" w:themeTint="BF"/>
      </w:tblBorders>
    </w:tblPr>
    <w:tcPr>
      <w:shd w:val="clear" w:color="auto" w:fill="E5C1BE" w:themeFill="accent1" w:themeFillTint="3F"/>
    </w:tcPr>
    <w:tblStylePr w:type="firstRow">
      <w:rPr>
        <w:b/>
        <w:bCs/>
      </w:rPr>
    </w:tblStylePr>
    <w:tblStylePr w:type="lastRow">
      <w:rPr>
        <w:b/>
        <w:bCs/>
      </w:rPr>
      <w:tblPr/>
      <w:tcPr>
        <w:tcBorders>
          <w:top w:val="single" w:sz="18" w:space="0" w:color="AB4943" w:themeColor="accent1" w:themeTint="BF"/>
        </w:tcBorders>
      </w:tcPr>
    </w:tblStylePr>
    <w:tblStylePr w:type="firstCol">
      <w:rPr>
        <w:b/>
        <w:bCs/>
      </w:rPr>
    </w:tblStylePr>
    <w:tblStylePr w:type="lastCol">
      <w:rPr>
        <w:b/>
        <w:bCs/>
      </w:rPr>
    </w:tblStylePr>
    <w:tblStylePr w:type="band1Vert">
      <w:tblPr/>
      <w:tcPr>
        <w:shd w:val="clear" w:color="auto" w:fill="CC827D" w:themeFill="accent1" w:themeFillTint="7F"/>
      </w:tcPr>
    </w:tblStylePr>
    <w:tblStylePr w:type="band1Horz">
      <w:tblPr/>
      <w:tcPr>
        <w:shd w:val="clear" w:color="auto" w:fill="CC827D"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BCBCBC" w:themeColor="accent2" w:themeTint="BF"/>
        <w:left w:val="single" w:sz="8" w:space="0" w:color="BCBCBC" w:themeColor="accent2" w:themeTint="BF"/>
        <w:bottom w:val="single" w:sz="8" w:space="0" w:color="BCBCBC" w:themeColor="accent2" w:themeTint="BF"/>
        <w:right w:val="single" w:sz="8" w:space="0" w:color="BCBCBC" w:themeColor="accent2" w:themeTint="BF"/>
        <w:insideH w:val="single" w:sz="8" w:space="0" w:color="BCBCBC" w:themeColor="accent2" w:themeTint="BF"/>
        <w:insideV w:val="single" w:sz="8" w:space="0" w:color="BCBCBC" w:themeColor="accent2" w:themeTint="BF"/>
      </w:tblBorders>
    </w:tblPr>
    <w:tcPr>
      <w:shd w:val="clear" w:color="auto" w:fill="E9E9E9" w:themeFill="accent2" w:themeFillTint="3F"/>
    </w:tcPr>
    <w:tblStylePr w:type="firstRow">
      <w:rPr>
        <w:b/>
        <w:bCs/>
      </w:rPr>
    </w:tblStylePr>
    <w:tblStylePr w:type="lastRow">
      <w:rPr>
        <w:b/>
        <w:bCs/>
      </w:rPr>
      <w:tblPr/>
      <w:tcPr>
        <w:tcBorders>
          <w:top w:val="single" w:sz="18" w:space="0" w:color="BCBCBC" w:themeColor="accent2" w:themeTint="BF"/>
        </w:tcBorders>
      </w:tcPr>
    </w:tblStylePr>
    <w:tblStylePr w:type="firstCol">
      <w:rPr>
        <w:b/>
        <w:bCs/>
      </w:rPr>
    </w:tblStylePr>
    <w:tblStylePr w:type="lastCol">
      <w:rPr>
        <w:b/>
        <w:bCs/>
      </w:rPr>
    </w:tblStylePr>
    <w:tblStylePr w:type="band1Vert">
      <w:tblPr/>
      <w:tcPr>
        <w:shd w:val="clear" w:color="auto" w:fill="D2D2D2" w:themeFill="accent2" w:themeFillTint="7F"/>
      </w:tcPr>
    </w:tblStylePr>
    <w:tblStylePr w:type="band1Horz">
      <w:tblPr/>
      <w:tcPr>
        <w:shd w:val="clear" w:color="auto" w:fill="D2D2D2"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B2E2A" w:themeColor="accent1"/>
        <w:left w:val="single" w:sz="8" w:space="0" w:color="6B2E2A" w:themeColor="accent1"/>
        <w:bottom w:val="single" w:sz="8" w:space="0" w:color="6B2E2A" w:themeColor="accent1"/>
        <w:right w:val="single" w:sz="8" w:space="0" w:color="6B2E2A" w:themeColor="accent1"/>
        <w:insideH w:val="single" w:sz="8" w:space="0" w:color="6B2E2A" w:themeColor="accent1"/>
        <w:insideV w:val="single" w:sz="8" w:space="0" w:color="6B2E2A" w:themeColor="accent1"/>
      </w:tblBorders>
    </w:tblPr>
    <w:tcPr>
      <w:shd w:val="clear" w:color="auto" w:fill="E5C1BE" w:themeFill="accent1" w:themeFillTint="3F"/>
    </w:tcPr>
    <w:tblStylePr w:type="firstRow">
      <w:rPr>
        <w:b/>
        <w:bCs/>
        <w:color w:val="000000" w:themeColor="text1"/>
      </w:rPr>
      <w:tblPr/>
      <w:tcPr>
        <w:shd w:val="clear" w:color="auto" w:fill="F5E6E5"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CCCB" w:themeFill="accent1" w:themeFillTint="33"/>
      </w:tcPr>
    </w:tblStylePr>
    <w:tblStylePr w:type="band1Vert">
      <w:tblPr/>
      <w:tcPr>
        <w:shd w:val="clear" w:color="auto" w:fill="CC827D" w:themeFill="accent1" w:themeFillTint="7F"/>
      </w:tcPr>
    </w:tblStylePr>
    <w:tblStylePr w:type="band1Horz">
      <w:tblPr/>
      <w:tcPr>
        <w:tcBorders>
          <w:insideH w:val="single" w:sz="6" w:space="0" w:color="6B2E2A" w:themeColor="accent1"/>
          <w:insideV w:val="single" w:sz="6" w:space="0" w:color="6B2E2A" w:themeColor="accent1"/>
        </w:tcBorders>
        <w:shd w:val="clear" w:color="auto" w:fill="CC827D"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6A6A6" w:themeColor="accent2"/>
        <w:left w:val="single" w:sz="8" w:space="0" w:color="A6A6A6" w:themeColor="accent2"/>
        <w:bottom w:val="single" w:sz="8" w:space="0" w:color="A6A6A6" w:themeColor="accent2"/>
        <w:right w:val="single" w:sz="8" w:space="0" w:color="A6A6A6" w:themeColor="accent2"/>
        <w:insideH w:val="single" w:sz="8" w:space="0" w:color="A6A6A6" w:themeColor="accent2"/>
        <w:insideV w:val="single" w:sz="8" w:space="0" w:color="A6A6A6" w:themeColor="accent2"/>
      </w:tblBorders>
    </w:tblPr>
    <w:tcPr>
      <w:shd w:val="clear" w:color="auto" w:fill="E9E9E9" w:themeFill="accent2" w:themeFillTint="3F"/>
    </w:tcPr>
    <w:tblStylePr w:type="firstRow">
      <w:rPr>
        <w:b/>
        <w:bCs/>
        <w:color w:val="000000" w:themeColor="text1"/>
      </w:rPr>
      <w:tblPr/>
      <w:tcPr>
        <w:shd w:val="clear" w:color="auto" w:fill="F6F6F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2" w:themeFillTint="33"/>
      </w:tcPr>
    </w:tblStylePr>
    <w:tblStylePr w:type="band1Vert">
      <w:tblPr/>
      <w:tcPr>
        <w:shd w:val="clear" w:color="auto" w:fill="D2D2D2" w:themeFill="accent2" w:themeFillTint="7F"/>
      </w:tcPr>
    </w:tblStylePr>
    <w:tblStylePr w:type="band1Horz">
      <w:tblPr/>
      <w:tcPr>
        <w:tcBorders>
          <w:insideH w:val="single" w:sz="6" w:space="0" w:color="A6A6A6" w:themeColor="accent2"/>
          <w:insideV w:val="single" w:sz="6" w:space="0" w:color="A6A6A6" w:themeColor="accent2"/>
        </w:tcBorders>
        <w:shd w:val="clear" w:color="auto" w:fill="D2D2D2"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C1B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E2A"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E2A"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B2E2A"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B2E2A"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C827D"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C827D"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9E9E9"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6A6A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6A6A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6A6A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6A6A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6B2E2A"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5161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4F221F"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4F221F" w:themeFill="accent1" w:themeFillShade="BF"/>
      </w:tcPr>
    </w:tblStylePr>
    <w:tblStylePr w:type="band1Vert">
      <w:tblPr/>
      <w:tcPr>
        <w:tcBorders>
          <w:top w:val="nil"/>
          <w:left w:val="nil"/>
          <w:bottom w:val="nil"/>
          <w:right w:val="nil"/>
          <w:insideH w:val="nil"/>
          <w:insideV w:val="nil"/>
        </w:tcBorders>
        <w:shd w:val="clear" w:color="auto" w:fill="4F221F" w:themeFill="accent1" w:themeFillShade="BF"/>
      </w:tcPr>
    </w:tblStylePr>
    <w:tblStylePr w:type="band1Horz">
      <w:tblPr/>
      <w:tcPr>
        <w:tcBorders>
          <w:top w:val="nil"/>
          <w:left w:val="nil"/>
          <w:bottom w:val="nil"/>
          <w:right w:val="nil"/>
          <w:insideH w:val="nil"/>
          <w:insideV w:val="nil"/>
        </w:tcBorders>
        <w:shd w:val="clear" w:color="auto" w:fill="4F221F"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A6A6A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7C7C7C"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7C7C7C" w:themeFill="accent2" w:themeFillShade="BF"/>
      </w:tcPr>
    </w:tblStylePr>
    <w:tblStylePr w:type="band1Vert">
      <w:tblPr/>
      <w:tcPr>
        <w:tcBorders>
          <w:top w:val="nil"/>
          <w:left w:val="nil"/>
          <w:bottom w:val="nil"/>
          <w:right w:val="nil"/>
          <w:insideH w:val="nil"/>
          <w:insideV w:val="nil"/>
        </w:tcBorders>
        <w:shd w:val="clear" w:color="auto" w:fill="7C7C7C" w:themeFill="accent2" w:themeFillShade="BF"/>
      </w:tcPr>
    </w:tblStylePr>
    <w:tblStylePr w:type="band1Horz">
      <w:tblPr/>
      <w:tcPr>
        <w:tcBorders>
          <w:top w:val="nil"/>
          <w:left w:val="nil"/>
          <w:bottom w:val="nil"/>
          <w:right w:val="nil"/>
          <w:insideH w:val="nil"/>
          <w:insideV w:val="nil"/>
        </w:tcBorders>
        <w:shd w:val="clear" w:color="auto" w:fill="7C7C7C"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A6A6A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A6A6A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A6A6A6" w:themeColor="accent2"/>
        <w:left w:val="single" w:sz="4" w:space="0" w:color="6B2E2A" w:themeColor="accent1"/>
        <w:bottom w:val="single" w:sz="4" w:space="0" w:color="6B2E2A" w:themeColor="accent1"/>
        <w:right w:val="single" w:sz="4" w:space="0" w:color="6B2E2A" w:themeColor="accent1"/>
        <w:insideH w:val="single" w:sz="4" w:space="0" w:color="FFFFFF" w:themeColor="background1"/>
        <w:insideV w:val="single" w:sz="4" w:space="0" w:color="FFFFFF" w:themeColor="background1"/>
      </w:tblBorders>
    </w:tblPr>
    <w:tcPr>
      <w:shd w:val="clear" w:color="auto" w:fill="F5E6E5" w:themeFill="accent1" w:themeFillTint="19"/>
    </w:tcPr>
    <w:tblStylePr w:type="firstRow">
      <w:rPr>
        <w:b/>
        <w:bCs/>
      </w:rPr>
      <w:tblPr/>
      <w:tcPr>
        <w:tcBorders>
          <w:top w:val="nil"/>
          <w:left w:val="nil"/>
          <w:bottom w:val="single" w:sz="24" w:space="0" w:color="A6A6A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01B19" w:themeFill="accent1" w:themeFillShade="99"/>
      </w:tcPr>
    </w:tblStylePr>
    <w:tblStylePr w:type="firstCol">
      <w:rPr>
        <w:color w:val="FFFFFF" w:themeColor="background1"/>
      </w:rPr>
      <w:tblPr/>
      <w:tcPr>
        <w:tcBorders>
          <w:top w:val="nil"/>
          <w:left w:val="nil"/>
          <w:bottom w:val="nil"/>
          <w:right w:val="nil"/>
          <w:insideH w:val="single" w:sz="4" w:space="0" w:color="401B19" w:themeColor="accent1" w:themeShade="99"/>
          <w:insideV w:val="nil"/>
        </w:tcBorders>
        <w:shd w:val="clear" w:color="auto" w:fill="401B19"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401B19" w:themeFill="accent1" w:themeFillShade="99"/>
      </w:tcPr>
    </w:tblStylePr>
    <w:tblStylePr w:type="band1Vert">
      <w:tblPr/>
      <w:tcPr>
        <w:shd w:val="clear" w:color="auto" w:fill="D69A97" w:themeFill="accent1" w:themeFillTint="66"/>
      </w:tcPr>
    </w:tblStylePr>
    <w:tblStylePr w:type="band1Horz">
      <w:tblPr/>
      <w:tcPr>
        <w:shd w:val="clear" w:color="auto" w:fill="CC827D"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A6A6A6" w:themeColor="accent2"/>
        <w:left w:val="single" w:sz="4" w:space="0" w:color="A6A6A6" w:themeColor="accent2"/>
        <w:bottom w:val="single" w:sz="4" w:space="0" w:color="A6A6A6" w:themeColor="accent2"/>
        <w:right w:val="single" w:sz="4" w:space="0" w:color="A6A6A6" w:themeColor="accent2"/>
        <w:insideH w:val="single" w:sz="4" w:space="0" w:color="FFFFFF" w:themeColor="background1"/>
        <w:insideV w:val="single" w:sz="4" w:space="0" w:color="FFFFFF" w:themeColor="background1"/>
      </w:tblBorders>
    </w:tblPr>
    <w:tcPr>
      <w:shd w:val="clear" w:color="auto" w:fill="F6F6F6" w:themeFill="accent2" w:themeFillTint="19"/>
    </w:tcPr>
    <w:tblStylePr w:type="firstRow">
      <w:rPr>
        <w:b/>
        <w:bCs/>
      </w:rPr>
      <w:tblPr/>
      <w:tcPr>
        <w:tcBorders>
          <w:top w:val="nil"/>
          <w:left w:val="nil"/>
          <w:bottom w:val="single" w:sz="24" w:space="0" w:color="A6A6A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2" w:themeFillShade="99"/>
      </w:tcPr>
    </w:tblStylePr>
    <w:tblStylePr w:type="firstCol">
      <w:rPr>
        <w:color w:val="FFFFFF" w:themeColor="background1"/>
      </w:rPr>
      <w:tblPr/>
      <w:tcPr>
        <w:tcBorders>
          <w:top w:val="nil"/>
          <w:left w:val="nil"/>
          <w:bottom w:val="nil"/>
          <w:right w:val="nil"/>
          <w:insideH w:val="single" w:sz="4" w:space="0" w:color="636363" w:themeColor="accent2" w:themeShade="99"/>
          <w:insideV w:val="nil"/>
        </w:tcBorders>
        <w:shd w:val="clear" w:color="auto" w:fill="63636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2" w:themeFillShade="99"/>
      </w:tcPr>
    </w:tblStylePr>
    <w:tblStylePr w:type="band1Vert">
      <w:tblPr/>
      <w:tcPr>
        <w:shd w:val="clear" w:color="auto" w:fill="DBDBDB" w:themeFill="accent2" w:themeFillTint="66"/>
      </w:tcPr>
    </w:tblStylePr>
    <w:tblStylePr w:type="band1Horz">
      <w:tblPr/>
      <w:tcPr>
        <w:shd w:val="clear" w:color="auto" w:fill="D2D2D2"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48484" w:themeFill="accent2" w:themeFillShade="CC"/>
      </w:tcPr>
    </w:tblStylePr>
    <w:tblStylePr w:type="lastRow">
      <w:rPr>
        <w:b/>
        <w:bCs/>
        <w:color w:val="84848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5E6E5" w:themeFill="accent1" w:themeFillTint="19"/>
    </w:tcPr>
    <w:tblStylePr w:type="firstRow">
      <w:rPr>
        <w:b/>
        <w:bCs/>
        <w:color w:val="FFFFFF" w:themeColor="background1"/>
      </w:rPr>
      <w:tblPr/>
      <w:tcPr>
        <w:tcBorders>
          <w:bottom w:val="single" w:sz="12" w:space="0" w:color="FFFFFF" w:themeColor="background1"/>
        </w:tcBorders>
        <w:shd w:val="clear" w:color="auto" w:fill="848484" w:themeFill="accent2" w:themeFillShade="CC"/>
      </w:tcPr>
    </w:tblStylePr>
    <w:tblStylePr w:type="lastRow">
      <w:rPr>
        <w:b/>
        <w:bCs/>
        <w:color w:val="84848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C1BE" w:themeFill="accent1" w:themeFillTint="3F"/>
      </w:tcPr>
    </w:tblStylePr>
    <w:tblStylePr w:type="band1Horz">
      <w:tblPr/>
      <w:tcPr>
        <w:shd w:val="clear" w:color="auto" w:fill="EACCCB"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6F6F6" w:themeFill="accent2" w:themeFillTint="19"/>
    </w:tcPr>
    <w:tblStylePr w:type="firstRow">
      <w:rPr>
        <w:b/>
        <w:bCs/>
        <w:color w:val="FFFFFF" w:themeColor="background1"/>
      </w:rPr>
      <w:tblPr/>
      <w:tcPr>
        <w:tcBorders>
          <w:bottom w:val="single" w:sz="12" w:space="0" w:color="FFFFFF" w:themeColor="background1"/>
        </w:tcBorders>
        <w:shd w:val="clear" w:color="auto" w:fill="848484" w:themeFill="accent2" w:themeFillShade="CC"/>
      </w:tcPr>
    </w:tblStylePr>
    <w:tblStylePr w:type="lastRow">
      <w:rPr>
        <w:b/>
        <w:bCs/>
        <w:color w:val="84848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9E9E9" w:themeFill="accent2" w:themeFillTint="3F"/>
      </w:tcPr>
    </w:tblStylePr>
    <w:tblStylePr w:type="band1Horz">
      <w:tblPr/>
      <w:tcPr>
        <w:shd w:val="clear" w:color="auto" w:fill="EDEDED"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CCCB" w:themeFill="accent1" w:themeFillTint="33"/>
    </w:tcPr>
    <w:tblStylePr w:type="firstRow">
      <w:rPr>
        <w:b/>
        <w:bCs/>
      </w:rPr>
      <w:tblPr/>
      <w:tcPr>
        <w:shd w:val="clear" w:color="auto" w:fill="D69A97" w:themeFill="accent1" w:themeFillTint="66"/>
      </w:tcPr>
    </w:tblStylePr>
    <w:tblStylePr w:type="lastRow">
      <w:rPr>
        <w:b/>
        <w:bCs/>
        <w:color w:val="000000" w:themeColor="text1"/>
      </w:rPr>
      <w:tblPr/>
      <w:tcPr>
        <w:shd w:val="clear" w:color="auto" w:fill="D69A97" w:themeFill="accent1" w:themeFillTint="66"/>
      </w:tcPr>
    </w:tblStylePr>
    <w:tblStylePr w:type="firstCol">
      <w:rPr>
        <w:color w:val="FFFFFF" w:themeColor="background1"/>
      </w:rPr>
      <w:tblPr/>
      <w:tcPr>
        <w:shd w:val="clear" w:color="auto" w:fill="4F221F" w:themeFill="accent1" w:themeFillShade="BF"/>
      </w:tcPr>
    </w:tblStylePr>
    <w:tblStylePr w:type="lastCol">
      <w:rPr>
        <w:color w:val="FFFFFF" w:themeColor="background1"/>
      </w:rPr>
      <w:tblPr/>
      <w:tcPr>
        <w:shd w:val="clear" w:color="auto" w:fill="4F221F" w:themeFill="accent1" w:themeFillShade="BF"/>
      </w:tcPr>
    </w:tblStylePr>
    <w:tblStylePr w:type="band1Vert">
      <w:tblPr/>
      <w:tcPr>
        <w:shd w:val="clear" w:color="auto" w:fill="CC827D" w:themeFill="accent1" w:themeFillTint="7F"/>
      </w:tcPr>
    </w:tblStylePr>
    <w:tblStylePr w:type="band1Horz">
      <w:tblPr/>
      <w:tcPr>
        <w:shd w:val="clear" w:color="auto" w:fill="CC827D"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2" w:themeFillTint="33"/>
    </w:tcPr>
    <w:tblStylePr w:type="firstRow">
      <w:rPr>
        <w:b/>
        <w:bCs/>
      </w:rPr>
      <w:tblPr/>
      <w:tcPr>
        <w:shd w:val="clear" w:color="auto" w:fill="DBDBDB" w:themeFill="accent2" w:themeFillTint="66"/>
      </w:tcPr>
    </w:tblStylePr>
    <w:tblStylePr w:type="lastRow">
      <w:rPr>
        <w:b/>
        <w:bCs/>
        <w:color w:val="000000" w:themeColor="text1"/>
      </w:rPr>
      <w:tblPr/>
      <w:tcPr>
        <w:shd w:val="clear" w:color="auto" w:fill="DBDBDB" w:themeFill="accent2" w:themeFillTint="66"/>
      </w:tcPr>
    </w:tblStylePr>
    <w:tblStylePr w:type="firstCol">
      <w:rPr>
        <w:color w:val="FFFFFF" w:themeColor="background1"/>
      </w:rPr>
      <w:tblPr/>
      <w:tcPr>
        <w:shd w:val="clear" w:color="auto" w:fill="7C7C7C" w:themeFill="accent2" w:themeFillShade="BF"/>
      </w:tcPr>
    </w:tblStylePr>
    <w:tblStylePr w:type="lastCol">
      <w:rPr>
        <w:color w:val="FFFFFF" w:themeColor="background1"/>
      </w:rPr>
      <w:tblPr/>
      <w:tcPr>
        <w:shd w:val="clear" w:color="auto" w:fill="7C7C7C" w:themeFill="accent2" w:themeFillShade="BF"/>
      </w:tcPr>
    </w:tblStylePr>
    <w:tblStylePr w:type="band1Vert">
      <w:tblPr/>
      <w:tcPr>
        <w:shd w:val="clear" w:color="auto" w:fill="D2D2D2" w:themeFill="accent2" w:themeFillTint="7F"/>
      </w:tcPr>
    </w:tblStylePr>
    <w:tblStylePr w:type="band1Horz">
      <w:tblPr/>
      <w:tcPr>
        <w:shd w:val="clear" w:color="auto" w:fill="D2D2D2"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FW Letter">
  <a:themeElements>
    <a:clrScheme name="FW Letter">
      <a:dk1>
        <a:sysClr val="windowText" lastClr="000000"/>
      </a:dk1>
      <a:lt1>
        <a:sysClr val="window" lastClr="FFFFFF"/>
      </a:lt1>
      <a:dk2>
        <a:srgbClr val="3D3D3D"/>
      </a:dk2>
      <a:lt2>
        <a:srgbClr val="EFE6DC"/>
      </a:lt2>
      <a:accent1>
        <a:srgbClr val="6B2E2A"/>
      </a:accent1>
      <a:accent2>
        <a:srgbClr val="A6A6A6"/>
      </a:accent2>
      <a:accent3>
        <a:srgbClr val="9BBB59"/>
      </a:accent3>
      <a:accent4>
        <a:srgbClr val="8064A2"/>
      </a:accent4>
      <a:accent5>
        <a:srgbClr val="4BACC6"/>
      </a:accent5>
      <a:accent6>
        <a:srgbClr val="F79646"/>
      </a:accent6>
      <a:hlink>
        <a:srgbClr val="6B2E2A"/>
      </a:hlink>
      <a:folHlink>
        <a:srgbClr val="800080"/>
      </a:folHlink>
    </a:clrScheme>
    <a:fontScheme name="FW Letter">
      <a:majorFont>
        <a:latin typeface="Georg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2246</Words>
  <Characters>12807</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Practice Note PN-14, mechanics lien claims on private works</dc:title>
  <dc:subject/>
  <dc:creator>Ferraro Whitcombe LLP</dc:creator>
  <cp:keywords/>
  <dc:description/>
  <cp:lastModifiedBy>Marguerite Okonjo</cp:lastModifiedBy>
  <cp:revision>2</cp:revision>
  <dcterms:created xsi:type="dcterms:W3CDTF">2026-03-09T15:42:11Z</dcterms:created>
  <dcterms:modified xsi:type="dcterms:W3CDTF">2026-03-12T10:18:40Z</dcterms:modified>
  <cp:category/>
</cp:coreProperties>
</file>