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52818D" w14:textId="77777777" w:rsidR="008364D0" w:rsidRDefault="00197E9A">
      <w:pPr>
        <w:spacing w:after="0"/>
      </w:pPr>
      <w:r>
        <w:rPr>
          <w:b/>
          <w:sz w:val="26"/>
        </w:rPr>
        <w:t>Heritage Land Title Agency, Inc.</w:t>
      </w:r>
    </w:p>
    <w:p w14:paraId="7D40E7B8" w14:textId="77777777" w:rsidR="008364D0" w:rsidRDefault="00197E9A">
      <w:pPr>
        <w:spacing w:after="160"/>
      </w:pPr>
      <w:r>
        <w:rPr>
          <w:b/>
          <w:sz w:val="24"/>
        </w:rPr>
        <w:t>Title Order and Closing Instructions</w:t>
      </w:r>
    </w:p>
    <w:tbl>
      <w:tblPr>
        <w:tblStyle w:val="TableGrid"/>
        <w:tblW w:w="0" w:type="auto"/>
        <w:tblLook w:val="04A0" w:firstRow="1" w:lastRow="0" w:firstColumn="1" w:lastColumn="0" w:noHBand="0" w:noVBand="1"/>
      </w:tblPr>
      <w:tblGrid>
        <w:gridCol w:w="2304"/>
        <w:gridCol w:w="7056"/>
      </w:tblGrid>
      <w:tr w:rsidR="008364D0" w14:paraId="5FD0B790" w14:textId="77777777">
        <w:tc>
          <w:tcPr>
            <w:tcW w:w="2304" w:type="dxa"/>
            <w:shd w:val="clear" w:color="auto" w:fill="DCE8DD"/>
          </w:tcPr>
          <w:p w14:paraId="3E067FEB" w14:textId="77777777" w:rsidR="008364D0" w:rsidRDefault="00197E9A">
            <w:r>
              <w:rPr>
                <w:b/>
              </w:rPr>
              <w:t>Item</w:t>
            </w:r>
          </w:p>
        </w:tc>
        <w:tc>
          <w:tcPr>
            <w:tcW w:w="7056" w:type="dxa"/>
            <w:shd w:val="clear" w:color="auto" w:fill="DCE8DD"/>
          </w:tcPr>
          <w:p w14:paraId="1A6640CD" w14:textId="77777777" w:rsidR="008364D0" w:rsidRDefault="00197E9A">
            <w:r>
              <w:rPr>
                <w:b/>
              </w:rPr>
              <w:t>Detail</w:t>
            </w:r>
          </w:p>
        </w:tc>
      </w:tr>
      <w:tr w:rsidR="008364D0" w14:paraId="5813FEC6" w14:textId="77777777">
        <w:tc>
          <w:tcPr>
            <w:tcW w:w="2304" w:type="dxa"/>
          </w:tcPr>
          <w:p w14:paraId="651EE6E7" w14:textId="77777777" w:rsidR="008364D0" w:rsidRDefault="00197E9A">
            <w:r>
              <w:t>Order number</w:t>
            </w:r>
          </w:p>
        </w:tc>
        <w:tc>
          <w:tcPr>
            <w:tcW w:w="7056" w:type="dxa"/>
          </w:tcPr>
          <w:p w14:paraId="6D8D12B8" w14:textId="77777777" w:rsidR="008364D0" w:rsidRDefault="00197E9A">
            <w:r>
              <w:t>HLT-26-2214</w:t>
            </w:r>
          </w:p>
        </w:tc>
      </w:tr>
      <w:tr w:rsidR="008364D0" w14:paraId="7FFF04CE" w14:textId="77777777">
        <w:tc>
          <w:tcPr>
            <w:tcW w:w="2304" w:type="dxa"/>
          </w:tcPr>
          <w:p w14:paraId="1221DB5B" w14:textId="77777777" w:rsidR="008364D0" w:rsidRDefault="00197E9A">
            <w:r>
              <w:t>Order date</w:t>
            </w:r>
          </w:p>
        </w:tc>
        <w:tc>
          <w:tcPr>
            <w:tcW w:w="7056" w:type="dxa"/>
          </w:tcPr>
          <w:p w14:paraId="37E8FB57" w14:textId="77777777" w:rsidR="008364D0" w:rsidRDefault="00197E9A">
            <w:r>
              <w:t>October 5, 2026</w:t>
            </w:r>
          </w:p>
        </w:tc>
      </w:tr>
      <w:tr w:rsidR="008364D0" w14:paraId="5046A2FF" w14:textId="77777777">
        <w:tc>
          <w:tcPr>
            <w:tcW w:w="2304" w:type="dxa"/>
          </w:tcPr>
          <w:p w14:paraId="7568489F" w14:textId="77777777" w:rsidR="008364D0" w:rsidRDefault="00197E9A">
            <w:r>
              <w:t>Closing agent</w:t>
            </w:r>
          </w:p>
        </w:tc>
        <w:tc>
          <w:tcPr>
            <w:tcW w:w="7056" w:type="dxa"/>
          </w:tcPr>
          <w:p w14:paraId="3CB6EA48" w14:textId="77777777" w:rsidR="008364D0" w:rsidRDefault="00197E9A">
            <w:r>
              <w:t>Priya Ramanathan, closing agent, Heritage Land Title Agency, Inc.</w:t>
            </w:r>
          </w:p>
        </w:tc>
      </w:tr>
      <w:tr w:rsidR="008364D0" w14:paraId="5A7E2978" w14:textId="77777777">
        <w:tc>
          <w:tcPr>
            <w:tcW w:w="2304" w:type="dxa"/>
          </w:tcPr>
          <w:p w14:paraId="40E7FE7B" w14:textId="77777777" w:rsidR="008364D0" w:rsidRDefault="00197E9A">
            <w:r>
              <w:t>Property</w:t>
            </w:r>
          </w:p>
        </w:tc>
        <w:tc>
          <w:tcPr>
            <w:tcW w:w="7056" w:type="dxa"/>
          </w:tcPr>
          <w:p w14:paraId="1F1A9977" w14:textId="77777777" w:rsidR="008364D0" w:rsidRDefault="00197E9A">
            <w:r>
              <w:t>418 Cedarbrook Drive, Newark, Ohio 43055; parcel 048-112-00.000; Lot 12 and the North One-Half of Lot 13, Cedarbrook Subdivision, Plat Book 9, Page 41</w:t>
            </w:r>
          </w:p>
        </w:tc>
      </w:tr>
      <w:tr w:rsidR="008364D0" w14:paraId="1FD567F9" w14:textId="77777777">
        <w:tc>
          <w:tcPr>
            <w:tcW w:w="2304" w:type="dxa"/>
          </w:tcPr>
          <w:p w14:paraId="3509C61F" w14:textId="77777777" w:rsidR="008364D0" w:rsidRDefault="00197E9A">
            <w:r>
              <w:t>Seller</w:t>
            </w:r>
          </w:p>
        </w:tc>
        <w:tc>
          <w:tcPr>
            <w:tcW w:w="7056" w:type="dxa"/>
          </w:tcPr>
          <w:p w14:paraId="530271D2" w14:textId="77777777" w:rsidR="008364D0" w:rsidRDefault="00197E9A">
            <w:r>
              <w:t>Tamsin Okafor, married to Emeka Okafor (married in 2020 per the seller information sheet)</w:t>
            </w:r>
          </w:p>
        </w:tc>
      </w:tr>
      <w:tr w:rsidR="008364D0" w14:paraId="2109D72C" w14:textId="77777777">
        <w:tc>
          <w:tcPr>
            <w:tcW w:w="2304" w:type="dxa"/>
          </w:tcPr>
          <w:p w14:paraId="59027766" w14:textId="77777777" w:rsidR="008364D0" w:rsidRDefault="00197E9A">
            <w:r>
              <w:t>Buyers</w:t>
            </w:r>
          </w:p>
        </w:tc>
        <w:tc>
          <w:tcPr>
            <w:tcW w:w="7056" w:type="dxa"/>
          </w:tcPr>
          <w:p w14:paraId="4EAB69E2" w14:textId="77777777" w:rsidR="008364D0" w:rsidRDefault="00197E9A">
            <w:r>
              <w:t>Delaney M. Whitcomb and Sean P. Whitcomb, husband and wife, to take title as survivorship tenants</w:t>
            </w:r>
          </w:p>
        </w:tc>
      </w:tr>
      <w:tr w:rsidR="008364D0" w14:paraId="18A9B4B2" w14:textId="77777777">
        <w:tc>
          <w:tcPr>
            <w:tcW w:w="2304" w:type="dxa"/>
          </w:tcPr>
          <w:p w14:paraId="1190852F" w14:textId="77777777" w:rsidR="008364D0" w:rsidRDefault="00197E9A">
            <w:r>
              <w:t>Purchase price</w:t>
            </w:r>
          </w:p>
        </w:tc>
        <w:tc>
          <w:tcPr>
            <w:tcW w:w="7056" w:type="dxa"/>
          </w:tcPr>
          <w:p w14:paraId="70521983" w14:textId="77777777" w:rsidR="008364D0" w:rsidRDefault="00197E9A">
            <w:r>
              <w:t>$214,000.00</w:t>
            </w:r>
          </w:p>
        </w:tc>
      </w:tr>
      <w:tr w:rsidR="008364D0" w14:paraId="278B09C8" w14:textId="77777777">
        <w:tc>
          <w:tcPr>
            <w:tcW w:w="2304" w:type="dxa"/>
          </w:tcPr>
          <w:p w14:paraId="4185DF1D" w14:textId="77777777" w:rsidR="008364D0" w:rsidRDefault="00197E9A">
            <w:r>
              <w:t>Lender and loan</w:t>
            </w:r>
          </w:p>
        </w:tc>
        <w:tc>
          <w:tcPr>
            <w:tcW w:w="7056" w:type="dxa"/>
          </w:tcPr>
          <w:p w14:paraId="47CD3C31" w14:textId="77777777" w:rsidR="008364D0" w:rsidRDefault="00197E9A">
            <w:r>
              <w:t>Newark Federal Savings &amp; Loan, first mortgage of $171,200.00</w:t>
            </w:r>
          </w:p>
        </w:tc>
      </w:tr>
      <w:tr w:rsidR="008364D0" w14:paraId="068310A8" w14:textId="77777777">
        <w:tc>
          <w:tcPr>
            <w:tcW w:w="2304" w:type="dxa"/>
          </w:tcPr>
          <w:p w14:paraId="1C02F94D" w14:textId="77777777" w:rsidR="008364D0" w:rsidRDefault="00197E9A">
            <w:r>
              <w:t>Policies ordered</w:t>
            </w:r>
          </w:p>
        </w:tc>
        <w:tc>
          <w:tcPr>
            <w:tcW w:w="7056" w:type="dxa"/>
          </w:tcPr>
          <w:p w14:paraId="3922C8ED" w14:textId="77777777" w:rsidR="008364D0" w:rsidRDefault="00197E9A">
            <w:r>
              <w:t>Owner's policy in the purchase price and loan policy in the loan amount, Buckeye State Title Insurance Company</w:t>
            </w:r>
          </w:p>
        </w:tc>
      </w:tr>
      <w:tr w:rsidR="008364D0" w14:paraId="4FD0A648" w14:textId="77777777">
        <w:tc>
          <w:tcPr>
            <w:tcW w:w="2304" w:type="dxa"/>
          </w:tcPr>
          <w:p w14:paraId="6D22A75D" w14:textId="77777777" w:rsidR="008364D0" w:rsidRDefault="00197E9A">
            <w:r>
              <w:t>Closing date</w:t>
            </w:r>
          </w:p>
        </w:tc>
        <w:tc>
          <w:tcPr>
            <w:tcW w:w="7056" w:type="dxa"/>
          </w:tcPr>
          <w:p w14:paraId="657B8CAD" w14:textId="77777777" w:rsidR="008364D0" w:rsidRDefault="00197E9A">
            <w:r>
              <w:t>Friday, November 6, 2026 at the agency's Newark office</w:t>
            </w:r>
          </w:p>
        </w:tc>
      </w:tr>
      <w:tr w:rsidR="008364D0" w14:paraId="59B8F2C5" w14:textId="77777777">
        <w:tc>
          <w:tcPr>
            <w:tcW w:w="2304" w:type="dxa"/>
          </w:tcPr>
          <w:p w14:paraId="12880568" w14:textId="77777777" w:rsidR="008364D0" w:rsidRDefault="00197E9A">
            <w:r>
              <w:t>Contract</w:t>
            </w:r>
          </w:p>
        </w:tc>
        <w:tc>
          <w:tcPr>
            <w:tcW w:w="7056" w:type="dxa"/>
          </w:tcPr>
          <w:p w14:paraId="074413D1" w14:textId="77777777" w:rsidR="008364D0" w:rsidRDefault="00197E9A">
            <w:r>
              <w:t>Residential purchase agreement dated September 28, 2026, seller to convey by warranty deed free of liens, taxes prorated</w:t>
            </w:r>
          </w:p>
        </w:tc>
      </w:tr>
    </w:tbl>
    <w:p w14:paraId="27465219" w14:textId="77777777" w:rsidR="008364D0" w:rsidRDefault="008364D0">
      <w:pPr>
        <w:spacing w:after="80"/>
      </w:pPr>
    </w:p>
    <w:p w14:paraId="4FC85D73" w14:textId="77777777" w:rsidR="008364D0" w:rsidRDefault="00197E9A">
      <w:pPr>
        <w:pStyle w:val="Heading1"/>
      </w:pPr>
      <w:r>
        <w:t>Closing instructions to the examiner</w:t>
      </w:r>
    </w:p>
    <w:p w14:paraId="54B5F2D9" w14:textId="77777777" w:rsidR="008364D0" w:rsidRDefault="00197E9A">
      <w:pPr>
        <w:spacing w:after="120"/>
      </w:pPr>
      <w:r>
        <w:t>Please examine and report to me under this order number. I need the report in a form I can build the commitment from, so state the vesting, the chain, the requirements the underwriter will insist on before it insures, the Schedule B exceptions, and every figure of record that will have to be collected at closing. The contract calls for the seller to convey by warranty deed and to pay off everything of record at closing.</w:t>
      </w:r>
    </w:p>
    <w:p w14:paraId="63324227" w14:textId="77777777" w:rsidR="008364D0" w:rsidRDefault="00197E9A">
      <w:pPr>
        <w:spacing w:after="120"/>
      </w:pPr>
      <w:r>
        <w:t>Prorate the current-year real estate taxes through the day of closing on a 365-day year, using the most recent full-year tax bill as the estimate, as the contract provides. Delinquent installments, penalties, and special assessment installments that are past due are collected from the seller in full. Interest on any judgment lien runs at the rate the certificate of judgment states, from the date the judgment was rendered through the closing date, on a simple basis over a 365-day year, plus the court costs s</w:t>
      </w:r>
      <w:r>
        <w:t>hown on the certificate.</w:t>
      </w:r>
    </w:p>
    <w:p w14:paraId="1A20AB69" w14:textId="77777777" w:rsidR="008364D0" w:rsidRDefault="00197E9A">
      <w:pPr>
        <w:spacing w:after="120"/>
      </w:pPr>
      <w:r>
        <w:t>The lender requires a loan policy with the new mortgage insured as a first lien, so anything of record ahead of it has to be released or cleared as a requirement. The buyers have asked for a survey; treat survey matters as a standard exception unless one is delivered before closing.</w:t>
      </w:r>
    </w:p>
    <w:p w14:paraId="725C9B6E" w14:textId="77777777" w:rsidR="008364D0" w:rsidRDefault="00197E9A">
      <w:pPr>
        <w:pStyle w:val="Heading1"/>
      </w:pPr>
      <w:r>
        <w:t>Underwriter guideline excerpts, Buckeye State Title Insurance Company examination manual</w:t>
      </w:r>
    </w:p>
    <w:p w14:paraId="65C3C551" w14:textId="77777777" w:rsidR="008364D0" w:rsidRDefault="00197E9A">
      <w:pPr>
        <w:spacing w:after="120"/>
      </w:pPr>
      <w:r>
        <w:t>The following are the guideline paragraphs I expect to apply on this file, copied from the current manual.</w:t>
      </w:r>
    </w:p>
    <w:p w14:paraId="2275A618" w14:textId="77777777" w:rsidR="008364D0" w:rsidRDefault="00197E9A">
      <w:pPr>
        <w:spacing w:after="120"/>
      </w:pPr>
      <w:r>
        <w:lastRenderedPageBreak/>
        <w:t>Guideline 4.2, dower. Under R.C. 2103.02 a spouse has a dower interest in real property the other spouse owned during the marriage. A conveyance by a married grantor in which the grantor's spouse does not join and release dower leaves the spouse's inchoate dower outstanding of record. Require a release of dower from the spouse, or satisfactory evidence that the dower interest has terminated by the spouse's death or by a decree of divorce or dissolution, before insuring. The same rule applies to the seller's</w:t>
      </w:r>
      <w:r>
        <w:t xml:space="preserve"> conveyance at closing: a married seller's spouse must join the deed to release dower even where the spouse holds no record title.</w:t>
      </w:r>
    </w:p>
    <w:p w14:paraId="1671AF41" w14:textId="77777777" w:rsidR="008364D0" w:rsidRDefault="00197E9A">
      <w:pPr>
        <w:spacing w:after="120"/>
      </w:pPr>
      <w:r>
        <w:t>Guideline 5.1, name variances. Where a grantor's name in a conveyance differs from the name in which that person took title beyond a middle initial or its absence, require an affidavit of identity, sworn by the person or by someone with personal knowledge, establishing that the two names identify one and the same person. A nickname in place of a given name is a variance under this guideline.</w:t>
      </w:r>
    </w:p>
    <w:p w14:paraId="225CFD7F" w14:textId="77777777" w:rsidR="008364D0" w:rsidRDefault="00197E9A">
      <w:pPr>
        <w:spacing w:after="120"/>
      </w:pPr>
      <w:r>
        <w:t>Guideline 6.3, mortgages without a release of record. A mortgage of record with no satisfaction, release, or assignment of record is an open lien and is a requirement: obtain a recorded satisfaction, or a payoff at closing with the release to follow. The agency may insure over an unreleased mortgage only where the mortgage was recorded more than twenty years before the commitment date, its stated maturity has passed, and no enforcement action is of record.</w:t>
      </w:r>
    </w:p>
    <w:p w14:paraId="6475C368" w14:textId="77777777" w:rsidR="008364D0" w:rsidRDefault="00197E9A">
      <w:pPr>
        <w:spacing w:after="120"/>
      </w:pPr>
      <w:r>
        <w:t>Guideline 7.4, judgment liens. A certificate of judgment filed with the clerk of courts is a lien on the debtor's real property in the county from the date of filing. It attaches to a parcel only where the debtor held a record interest on or after the filing date. A judgment against a name matching a prior owner who conveyed before the filing date does not attach and is reported as examined. A judgment against the current owner is a requirement: payoff at closing with interest and costs, and a recorded sati</w:t>
      </w:r>
      <w:r>
        <w:t>sfaction or release.</w:t>
      </w:r>
    </w:p>
    <w:p w14:paraId="14D6578F" w14:textId="77777777" w:rsidR="008364D0" w:rsidRDefault="00197E9A">
      <w:pPr>
        <w:spacing w:after="120"/>
      </w:pPr>
      <w:r>
        <w:t>Guideline 8.1, legal descriptions. Where a conveyance in the chain describes less land than the grantor held of record, record title to the omitted land remains in that grantor. Require a corrective conveyance from the record owner, with the owner's spouse joining to release dower, or a judgment quieting title, before insuring the omitted land.</w:t>
      </w:r>
    </w:p>
    <w:p w14:paraId="7DE9B634" w14:textId="77777777" w:rsidR="008364D0" w:rsidRDefault="00197E9A">
      <w:pPr>
        <w:spacing w:after="120"/>
      </w:pPr>
      <w:r>
        <w:t>Guideline 9.2, taxes and assessments. Delinquent installments of real estate taxes and special assessments, with statutory penalty, are requirements to be paid at closing. Taxes and assessments for the current year that are not yet due and payable are a standard exception. Special assessments certified to the duplicate are excepted for the installments not yet due.</w:t>
      </w:r>
    </w:p>
    <w:p w14:paraId="09FFDE02" w14:textId="77777777" w:rsidR="008364D0" w:rsidRDefault="00197E9A">
      <w:pPr>
        <w:spacing w:after="120"/>
      </w:pPr>
      <w:r>
        <w:t>Guideline 10.5, released liens. A mechanics lien, mortgage, or other lien released by an instrument of record that references the lien is cleared and is not a requirement. Report it in the chain and move on.</w:t>
      </w:r>
    </w:p>
    <w:sectPr w:rsidR="008364D0"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198289">
    <w:abstractNumId w:val="8"/>
  </w:num>
  <w:num w:numId="2" w16cid:durableId="1864320366">
    <w:abstractNumId w:val="6"/>
  </w:num>
  <w:num w:numId="3" w16cid:durableId="1816486954">
    <w:abstractNumId w:val="5"/>
  </w:num>
  <w:num w:numId="4" w16cid:durableId="1098912743">
    <w:abstractNumId w:val="4"/>
  </w:num>
  <w:num w:numId="5" w16cid:durableId="735471383">
    <w:abstractNumId w:val="7"/>
  </w:num>
  <w:num w:numId="6" w16cid:durableId="1562016434">
    <w:abstractNumId w:val="3"/>
  </w:num>
  <w:num w:numId="7" w16cid:durableId="54817525">
    <w:abstractNumId w:val="2"/>
  </w:num>
  <w:num w:numId="8" w16cid:durableId="2025477443">
    <w:abstractNumId w:val="1"/>
  </w:num>
  <w:num w:numId="9" w16cid:durableId="169449986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12183"/>
    <w:rsid w:val="0015074B"/>
    <w:rsid w:val="00197E9A"/>
    <w:rsid w:val="0029639D"/>
    <w:rsid w:val="00326F90"/>
    <w:rsid w:val="008364D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377A2"/>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23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2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813</Words>
  <Characters>4639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order HLT-26-2214</dc:title>
  <dc:subject/>
  <dc:creator>Priya Ramanathan</dc:creator>
  <cp:keywords/>
  <dc:description/>
  <cp:lastModifiedBy>Priya Ramanathan</cp:lastModifiedBy>
  <cp:revision>1</cp:revision>
  <dcterms:created xsi:type="dcterms:W3CDTF">2026-10-05T08:31:02Z</dcterms:created>
  <dcterms:modified xsi:type="dcterms:W3CDTF">2026-10-05T16:12:49Z</dcterms:modified>
  <cp:category/>
</cp:coreProperties>
</file>