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3E904" w14:textId="77777777" w:rsidR="00115439" w:rsidRDefault="003B7B14">
      <w:pPr>
        <w:spacing w:after="0"/>
      </w:pPr>
      <w:r>
        <w:rPr>
          <w:b/>
          <w:sz w:val="26"/>
        </w:rPr>
        <w:t>Pruett &amp; Sanchez LLP</w:t>
      </w:r>
    </w:p>
    <w:p w14:paraId="066F021E" w14:textId="77777777" w:rsidR="00115439" w:rsidRDefault="003B7B14">
      <w:pPr>
        <w:spacing w:after="160"/>
      </w:pPr>
      <w:r>
        <w:t>Attorneys at Law, 140 East Washington Street, Suite 900, Indianapolis, Indiana 46204</w:t>
      </w:r>
    </w:p>
    <w:p w14:paraId="6BB0F8B3" w14:textId="77777777" w:rsidR="00115439" w:rsidRDefault="003B7B14">
      <w:pPr>
        <w:spacing w:after="160"/>
      </w:pPr>
      <w:r>
        <w:t>October 2, 2026</w:t>
      </w:r>
    </w:p>
    <w:p w14:paraId="7F41CB45" w14:textId="77777777" w:rsidR="00115439" w:rsidRDefault="003B7B14">
      <w:pPr>
        <w:spacing w:after="40"/>
      </w:pPr>
      <w:r>
        <w:rPr>
          <w:i/>
        </w:rPr>
        <w:t>Via email and certified mail</w:t>
      </w:r>
    </w:p>
    <w:p w14:paraId="1A200F3A" w14:textId="77777777" w:rsidR="00115439" w:rsidRDefault="003B7B14">
      <w:pPr>
        <w:spacing w:after="0"/>
      </w:pPr>
      <w:r>
        <w:t>Delia Okonjo, Vice President of Human Resources and General Counsel</w:t>
      </w:r>
    </w:p>
    <w:p w14:paraId="5AF4F2F8" w14:textId="77777777" w:rsidR="00115439" w:rsidRDefault="003B7B14">
      <w:pPr>
        <w:spacing w:after="0"/>
      </w:pPr>
      <w:r>
        <w:t>Voss-Kettering Supply Company</w:t>
      </w:r>
    </w:p>
    <w:p w14:paraId="0219F834" w14:textId="77777777" w:rsidR="00115439" w:rsidRDefault="003B7B14">
      <w:pPr>
        <w:spacing w:after="160"/>
      </w:pPr>
      <w:r>
        <w:t>2900 Coliseum Boulevard West, Fort Wayne, Indiana 46808</w:t>
      </w:r>
    </w:p>
    <w:p w14:paraId="395389C7" w14:textId="77777777" w:rsidR="00115439" w:rsidRDefault="003B7B14">
      <w:pPr>
        <w:spacing w:after="160"/>
      </w:pPr>
      <w:r>
        <w:rPr>
          <w:b/>
        </w:rPr>
        <w:t>Re: Kendra Voight, unpaid overtime, Fair Labor Standards Act</w:t>
      </w:r>
    </w:p>
    <w:p w14:paraId="54D97B8C" w14:textId="77777777" w:rsidR="00115439" w:rsidRDefault="003B7B14">
      <w:pPr>
        <w:spacing w:after="120"/>
      </w:pPr>
      <w:r>
        <w:t>Dear Ms. Okonjo:</w:t>
      </w:r>
    </w:p>
    <w:p w14:paraId="36659C0D" w14:textId="77777777" w:rsidR="00115439" w:rsidRDefault="003B7B14">
      <w:pPr>
        <w:spacing w:after="120"/>
      </w:pPr>
      <w:r>
        <w:t>This firm represents Kendra Voight, employed by Voss-Kettering Supply Company as the assistant store manager of store 14 in Kokomo since March 2022. Ms. Voight has been classified as exempt from overtime and paid a salary. That classification is wrong. Ms. Voight's work at store 14 consists of running the register, stocking, receiving freight and serving customers alongside a single full-time associate and a part-time associate. She does not hire, fire or discipline anyone, and every hiring decision at stor</w:t>
      </w:r>
      <w:r>
        <w:t>e 14 is made by the district manager. Her primary duty is not management, and she does not direct the work of two or more full-time employees.</w:t>
      </w:r>
    </w:p>
    <w:p w14:paraId="732071AA" w14:textId="77777777" w:rsidR="00115439" w:rsidRDefault="003B7B14">
      <w:pPr>
        <w:spacing w:after="120"/>
      </w:pPr>
      <w:r>
        <w:t xml:space="preserve">Ms. Voight has worked between fifty and fifty-five hours in a typical week for the whole of her employment, as the store's badge records will show. At her salary of $800 per week her regular rate is $20.00 per hour, and she is owed overtime at $30.00 per hour for every hour over forty. Over the two years the statute allows, at twelve overtime hours a week, that is $37,440.00 in unpaid overtime, plus an equal amount in liquidated damages, for a demand of $74,880.00, together with attorney's fees. We believe </w:t>
      </w:r>
      <w:r>
        <w:t>the violation is willful, since the company rewrote her position description in 2024 to recite duties she does not perform, and we reserve the right to seek a third year.</w:t>
      </w:r>
    </w:p>
    <w:p w14:paraId="3EB589E2" w14:textId="77777777" w:rsidR="00115439" w:rsidRDefault="003B7B14">
      <w:pPr>
        <w:spacing w:after="120"/>
      </w:pPr>
      <w:r>
        <w:t>The facts are not in dispute on the company's own documents. The assistant store manager description the company adopted in January 2024 recites that the position directs two or more full-time associates and makes hiring recommendations that carry particular weight. Store 14 has had one full-time associate for most of the last two years, and the district manager, not Ms. Voight, has made every hiring decision there. The description was written to fit the exemption, not to describe the job. That is the willf</w:t>
      </w:r>
      <w:r>
        <w:t>ulness the statute speaks of, and it extends the recovery period to three years and defeats any good faith defense to liquidated damages.</w:t>
      </w:r>
    </w:p>
    <w:p w14:paraId="557777FF" w14:textId="77777777" w:rsidR="00115439" w:rsidRDefault="003B7B14">
      <w:pPr>
        <w:spacing w:after="120"/>
      </w:pPr>
      <w:r>
        <w:t>Ms. Voight's claim arises under the overtime provisions of the Fair Labor Standards Act, which entitle a non-exempt employee to one and one-half times the regular rate for hours over forty in a workweek, together with an equal amount as liquidated damages and reasonable attorney's fees and costs. The regular rate we have used is the salary divided by forty, which is the rate the company itself applies when it describes the salary as covering a forty-hour week. If the company contends that the salary was int</w:t>
      </w:r>
      <w:r>
        <w:t>ended to cover all hours worked, we will address that contention when it is made.</w:t>
      </w:r>
    </w:p>
    <w:p w14:paraId="634343C2" w14:textId="77777777" w:rsidR="00115439" w:rsidRDefault="003B7B14">
      <w:pPr>
        <w:spacing w:after="120"/>
      </w:pPr>
      <w:r>
        <w:t xml:space="preserve">We ask that the company respond by November 2, 2026 with its position and with the badge records for Ms. Voight from October 2024 to date, her compensation history, and the bonus </w:t>
      </w:r>
      <w:r>
        <w:lastRenderedPageBreak/>
        <w:t>payments made to her over the same period. We also ask that the company preserve the badge records, schedules and payroll records for every assistant store manager for the period from October 2023 forward. If the matter is not resolved we will file in the Northern District of Indiana without further notice, and we will seek to proceed on behalf of every assistant store manager the company has classified in the same way.</w:t>
      </w:r>
    </w:p>
    <w:p w14:paraId="268B4651" w14:textId="77777777" w:rsidR="00115439" w:rsidRDefault="003B7B14">
      <w:r>
        <w:t>Sincerely,</w:t>
      </w:r>
    </w:p>
    <w:p w14:paraId="481546ED" w14:textId="77777777" w:rsidR="00115439" w:rsidRDefault="003B7B14">
      <w:pPr>
        <w:spacing w:after="0"/>
      </w:pPr>
      <w:r>
        <w:t>Ramona Pruett</w:t>
      </w:r>
    </w:p>
    <w:p w14:paraId="734EC018" w14:textId="77777777" w:rsidR="00115439" w:rsidRDefault="003B7B14">
      <w:pPr>
        <w:spacing w:after="120"/>
      </w:pPr>
      <w:r>
        <w:t>Pruett &amp; Sanchez LLP</w:t>
      </w:r>
    </w:p>
    <w:sectPr w:rsidR="0011543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626298">
    <w:abstractNumId w:val="8"/>
  </w:num>
  <w:num w:numId="2" w16cid:durableId="2088334169">
    <w:abstractNumId w:val="6"/>
  </w:num>
  <w:num w:numId="3" w16cid:durableId="1151944021">
    <w:abstractNumId w:val="5"/>
  </w:num>
  <w:num w:numId="4" w16cid:durableId="575745961">
    <w:abstractNumId w:val="4"/>
  </w:num>
  <w:num w:numId="5" w16cid:durableId="1817841415">
    <w:abstractNumId w:val="7"/>
  </w:num>
  <w:num w:numId="6" w16cid:durableId="1497652154">
    <w:abstractNumId w:val="3"/>
  </w:num>
  <w:num w:numId="7" w16cid:durableId="1139809090">
    <w:abstractNumId w:val="2"/>
  </w:num>
  <w:num w:numId="8" w16cid:durableId="1684821002">
    <w:abstractNumId w:val="1"/>
  </w:num>
  <w:num w:numId="9" w16cid:durableId="1109473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15439"/>
    <w:rsid w:val="0015074B"/>
    <w:rsid w:val="0029639D"/>
    <w:rsid w:val="00326F90"/>
    <w:rsid w:val="003B7B14"/>
    <w:rsid w:val="00837A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C3A27"/>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2C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2C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letter, Kendra Voight</dc:title>
  <dc:subject/>
  <dc:creator>Pruett &amp; Sanchez LLP</dc:creator>
  <cp:keywords/>
  <dc:description/>
  <cp:lastModifiedBy>Lorna Achebe</cp:lastModifiedBy>
  <cp:revision>1</cp:revision>
  <dcterms:created xsi:type="dcterms:W3CDTF">2026-10-02T09:12:08Z</dcterms:created>
  <dcterms:modified xsi:type="dcterms:W3CDTF">2026-10-02T09:40:19Z</dcterms:modified>
  <cp:category/>
</cp:coreProperties>
</file>