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7B33A9" w14:textId="77777777" w:rsidR="00A95E63" w:rsidRDefault="001B508C">
      <w:pPr>
        <w:spacing w:after="0"/>
      </w:pPr>
      <w:r>
        <w:rPr>
          <w:b/>
          <w:sz w:val="26"/>
        </w:rPr>
        <w:t>Voss-Kettering Supply Company</w:t>
      </w:r>
    </w:p>
    <w:p w14:paraId="30799C42" w14:textId="77777777" w:rsidR="00A95E63" w:rsidRDefault="001B508C">
      <w:pPr>
        <w:spacing w:after="160"/>
      </w:pPr>
      <w:r>
        <w:rPr>
          <w:b/>
          <w:sz w:val="24"/>
        </w:rPr>
        <w:t>Human Resources policy excerpts and wage and hour reference, current edition September 2026</w:t>
      </w:r>
    </w:p>
    <w:p w14:paraId="446C5CDA" w14:textId="77777777" w:rsidR="00A95E63" w:rsidRDefault="001B508C">
      <w:pPr>
        <w:pStyle w:val="Heading1"/>
      </w:pPr>
      <w:r>
        <w:t>Policy 4.6, Classification of positions</w:t>
      </w:r>
    </w:p>
    <w:p w14:paraId="0C32FEF9" w14:textId="77777777" w:rsidR="00A95E63" w:rsidRDefault="001B508C">
      <w:pPr>
        <w:spacing w:after="120"/>
      </w:pPr>
      <w:r>
        <w:t xml:space="preserve">A position is classified exempt from overtime only where it meets both the salary test and the duties test of the executive, administrative or professional exemption under the Fair Labor Standards Act. The salary test requires a salary of not less than $684 per week, paid on a salary basis. The duties test for the executive exemption requires that the employee's primary duty is management of the enterprise or of a customarily recognized department or subdivision, that the employee customarily and regularly </w:t>
      </w:r>
      <w:r>
        <w:t>directs the work of two or more other full-time employees or their equivalent, and that the employee has the authority to hire or fire other employees or that the employee's suggestions and recommendations as to hiring, firing, advancement, promotion or other change of status are given particular weight. Two half-time employees count as one full-time employee for this purpose. Indiana applies the federal standard and sets no higher salary threshold.</w:t>
      </w:r>
    </w:p>
    <w:p w14:paraId="1B6C5FE4" w14:textId="77777777" w:rsidR="00A95E63" w:rsidRDefault="001B508C">
      <w:pPr>
        <w:spacing w:after="120"/>
      </w:pPr>
      <w:r>
        <w:t>A position that fails either test is non-exempt whatever its title or its description, and the employee is owed overtime for hours worked over 40 in a workweek. The company's workweek runs Monday through Sunday.</w:t>
      </w:r>
    </w:p>
    <w:p w14:paraId="27A7619B" w14:textId="77777777" w:rsidR="00A95E63" w:rsidRDefault="001B508C">
      <w:pPr>
        <w:pStyle w:val="Heading1"/>
      </w:pPr>
      <w:r>
        <w:t>Policy 4.7, Salary and the standard workweek</w:t>
      </w:r>
    </w:p>
    <w:p w14:paraId="5B583E7D" w14:textId="77777777" w:rsidR="00A95E63" w:rsidRDefault="001B508C">
      <w:pPr>
        <w:spacing w:after="120"/>
      </w:pPr>
      <w:r>
        <w:t>An exempt employee's salary is compensation for the standard 40-hour workweek. Where an exempt employee is found to have been misclassified, the regular rate of pay for a workweek is the weekly salary in effect for that week, plus that week's share of any nondiscretionary bonus, divided by 40, and overtime is owed at one and one-half times the regular rate for every hour worked over 40 in the workweek, since the salary paid no part of those hours.</w:t>
      </w:r>
    </w:p>
    <w:p w14:paraId="636230AD" w14:textId="77777777" w:rsidR="00A95E63" w:rsidRDefault="001B508C">
      <w:pPr>
        <w:pStyle w:val="Heading1"/>
      </w:pPr>
      <w:r>
        <w:t>Policy 4.8, Store Performance Bonus Plan</w:t>
      </w:r>
    </w:p>
    <w:p w14:paraId="48F252EF" w14:textId="77777777" w:rsidR="00A95E63" w:rsidRDefault="001B508C">
      <w:pPr>
        <w:spacing w:after="120"/>
      </w:pPr>
      <w:r>
        <w:t>Assistant managers and store managers earn a quarterly bonus when the store meets the sales and shrink targets set at the start of the quarter. The bonus is a term of employment communicated in advance and is not discretionary. For any regular rate computation the quarterly bonus is allocated in equal shares to the thirteen workweeks of the quarter it was earned in, whatever week it was paid.</w:t>
      </w:r>
    </w:p>
    <w:p w14:paraId="13647EDB" w14:textId="77777777" w:rsidR="00A95E63" w:rsidRDefault="001B508C">
      <w:pPr>
        <w:pStyle w:val="Heading1"/>
      </w:pPr>
      <w:r>
        <w:t>Policy 4.9, Records and hours</w:t>
      </w:r>
    </w:p>
    <w:p w14:paraId="11635DD8" w14:textId="77777777" w:rsidR="00A95E63" w:rsidRDefault="001B508C">
      <w:pPr>
        <w:spacing w:after="120"/>
      </w:pPr>
      <w:r>
        <w:t>Exempt employees do not record time, but every employee badges in and out through the store's access system, and the badge record is the company's best evidence of hours worked when hours are in question. Weekly badge hours are the hours between the first badge-in and the last badge-out of each day, less the recorded meal period, summed for the workweek. A week with no badge hours is a week of paid time off and is not a workweek worked.</w:t>
      </w:r>
    </w:p>
    <w:p w14:paraId="2C13E97B" w14:textId="77777777" w:rsidR="00A95E63" w:rsidRDefault="001B508C">
      <w:pPr>
        <w:pStyle w:val="Heading1"/>
      </w:pPr>
      <w:r>
        <w:lastRenderedPageBreak/>
        <w:t>Wage and hour reference, back pay and exposure</w:t>
      </w:r>
    </w:p>
    <w:p w14:paraId="12F0EE80" w14:textId="77777777" w:rsidR="00A95E63" w:rsidRDefault="001B508C">
      <w:pPr>
        <w:spacing w:after="120"/>
      </w:pPr>
      <w:r>
        <w:t>A claim for unpaid overtime under the Fair Labor Standards Act reaches back two years from the date the claim is made, or three years where the violation is willful. A court may award liquidated damages equal to the unpaid overtime. When Human Resources reviews a claim it computes the two-year figure week by week from the badge record, notes the third year as exposure without computing it unless the records are pulled, and states the liquidated damages exposure as a separate figure.</w:t>
      </w:r>
    </w:p>
    <w:p w14:paraId="3FFA5DAC" w14:textId="77777777" w:rsidR="00A95E63" w:rsidRDefault="001B508C">
      <w:pPr>
        <w:spacing w:after="120"/>
      </w:pPr>
      <w:r>
        <w:t>A review of one employee's claim covers every employee in the same position whose classification rests on the same facts, so that the company corrects the classification for all of them at once rather than one claim at a time.</w:t>
      </w:r>
    </w:p>
    <w:p w14:paraId="02E859AB" w14:textId="77777777" w:rsidR="00A95E63" w:rsidRDefault="001B508C">
      <w:pPr>
        <w:spacing w:after="120"/>
      </w:pPr>
      <w:r>
        <w:t>Approved by Delia Okonjo, Vice President of Human Resources and General Counsel. Questions on classification go to Lorna Achebe, Human Resources Manager, Stores.</w:t>
      </w:r>
    </w:p>
    <w:sectPr w:rsidR="00A95E6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443580">
    <w:abstractNumId w:val="8"/>
  </w:num>
  <w:num w:numId="2" w16cid:durableId="125242196">
    <w:abstractNumId w:val="6"/>
  </w:num>
  <w:num w:numId="3" w16cid:durableId="1833134250">
    <w:abstractNumId w:val="5"/>
  </w:num>
  <w:num w:numId="4" w16cid:durableId="1424449885">
    <w:abstractNumId w:val="4"/>
  </w:num>
  <w:num w:numId="5" w16cid:durableId="728842881">
    <w:abstractNumId w:val="7"/>
  </w:num>
  <w:num w:numId="6" w16cid:durableId="1668023579">
    <w:abstractNumId w:val="3"/>
  </w:num>
  <w:num w:numId="7" w16cid:durableId="1715502217">
    <w:abstractNumId w:val="2"/>
  </w:num>
  <w:num w:numId="8" w16cid:durableId="1568805108">
    <w:abstractNumId w:val="1"/>
  </w:num>
  <w:num w:numId="9" w16cid:durableId="13329462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1B508C"/>
    <w:rsid w:val="0029639D"/>
    <w:rsid w:val="00326F90"/>
    <w:rsid w:val="00A95E63"/>
    <w:rsid w:val="00AA1D8D"/>
    <w:rsid w:val="00B47730"/>
    <w:rsid w:val="00B919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DEF31"/>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A3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A3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policy excerpts and wage and hour reference, September 2026</dc:title>
  <dc:subject/>
  <dc:creator>Voss-Kettering Supply Company Human Resources</dc:creator>
  <cp:keywords/>
  <dc:description/>
  <cp:lastModifiedBy>Lorna Achebe</cp:lastModifiedBy>
  <cp:revision>1</cp:revision>
  <dcterms:created xsi:type="dcterms:W3CDTF">2026-09-03T11:26:33Z</dcterms:created>
  <dcterms:modified xsi:type="dcterms:W3CDTF">2026-09-08T15:50:02Z</dcterms:modified>
  <cp:category/>
</cp:coreProperties>
</file>