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B13227" w14:textId="77777777" w:rsidR="00CF6C94" w:rsidRDefault="00DD0924">
      <w:pPr>
        <w:spacing w:after="0"/>
      </w:pPr>
      <w:r>
        <w:rPr>
          <w:b/>
          <w:sz w:val="26"/>
        </w:rPr>
        <w:t>City of Wyoming, Michigan - Clean Water Plant</w:t>
      </w:r>
    </w:p>
    <w:p w14:paraId="58DDF1CF" w14:textId="77777777" w:rsidR="00CF6C94" w:rsidRDefault="00DD0924">
      <w:pPr>
        <w:spacing w:after="0"/>
      </w:pPr>
      <w:r>
        <w:rPr>
          <w:b/>
          <w:sz w:val="24"/>
        </w:rPr>
        <w:t>Industrial Pretreatment Program</w:t>
      </w:r>
    </w:p>
    <w:p w14:paraId="559284C3" w14:textId="77777777" w:rsidR="00CF6C94" w:rsidRDefault="00DD0924">
      <w:pPr>
        <w:spacing w:after="160"/>
      </w:pPr>
      <w:r>
        <w:rPr>
          <w:b/>
          <w:sz w:val="24"/>
        </w:rPr>
        <w:t>Wastewater Discharge Permit No. IP-0421</w:t>
      </w:r>
    </w:p>
    <w:p w14:paraId="70FC22A0" w14:textId="77777777" w:rsidR="00CF6C94" w:rsidRDefault="00DD0924">
      <w:r>
        <w:rPr>
          <w:i/>
        </w:rPr>
        <w:t>Permittee: Vandeveer Plating LLC, 2140 Chicago Drive SW, Wyoming, Michigan 49519. Discharge point: Outfall 001, the effluent of the metal finishing wastewater pretreatment system, to the sanitary sewer at manhole 44-118. Effective November 1, 2024; expires October 31, 2029. Categorical standard: 40 CFR Part 433, metal finishing, pretreatment standards for existing sources.</w:t>
      </w:r>
    </w:p>
    <w:p w14:paraId="13C942A6" w14:textId="77777777" w:rsidR="00CF6C94" w:rsidRDefault="00DD0924">
      <w:pPr>
        <w:pStyle w:val="Heading1"/>
      </w:pPr>
      <w:r>
        <w:t>Part I. Effluent limitations</w:t>
      </w:r>
    </w:p>
    <w:p w14:paraId="2B0E8AC9" w14:textId="77777777" w:rsidR="00CF6C94" w:rsidRDefault="00DD0924">
      <w:pPr>
        <w:spacing w:after="120"/>
      </w:pPr>
      <w:r>
        <w:t>The permittee shall not discharge from Outfall 001 wastewater exceeding the following limitations. Concentrations are in milligrams per liter and apply to the effluent of the pretreatment system before any dilution.</w:t>
      </w:r>
    </w:p>
    <w:tbl>
      <w:tblPr>
        <w:tblStyle w:val="TableGrid"/>
        <w:tblW w:w="0" w:type="auto"/>
        <w:tblLook w:val="04A0" w:firstRow="1" w:lastRow="0" w:firstColumn="1" w:lastColumn="0" w:noHBand="0" w:noVBand="1"/>
      </w:tblPr>
      <w:tblGrid>
        <w:gridCol w:w="1872"/>
        <w:gridCol w:w="1872"/>
        <w:gridCol w:w="1872"/>
        <w:gridCol w:w="1872"/>
        <w:gridCol w:w="1872"/>
      </w:tblGrid>
      <w:tr w:rsidR="00CF6C94" w14:paraId="011B5A9A" w14:textId="77777777">
        <w:tc>
          <w:tcPr>
            <w:tcW w:w="1872" w:type="dxa"/>
            <w:shd w:val="clear" w:color="auto" w:fill="DCEBE3"/>
          </w:tcPr>
          <w:p w14:paraId="67EF0880" w14:textId="77777777" w:rsidR="00CF6C94" w:rsidRDefault="00DD0924">
            <w:r>
              <w:rPr>
                <w:b/>
              </w:rPr>
              <w:t>Parameter</w:t>
            </w:r>
          </w:p>
        </w:tc>
        <w:tc>
          <w:tcPr>
            <w:tcW w:w="1872" w:type="dxa"/>
            <w:shd w:val="clear" w:color="auto" w:fill="DCEBE3"/>
          </w:tcPr>
          <w:p w14:paraId="5825FB47" w14:textId="77777777" w:rsidR="00CF6C94" w:rsidRDefault="00DD0924">
            <w:r>
              <w:rPr>
                <w:b/>
              </w:rPr>
              <w:t>Daily maximum</w:t>
            </w:r>
          </w:p>
        </w:tc>
        <w:tc>
          <w:tcPr>
            <w:tcW w:w="1872" w:type="dxa"/>
            <w:shd w:val="clear" w:color="auto" w:fill="DCEBE3"/>
          </w:tcPr>
          <w:p w14:paraId="4425B865" w14:textId="77777777" w:rsidR="00CF6C94" w:rsidRDefault="00DD0924">
            <w:r>
              <w:rPr>
                <w:b/>
              </w:rPr>
              <w:t>Monthly average</w:t>
            </w:r>
          </w:p>
        </w:tc>
        <w:tc>
          <w:tcPr>
            <w:tcW w:w="1872" w:type="dxa"/>
            <w:shd w:val="clear" w:color="auto" w:fill="DCEBE3"/>
          </w:tcPr>
          <w:p w14:paraId="761FE037" w14:textId="77777777" w:rsidR="00CF6C94" w:rsidRDefault="00DD0924">
            <w:r>
              <w:rPr>
                <w:b/>
              </w:rPr>
              <w:t>Sample type</w:t>
            </w:r>
          </w:p>
        </w:tc>
        <w:tc>
          <w:tcPr>
            <w:tcW w:w="1872" w:type="dxa"/>
            <w:shd w:val="clear" w:color="auto" w:fill="DCEBE3"/>
          </w:tcPr>
          <w:p w14:paraId="3FE9A2E7" w14:textId="77777777" w:rsidR="00CF6C94" w:rsidRDefault="00DD0924">
            <w:r>
              <w:rPr>
                <w:b/>
              </w:rPr>
              <w:t>Frequency</w:t>
            </w:r>
          </w:p>
        </w:tc>
      </w:tr>
      <w:tr w:rsidR="00CF6C94" w14:paraId="38AB827D" w14:textId="77777777">
        <w:tc>
          <w:tcPr>
            <w:tcW w:w="1872" w:type="dxa"/>
          </w:tcPr>
          <w:p w14:paraId="116F81E4" w14:textId="77777777" w:rsidR="00CF6C94" w:rsidRDefault="00DD0924">
            <w:r>
              <w:t>Cadmium, total</w:t>
            </w:r>
          </w:p>
        </w:tc>
        <w:tc>
          <w:tcPr>
            <w:tcW w:w="1872" w:type="dxa"/>
          </w:tcPr>
          <w:p w14:paraId="7DD6C74A" w14:textId="77777777" w:rsidR="00CF6C94" w:rsidRDefault="00DD0924">
            <w:r>
              <w:t>0.11</w:t>
            </w:r>
          </w:p>
        </w:tc>
        <w:tc>
          <w:tcPr>
            <w:tcW w:w="1872" w:type="dxa"/>
          </w:tcPr>
          <w:p w14:paraId="33A867D1" w14:textId="77777777" w:rsidR="00CF6C94" w:rsidRDefault="00DD0924">
            <w:r>
              <w:t>0.07</w:t>
            </w:r>
          </w:p>
        </w:tc>
        <w:tc>
          <w:tcPr>
            <w:tcW w:w="1872" w:type="dxa"/>
          </w:tcPr>
          <w:p w14:paraId="5EA39DCE" w14:textId="77777777" w:rsidR="00CF6C94" w:rsidRDefault="00DD0924">
            <w:r>
              <w:t>24-hour composite</w:t>
            </w:r>
          </w:p>
        </w:tc>
        <w:tc>
          <w:tcPr>
            <w:tcW w:w="1872" w:type="dxa"/>
          </w:tcPr>
          <w:p w14:paraId="45E9E2B8" w14:textId="77777777" w:rsidR="00CF6C94" w:rsidRDefault="00DD0924">
            <w:r>
              <w:t>Twice per month</w:t>
            </w:r>
          </w:p>
        </w:tc>
      </w:tr>
      <w:tr w:rsidR="00CF6C94" w14:paraId="1265368F" w14:textId="77777777">
        <w:tc>
          <w:tcPr>
            <w:tcW w:w="1872" w:type="dxa"/>
          </w:tcPr>
          <w:p w14:paraId="26B9C07D" w14:textId="77777777" w:rsidR="00CF6C94" w:rsidRDefault="00DD0924">
            <w:r>
              <w:t>Chromium, total</w:t>
            </w:r>
          </w:p>
        </w:tc>
        <w:tc>
          <w:tcPr>
            <w:tcW w:w="1872" w:type="dxa"/>
          </w:tcPr>
          <w:p w14:paraId="3F1A5566" w14:textId="77777777" w:rsidR="00CF6C94" w:rsidRDefault="00DD0924">
            <w:r>
              <w:t>2.77</w:t>
            </w:r>
          </w:p>
        </w:tc>
        <w:tc>
          <w:tcPr>
            <w:tcW w:w="1872" w:type="dxa"/>
          </w:tcPr>
          <w:p w14:paraId="704B09A9" w14:textId="77777777" w:rsidR="00CF6C94" w:rsidRDefault="00DD0924">
            <w:r>
              <w:t>1.71</w:t>
            </w:r>
          </w:p>
        </w:tc>
        <w:tc>
          <w:tcPr>
            <w:tcW w:w="1872" w:type="dxa"/>
          </w:tcPr>
          <w:p w14:paraId="09BE8FE9" w14:textId="77777777" w:rsidR="00CF6C94" w:rsidRDefault="00DD0924">
            <w:r>
              <w:t>24-hour composite</w:t>
            </w:r>
          </w:p>
        </w:tc>
        <w:tc>
          <w:tcPr>
            <w:tcW w:w="1872" w:type="dxa"/>
          </w:tcPr>
          <w:p w14:paraId="6EA38654" w14:textId="77777777" w:rsidR="00CF6C94" w:rsidRDefault="00DD0924">
            <w:r>
              <w:t>Twice per month</w:t>
            </w:r>
          </w:p>
        </w:tc>
      </w:tr>
      <w:tr w:rsidR="00CF6C94" w14:paraId="2318CAEA" w14:textId="77777777">
        <w:tc>
          <w:tcPr>
            <w:tcW w:w="1872" w:type="dxa"/>
          </w:tcPr>
          <w:p w14:paraId="4FEAD0F5" w14:textId="77777777" w:rsidR="00CF6C94" w:rsidRDefault="00DD0924">
            <w:r>
              <w:t>Copper, total</w:t>
            </w:r>
          </w:p>
        </w:tc>
        <w:tc>
          <w:tcPr>
            <w:tcW w:w="1872" w:type="dxa"/>
          </w:tcPr>
          <w:p w14:paraId="7E5F2C01" w14:textId="77777777" w:rsidR="00CF6C94" w:rsidRDefault="00DD0924">
            <w:r>
              <w:t>3.38</w:t>
            </w:r>
          </w:p>
        </w:tc>
        <w:tc>
          <w:tcPr>
            <w:tcW w:w="1872" w:type="dxa"/>
          </w:tcPr>
          <w:p w14:paraId="24281CE0" w14:textId="77777777" w:rsidR="00CF6C94" w:rsidRDefault="00DD0924">
            <w:r>
              <w:t>2.07</w:t>
            </w:r>
          </w:p>
        </w:tc>
        <w:tc>
          <w:tcPr>
            <w:tcW w:w="1872" w:type="dxa"/>
          </w:tcPr>
          <w:p w14:paraId="31E87041" w14:textId="77777777" w:rsidR="00CF6C94" w:rsidRDefault="00DD0924">
            <w:r>
              <w:t>24-hour composite</w:t>
            </w:r>
          </w:p>
        </w:tc>
        <w:tc>
          <w:tcPr>
            <w:tcW w:w="1872" w:type="dxa"/>
          </w:tcPr>
          <w:p w14:paraId="3D272DE7" w14:textId="77777777" w:rsidR="00CF6C94" w:rsidRDefault="00DD0924">
            <w:r>
              <w:t>Twice per month</w:t>
            </w:r>
          </w:p>
        </w:tc>
      </w:tr>
      <w:tr w:rsidR="00CF6C94" w14:paraId="4F547F25" w14:textId="77777777">
        <w:tc>
          <w:tcPr>
            <w:tcW w:w="1872" w:type="dxa"/>
          </w:tcPr>
          <w:p w14:paraId="092D3E3D" w14:textId="77777777" w:rsidR="00CF6C94" w:rsidRDefault="00DD0924">
            <w:r>
              <w:t>Nickel, total</w:t>
            </w:r>
          </w:p>
        </w:tc>
        <w:tc>
          <w:tcPr>
            <w:tcW w:w="1872" w:type="dxa"/>
          </w:tcPr>
          <w:p w14:paraId="27B96BB9" w14:textId="77777777" w:rsidR="00CF6C94" w:rsidRDefault="00DD0924">
            <w:r>
              <w:t>3.98</w:t>
            </w:r>
          </w:p>
        </w:tc>
        <w:tc>
          <w:tcPr>
            <w:tcW w:w="1872" w:type="dxa"/>
          </w:tcPr>
          <w:p w14:paraId="0F666F94" w14:textId="77777777" w:rsidR="00CF6C94" w:rsidRDefault="00DD0924">
            <w:r>
              <w:t>2.38</w:t>
            </w:r>
          </w:p>
        </w:tc>
        <w:tc>
          <w:tcPr>
            <w:tcW w:w="1872" w:type="dxa"/>
          </w:tcPr>
          <w:p w14:paraId="67D32C4C" w14:textId="77777777" w:rsidR="00CF6C94" w:rsidRDefault="00DD0924">
            <w:r>
              <w:t>24-hour composite</w:t>
            </w:r>
          </w:p>
        </w:tc>
        <w:tc>
          <w:tcPr>
            <w:tcW w:w="1872" w:type="dxa"/>
          </w:tcPr>
          <w:p w14:paraId="2B574DE8" w14:textId="77777777" w:rsidR="00CF6C94" w:rsidRDefault="00DD0924">
            <w:r>
              <w:t>Twice per month</w:t>
            </w:r>
          </w:p>
        </w:tc>
      </w:tr>
      <w:tr w:rsidR="00CF6C94" w14:paraId="06561921" w14:textId="77777777">
        <w:tc>
          <w:tcPr>
            <w:tcW w:w="1872" w:type="dxa"/>
          </w:tcPr>
          <w:p w14:paraId="779E7B51" w14:textId="77777777" w:rsidR="00CF6C94" w:rsidRDefault="00DD0924">
            <w:r>
              <w:t>Zinc, total</w:t>
            </w:r>
          </w:p>
        </w:tc>
        <w:tc>
          <w:tcPr>
            <w:tcW w:w="1872" w:type="dxa"/>
          </w:tcPr>
          <w:p w14:paraId="15EDBA34" w14:textId="77777777" w:rsidR="00CF6C94" w:rsidRDefault="00DD0924">
            <w:r>
              <w:t>2.61</w:t>
            </w:r>
          </w:p>
        </w:tc>
        <w:tc>
          <w:tcPr>
            <w:tcW w:w="1872" w:type="dxa"/>
          </w:tcPr>
          <w:p w14:paraId="5C0D2665" w14:textId="77777777" w:rsidR="00CF6C94" w:rsidRDefault="00DD0924">
            <w:r>
              <w:t>1.48</w:t>
            </w:r>
          </w:p>
        </w:tc>
        <w:tc>
          <w:tcPr>
            <w:tcW w:w="1872" w:type="dxa"/>
          </w:tcPr>
          <w:p w14:paraId="7F86D1CB" w14:textId="77777777" w:rsidR="00CF6C94" w:rsidRDefault="00DD0924">
            <w:r>
              <w:t>24-hour composite</w:t>
            </w:r>
          </w:p>
        </w:tc>
        <w:tc>
          <w:tcPr>
            <w:tcW w:w="1872" w:type="dxa"/>
          </w:tcPr>
          <w:p w14:paraId="722B6888" w14:textId="77777777" w:rsidR="00CF6C94" w:rsidRDefault="00DD0924">
            <w:r>
              <w:t>Twice per month</w:t>
            </w:r>
          </w:p>
        </w:tc>
      </w:tr>
      <w:tr w:rsidR="00CF6C94" w14:paraId="3CA8F968" w14:textId="77777777">
        <w:tc>
          <w:tcPr>
            <w:tcW w:w="1872" w:type="dxa"/>
          </w:tcPr>
          <w:p w14:paraId="300EB3DF" w14:textId="77777777" w:rsidR="00CF6C94" w:rsidRDefault="00DD0924">
            <w:r>
              <w:t>Cyanide, total</w:t>
            </w:r>
          </w:p>
        </w:tc>
        <w:tc>
          <w:tcPr>
            <w:tcW w:w="1872" w:type="dxa"/>
          </w:tcPr>
          <w:p w14:paraId="3F174449" w14:textId="77777777" w:rsidR="00CF6C94" w:rsidRDefault="00DD0924">
            <w:r>
              <w:t>1.20</w:t>
            </w:r>
          </w:p>
        </w:tc>
        <w:tc>
          <w:tcPr>
            <w:tcW w:w="1872" w:type="dxa"/>
          </w:tcPr>
          <w:p w14:paraId="7AA368ED" w14:textId="77777777" w:rsidR="00CF6C94" w:rsidRDefault="00DD0924">
            <w:r>
              <w:t>0.65</w:t>
            </w:r>
          </w:p>
        </w:tc>
        <w:tc>
          <w:tcPr>
            <w:tcW w:w="1872" w:type="dxa"/>
          </w:tcPr>
          <w:p w14:paraId="69FD4614" w14:textId="77777777" w:rsidR="00CF6C94" w:rsidRDefault="00DD0924">
            <w:r>
              <w:t>Grab</w:t>
            </w:r>
          </w:p>
        </w:tc>
        <w:tc>
          <w:tcPr>
            <w:tcW w:w="1872" w:type="dxa"/>
          </w:tcPr>
          <w:p w14:paraId="34766261" w14:textId="77777777" w:rsidR="00CF6C94" w:rsidRDefault="00DD0924">
            <w:r>
              <w:t>Twice per month</w:t>
            </w:r>
          </w:p>
        </w:tc>
      </w:tr>
      <w:tr w:rsidR="00CF6C94" w14:paraId="425F37B5" w14:textId="77777777">
        <w:tc>
          <w:tcPr>
            <w:tcW w:w="1872" w:type="dxa"/>
          </w:tcPr>
          <w:p w14:paraId="3974E046" w14:textId="77777777" w:rsidR="00CF6C94" w:rsidRDefault="00DD0924">
            <w:r>
              <w:t>pH, standard units</w:t>
            </w:r>
          </w:p>
        </w:tc>
        <w:tc>
          <w:tcPr>
            <w:tcW w:w="1872" w:type="dxa"/>
          </w:tcPr>
          <w:p w14:paraId="53CCC0EF" w14:textId="77777777" w:rsidR="00CF6C94" w:rsidRDefault="00DD0924">
            <w:r>
              <w:t>6.0 to 9.0 at all times</w:t>
            </w:r>
          </w:p>
        </w:tc>
        <w:tc>
          <w:tcPr>
            <w:tcW w:w="1872" w:type="dxa"/>
          </w:tcPr>
          <w:p w14:paraId="7112730D" w14:textId="77777777" w:rsidR="00CF6C94" w:rsidRDefault="00DD0924">
            <w:r>
              <w:t>not applicable</w:t>
            </w:r>
          </w:p>
        </w:tc>
        <w:tc>
          <w:tcPr>
            <w:tcW w:w="1872" w:type="dxa"/>
          </w:tcPr>
          <w:p w14:paraId="6BD4BEF1" w14:textId="77777777" w:rsidR="00CF6C94" w:rsidRDefault="00DD0924">
            <w:r>
              <w:t>Grab and in-line meter</w:t>
            </w:r>
          </w:p>
        </w:tc>
        <w:tc>
          <w:tcPr>
            <w:tcW w:w="1872" w:type="dxa"/>
          </w:tcPr>
          <w:p w14:paraId="5BAE221A" w14:textId="77777777" w:rsidR="00CF6C94" w:rsidRDefault="00DD0924">
            <w:r>
              <w:t>Each event and continuous</w:t>
            </w:r>
          </w:p>
        </w:tc>
      </w:tr>
      <w:tr w:rsidR="00CF6C94" w14:paraId="6D806EF4" w14:textId="77777777">
        <w:tc>
          <w:tcPr>
            <w:tcW w:w="1872" w:type="dxa"/>
          </w:tcPr>
          <w:p w14:paraId="59E8E2AF" w14:textId="77777777" w:rsidR="00CF6C94" w:rsidRDefault="00DD0924">
            <w:r>
              <w:t>Flow, gallons per day</w:t>
            </w:r>
          </w:p>
        </w:tc>
        <w:tc>
          <w:tcPr>
            <w:tcW w:w="1872" w:type="dxa"/>
          </w:tcPr>
          <w:p w14:paraId="564D3BCC" w14:textId="77777777" w:rsidR="00CF6C94" w:rsidRDefault="00DD0924">
            <w:r>
              <w:t>45,000</w:t>
            </w:r>
          </w:p>
        </w:tc>
        <w:tc>
          <w:tcPr>
            <w:tcW w:w="1872" w:type="dxa"/>
          </w:tcPr>
          <w:p w14:paraId="6BFBF459" w14:textId="77777777" w:rsidR="00CF6C94" w:rsidRDefault="00DD0924">
            <w:r>
              <w:t>not applicable</w:t>
            </w:r>
          </w:p>
        </w:tc>
        <w:tc>
          <w:tcPr>
            <w:tcW w:w="1872" w:type="dxa"/>
          </w:tcPr>
          <w:p w14:paraId="3BD9E21C" w14:textId="77777777" w:rsidR="00CF6C94" w:rsidRDefault="00DD0924">
            <w:r>
              <w:t>Totalizing meter</w:t>
            </w:r>
          </w:p>
        </w:tc>
        <w:tc>
          <w:tcPr>
            <w:tcW w:w="1872" w:type="dxa"/>
          </w:tcPr>
          <w:p w14:paraId="30C415AE" w14:textId="77777777" w:rsidR="00CF6C94" w:rsidRDefault="00DD0924">
            <w:r>
              <w:t>Daily</w:t>
            </w:r>
          </w:p>
        </w:tc>
      </w:tr>
    </w:tbl>
    <w:p w14:paraId="732D7010" w14:textId="77777777" w:rsidR="00CF6C94" w:rsidRDefault="00CF6C94">
      <w:pPr>
        <w:spacing w:after="80"/>
      </w:pPr>
    </w:p>
    <w:p w14:paraId="31310588" w14:textId="77777777" w:rsidR="00CF6C94" w:rsidRDefault="00DD0924">
      <w:pPr>
        <w:pStyle w:val="Heading1"/>
      </w:pPr>
      <w:r>
        <w:t>Part II. Monitoring and computation</w:t>
      </w:r>
    </w:p>
    <w:p w14:paraId="40AE05A7" w14:textId="77777777" w:rsidR="00CF6C94" w:rsidRDefault="00DD0924">
      <w:pPr>
        <w:spacing w:after="120"/>
      </w:pPr>
      <w:r>
        <w:t>Section 2.1. Samples shall be collected at Outfall 001 on at least two days in each calendar month, at least ten days apart. Metals shall be collected as 24-hour flow-proportional composites and cyanide as a grab sample taken during the composite period. pH shall be measured on a grab at each sampling event with a calibrated meter, and the permittee's in-line pH meter on the pretreatment system effluent shall record continuously. Flow shall be recorded daily from the totalizing meter.</w:t>
      </w:r>
    </w:p>
    <w:p w14:paraId="6F1BA9F0" w14:textId="77777777" w:rsidR="00CF6C94" w:rsidRDefault="00DD0924">
      <w:pPr>
        <w:spacing w:after="120"/>
      </w:pPr>
      <w:r>
        <w:t>Section 2.2. Daily maximum means the concentration of any single sample or composite. Monthly average means the arithmetic mean of the results of all valid samples collected during the calendar month, including any resample collected in that month under Section 3.3. A result reported by the laboratory as not detected shall be reported on the self-monitoring report as less than the method detection limit and shall be treated as zero in computing the monthly average. A result qualified as estimated between the detection limit and the reporting limit shall be used at the value reported.</w:t>
      </w:r>
    </w:p>
    <w:p w14:paraId="135346F7" w14:textId="77777777" w:rsidR="00CF6C94" w:rsidRDefault="00DD0924">
      <w:pPr>
        <w:spacing w:after="120"/>
      </w:pPr>
      <w:r>
        <w:t xml:space="preserve">Section 2.3. A sample analyzed outside the holding period specified in 40 CFR Part 136, or otherwise invalidated by the laboratory, is not a valid sample and shall not be used in any computation under this </w:t>
      </w:r>
      <w:r>
        <w:lastRenderedPageBreak/>
        <w:t>permit. Where a sample is invalidated, the permittee shall collect a replacement sample within the same calendar month where the month has not ended; where the month has ended, the permittee shall report the month as monitored below the required frequency for that parameter.</w:t>
      </w:r>
    </w:p>
    <w:p w14:paraId="7CD61F0F" w14:textId="77777777" w:rsidR="00CF6C94" w:rsidRDefault="00DD0924">
      <w:pPr>
        <w:spacing w:after="120"/>
      </w:pPr>
      <w:r>
        <w:t>Section 2.4. Any pH value outside the range of 6.0 to 9.0, whether measured on a grab or recorded by the in-line meter, is a violation of Part I and shall be reported on the self-monitoring report with its date, time, duration and cause. Any daily flow above the limit in Part I is a violation and shall be reported the same way.</w:t>
      </w:r>
    </w:p>
    <w:p w14:paraId="3D727E88" w14:textId="77777777" w:rsidR="00CF6C94" w:rsidRDefault="00DD0924">
      <w:pPr>
        <w:pStyle w:val="Heading1"/>
      </w:pPr>
      <w:r>
        <w:t>Part III. Reporting and notification</w:t>
      </w:r>
    </w:p>
    <w:p w14:paraId="6C6CF973" w14:textId="77777777" w:rsidR="00CF6C94" w:rsidRDefault="00DD0924">
      <w:pPr>
        <w:spacing w:after="120"/>
      </w:pPr>
      <w:r>
        <w:t>Section 3.1. The permittee shall submit a self-monitoring report for each calendar quarter, in the format of Attachment B, no later than the fifteenth day of the month following the end of the quarter. The report shall state, for each parameter and each month, the number of valid samples, the monthly average, the daily maximum, and whether each limitation in Part I was met, and shall list every violation of Part I, Part II or Part III occurring in the quarter with its date and cause. The report shall be signed by an authorized representative of the permittee under the certification in Attachment B.</w:t>
      </w:r>
    </w:p>
    <w:p w14:paraId="2BAAAD03" w14:textId="77777777" w:rsidR="00CF6C94" w:rsidRDefault="00DD0924">
      <w:pPr>
        <w:spacing w:after="120"/>
      </w:pPr>
      <w:r>
        <w:t>Section 3.2. The permittee shall notify the Pretreatment Coordinator by telephone within 24 hours of becoming aware of any discharge that may cause problems at the treatment plant or in the collection system, including any bypass of the pretreatment system, any slug discharge, and any discharge exceeding a daily maximum limitation, and shall submit a written report within five days of the same event describing the discharge, its cause, its duration, and the steps taken to prevent recurrence.</w:t>
      </w:r>
    </w:p>
    <w:p w14:paraId="4DBC05B6" w14:textId="77777777" w:rsidR="00CF6C94" w:rsidRDefault="00DD0924">
      <w:pPr>
        <w:spacing w:after="120"/>
      </w:pPr>
      <w:r>
        <w:t>Section 3.3. Where a sample result exceeds a daily maximum limitation in Part I, the permittee shall collect a further sample for that parameter and submit the result to the Pretreatment Coordinator within 30 days of becoming aware of the result. A routine sample collected within that period and analyzed for the parameter satisfies this section. The permittee becomes aware of a result on the date the laboratory report is issued.</w:t>
      </w:r>
    </w:p>
    <w:p w14:paraId="4133E4BE" w14:textId="77777777" w:rsidR="00CF6C94" w:rsidRDefault="00DD0924">
      <w:pPr>
        <w:spacing w:after="120"/>
      </w:pPr>
      <w:r>
        <w:t>Section 3.4. Significant noncompliance. The Pretreatment Coordinator evaluates each permittee for significant noncompliance under 40 CFR 403.8(f)(2)(viii) at the end of each six-month period ending March 31 and September 30. A permittee is in significant noncompliance where, for any pollutant parameter, sixty-six percent or more of all measurements taken during the six-month period exceed the daily maximum limitation, or where thirty-three percent or more of all measurements taken during the six-month period exceed the daily maximum limitation by more than the technical review criterion, which is 1.4 for conventional pollutants and 1.2 for all other pollutants, including metals and cyanide, or where the permittee fails to submit a required report within 45 days of its due date. Every valid sample result for a parameter in the period is a measurement, resamples included. A permittee in significant noncompliance is published in the annual notice under Section 403.8(f)(2)(viii) and is subject to the enforcement response plan.</w:t>
      </w:r>
    </w:p>
    <w:p w14:paraId="7EDB2DC1" w14:textId="77777777" w:rsidR="00CF6C94" w:rsidRDefault="00DD0924">
      <w:pPr>
        <w:pStyle w:val="Heading1"/>
      </w:pPr>
      <w:r>
        <w:t>Part IV. Bypass and prohibited discharges</w:t>
      </w:r>
    </w:p>
    <w:p w14:paraId="3977320F" w14:textId="77777777" w:rsidR="00CF6C94" w:rsidRDefault="00DD0924">
      <w:pPr>
        <w:spacing w:after="120"/>
      </w:pPr>
      <w:r>
        <w:t>Section 4.1. Bypass of any part of the pretreatment system is prohibited except where unavoidable to prevent loss of life, personal injury or severe property damage and there was no feasible alternative. An overflow of process wastewater to the sewer around the treatment system is a bypass. The permittee shall report any bypass under Section 3.2.</w:t>
      </w:r>
    </w:p>
    <w:p w14:paraId="2CC84756" w14:textId="77777777" w:rsidR="00CF6C94" w:rsidRDefault="00DD0924">
      <w:pPr>
        <w:spacing w:after="120"/>
      </w:pPr>
      <w:r>
        <w:t>Section 4.2. The permittee shall not discharge any wastewater with a pH below 6.0 or above 9.0, any pollutant in a quantity that causes pass-through or interference, or any slug load.</w:t>
      </w:r>
    </w:p>
    <w:p w14:paraId="1A657893" w14:textId="77777777" w:rsidR="00CF6C94" w:rsidRDefault="00DD0924">
      <w:pPr>
        <w:pStyle w:val="Heading1"/>
      </w:pPr>
      <w:r>
        <w:t>Attachment B. Self-monitoring report format and certification</w:t>
      </w:r>
    </w:p>
    <w:p w14:paraId="41CF5A12" w14:textId="77777777" w:rsidR="00CF6C94" w:rsidRDefault="00DD0924">
      <w:pPr>
        <w:spacing w:after="120"/>
      </w:pPr>
      <w:r>
        <w:t>The report shall present, for each month of the quarter, a table with one line per parameter carrying the daily maximum limitation, the monthly average limitation, the number of valid samples, the number of samples required, the monthly average, the daily maximum, and a statement of whether each limitation was met. A second table shall list each violation with the date, the parameter or condition, the value, the limitation, and the cause as known. The report shall carry the following certification, signed and dated by the authorized representative:</w:t>
      </w:r>
    </w:p>
    <w:p w14:paraId="4ABF46FF" w14:textId="77777777" w:rsidR="00CF6C94" w:rsidRDefault="00DD0924">
      <w:pPr>
        <w:spacing w:after="120"/>
      </w:pPr>
      <w:r>
        <w:rPr>
          <w:i/>
        </w:rPr>
        <w:t>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p>
    <w:p w14:paraId="2713720A" w14:textId="77777777" w:rsidR="00CF6C94" w:rsidRDefault="00DD0924">
      <w:pPr>
        <w:spacing w:after="120"/>
      </w:pPr>
      <w:r>
        <w:t>Authorized representative: ______________________________   Title: ______________________   Date: ______________</w:t>
      </w:r>
    </w:p>
    <w:sectPr w:rsidR="00CF6C94"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7562467">
    <w:abstractNumId w:val="8"/>
  </w:num>
  <w:num w:numId="2" w16cid:durableId="2098015817">
    <w:abstractNumId w:val="6"/>
  </w:num>
  <w:num w:numId="3" w16cid:durableId="2131170113">
    <w:abstractNumId w:val="5"/>
  </w:num>
  <w:num w:numId="4" w16cid:durableId="1458986262">
    <w:abstractNumId w:val="4"/>
  </w:num>
  <w:num w:numId="5" w16cid:durableId="1245645689">
    <w:abstractNumId w:val="7"/>
  </w:num>
  <w:num w:numId="6" w16cid:durableId="522322528">
    <w:abstractNumId w:val="3"/>
  </w:num>
  <w:num w:numId="7" w16cid:durableId="1801923440">
    <w:abstractNumId w:val="2"/>
  </w:num>
  <w:num w:numId="8" w16cid:durableId="423494628">
    <w:abstractNumId w:val="1"/>
  </w:num>
  <w:num w:numId="9" w16cid:durableId="11223060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0E714F"/>
    <w:rsid w:val="0015074B"/>
    <w:rsid w:val="0029639D"/>
    <w:rsid w:val="00326F90"/>
    <w:rsid w:val="007D58F0"/>
    <w:rsid w:val="007F4DF0"/>
    <w:rsid w:val="00891EAE"/>
    <w:rsid w:val="00AA1D8D"/>
    <w:rsid w:val="00B47730"/>
    <w:rsid w:val="00CB0664"/>
    <w:rsid w:val="00CF6C94"/>
    <w:rsid w:val="00DD0924"/>
    <w:rsid w:val="00E11E58"/>
    <w:rsid w:val="00E21F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AE884"/>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3D"/>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3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1165</Words>
  <Characters>6642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Wastewater Discharge Permit IP-0421 - Vandeveer Plating LLC</dc:title>
  <dc:subject/>
  <dc:creator>City of Wyoming Clean Water Plant</dc:creator>
  <cp:keywords/>
  <dc:description/>
  <cp:lastModifiedBy>Talcott Environmental Services</cp:lastModifiedBy>
  <cp:revision>1</cp:revision>
  <dcterms:created xsi:type="dcterms:W3CDTF">2024-10-22T11:05:30Z</dcterms:created>
  <dcterms:modified xsi:type="dcterms:W3CDTF">2024-10-29T16:40:02Z</dcterms:modified>
  <cp:category/>
</cp:coreProperties>
</file>