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6D319C" w14:textId="77777777" w:rsidR="000B736D" w:rsidRDefault="00581F2F">
      <w:r>
        <w:rPr>
          <w:b/>
          <w:color w:val="6B2E2A"/>
          <w:sz w:val="26"/>
        </w:rPr>
        <w:t>Ferraro Whitcombe LLP</w:t>
      </w:r>
    </w:p>
    <w:p w14:paraId="14151AFF" w14:textId="77777777" w:rsidR="000B736D" w:rsidRDefault="00581F2F">
      <w:pPr>
        <w:pBdr>
          <w:bottom w:val="single" w:sz="8" w:space="1" w:color="6B2E2A"/>
        </w:pBdr>
      </w:pPr>
      <w:r>
        <w:rPr>
          <w:color w:val="3D3D3D"/>
          <w:sz w:val="19"/>
        </w:rPr>
        <w:t>Practice Note PN-14, Mechanics lien claims on private works: notice, timing, waivers, and the owner's remedies. Revised March 2026. Author: Marguerite Okonjo, partner.</w:t>
      </w:r>
    </w:p>
    <w:p w14:paraId="08B95CA4" w14:textId="77777777" w:rsidR="000B736D" w:rsidRDefault="00581F2F">
      <w:r>
        <w:t>This note collects the Civil Code rules the office applies when an owner client asks what to do about claims of mechanics lien recorded against a private work of improvement after the 2012 recodification (Civil Code sections 8000 and following). It is written for the paralegals who prepare the first analysis, and it states the counting conventions the office uses so that two analysts reach the same date. Section references are to the Civil Code unless another code is named.</w:t>
      </w:r>
    </w:p>
    <w:p w14:paraId="4A23B54D" w14:textId="77777777" w:rsidR="000B736D" w:rsidRDefault="00581F2F">
      <w:pPr>
        <w:pStyle w:val="Heading1"/>
      </w:pPr>
      <w:r>
        <w:t>1. Preliminary notice</w:t>
      </w:r>
    </w:p>
    <w:p w14:paraId="56EF2DE0" w14:textId="77777777" w:rsidR="000B736D" w:rsidRDefault="00581F2F">
      <w:r>
        <w:t>1.1. A claimant other than the direct contractor may enforce a lien only if it gave preliminary notice to the extent section 8200 requires (section 8410). Section 8200(a) requires the notice to be given to the owner, to the direct contractor, and to the construction lender if there is one. A notice given to the direct contractor alone does not satisfy the section as against the owner, and the claimant has no lien to enforce against the property. A direct contractor gives preliminary notice only to a constru</w:t>
      </w:r>
      <w:r>
        <w:t>ction lender (section 8200(e)), so on a project with no construction lender the direct contractor gives none.</w:t>
      </w:r>
    </w:p>
    <w:p w14:paraId="30BFE196" w14:textId="77777777" w:rsidR="000B736D" w:rsidRDefault="00581F2F">
      <w:r>
        <w:t>1.2. The notice must be given not later than 20 days after the claimant first furnishes work (section 8204(a)). A notice given later is still effective, but only for work furnished within 20 days before the notice is given and thereafter (section 8204(b)). Work furnished earlier than that window is not secured by the lien, whatever the claim of lien says.</w:t>
      </w:r>
    </w:p>
    <w:p w14:paraId="4C3E10F5" w14:textId="77777777" w:rsidR="000B736D" w:rsidRDefault="00581F2F">
      <w:r>
        <w:t>1.3. Notice given by registered or certified mail, express mail, or overnight delivery is complete at the time of deposit (section 8116). The office reads the date of deposit on the proof of service as the date the notice is given, not the date the owner received it. When counting the 20 days back from a late notice, the day the notice is given is excluded. The earlier days are counted in full, so a notice deposited on the 29th of a month reaches back to work furnished on the 9th.</w:t>
      </w:r>
    </w:p>
    <w:p w14:paraId="041D5C34" w14:textId="77777777" w:rsidR="000B736D" w:rsidRDefault="00581F2F">
      <w:r>
        <w:t>1.4. The claimant bears the burden of showing that the notice was given. The office checks the owner's own preliminary notice log first and then the proof of service the claimant attaches to its claim of lien or produces on request. A recital in the claim of lien that notice was given proves nothing on its own.</w:t>
      </w:r>
    </w:p>
    <w:p w14:paraId="7566D828" w14:textId="77777777" w:rsidR="000B736D" w:rsidRDefault="00581F2F">
      <w:pPr>
        <w:pStyle w:val="Heading1"/>
      </w:pPr>
      <w:r>
        <w:t>2. Completion, the notice of completion, and the time to record a claim</w:t>
      </w:r>
    </w:p>
    <w:p w14:paraId="057F6940" w14:textId="77777777" w:rsidR="000B736D" w:rsidRDefault="00581F2F">
      <w:r>
        <w:t>2.1. Completion of a work of improvement is actual completion, or occupation or use by the owner accompanied by cessation of labor, or cessation of labor for a continuous 60 days, or recordation of a notice of cessation after a 30 day cessation (section 8180). On our files the certificate of occupancy and the last day of labor on the owner's log are the evidence of actual completion.</w:t>
      </w:r>
    </w:p>
    <w:p w14:paraId="03F57354" w14:textId="77777777" w:rsidR="000B736D" w:rsidRDefault="00581F2F">
      <w:r>
        <w:t>2.2. An owner may record a notice of completion within 15 days after completion (section 8182(a)). A notice recorded later than 15 days after completion is not effective, and the lien periods run from completion as though no notice had been recorded. Check the 15 days on every file before relying on the shortened periods below.</w:t>
      </w:r>
    </w:p>
    <w:p w14:paraId="7A55FE08" w14:textId="77777777" w:rsidR="000B736D" w:rsidRDefault="00581F2F">
      <w:r>
        <w:t xml:space="preserve">2.3. A direct contractor may not enforce a lien unless it records its claim after it completes its contract and before the earlier of 90 days after completion of the work of improvement or 60 days after the owner records a notice of completion (section 8412). A claimant other than the direct contractor may not enforce a lien unless it records its claim after it ceases to provide work and before </w:t>
      </w:r>
      <w:r>
        <w:lastRenderedPageBreak/>
        <w:t>the earlier of 90 days after completion or 30 days after the owner records a notice of completion (section 8414). A claim recorded after the claimant ceased work but before the work of improvement was complete is timely. The early recording is permitted, and the period above fixes only the last day.</w:t>
      </w:r>
    </w:p>
    <w:p w14:paraId="4FFF72AA" w14:textId="77777777" w:rsidR="000B736D" w:rsidRDefault="00581F2F">
      <w:r>
        <w:t>2.4. The office counts these periods under Code of Civil Procedure section 12: the day of the event that starts the period is excluded, and the last day is included. Under Code of Civil Procedure section 12a, if the last day falls on a Saturday, a Sunday, or a court holiday, the period runs to the next day that is not a holiday. This extension applies to the recording of a claim of lien and to the commencement of an action alike. A claim recorded on the day after the extended last day is late, and a late cl</w:t>
      </w:r>
      <w:r>
        <w:t>aim is not enforceable however meritorious the underlying debt.</w:t>
      </w:r>
    </w:p>
    <w:p w14:paraId="15DEC40B" w14:textId="77777777" w:rsidR="000B736D" w:rsidRDefault="00581F2F">
      <w:r>
        <w:t>2.5. The claim of lien must contain the matters listed in section 8416(a), and it must be served on the owner with a proof of service affidavit (section 8416(a)(9)). A claim that is not served on the owner is unenforceable (section 8416(b)). The recorder's copy on our files is transcribed with the affidavit, so the service date is on the face of the transcription.</w:t>
      </w:r>
    </w:p>
    <w:p w14:paraId="1E139D22" w14:textId="77777777" w:rsidR="000B736D" w:rsidRDefault="00581F2F">
      <w:pPr>
        <w:pStyle w:val="Heading1"/>
      </w:pPr>
      <w:r>
        <w:t>3. Amount of the lien and the effect of waivers</w:t>
      </w:r>
    </w:p>
    <w:p w14:paraId="717FF199" w14:textId="77777777" w:rsidR="000B736D" w:rsidRDefault="00581F2F">
      <w:r>
        <w:t>3.1. The lien is for the lesser of the reasonable value of the work provided by the claimant or the price agreed to by the claimant and the person that contracted for the work, in either case less payments received (section 8430(a)). A claim of lien that includes amounts for work not furnished, or work furnished before the window a late preliminary notice covers, is overstated by those amounts, and the enforceable amount is what remains after they are taken out. An overstatement does not by itself invalidat</w:t>
      </w:r>
      <w:r>
        <w:t>e the lien; forfeiture under section 8422 requires a willful inclusion of work not furnished, and the office does not assume willfulness from arithmetic.</w:t>
      </w:r>
    </w:p>
    <w:p w14:paraId="54646907" w14:textId="77777777" w:rsidR="000B736D" w:rsidRDefault="00581F2F">
      <w:r>
        <w:t>3.2. A waiver and release given by a claimant is unenforceable unless it is in substantially the form provided in sections 8132 to 8138 (section 8132(a)). A letter, an invoice notation, or a lien release in the claimant's own words that does not follow the statutory form does not release the lien, and the office treats the claim as though no waiver had been given.</w:t>
      </w:r>
    </w:p>
    <w:p w14:paraId="2B1E0158" w14:textId="77777777" w:rsidR="000B736D" w:rsidRDefault="00581F2F">
      <w:r>
        <w:t>3.3. A conditional waiver and release on progress payment (section 8132) or on final payment (section 8136) is effective only on evidence that the claimant has been paid the amount stated in the form (section 8124). Evidence of payment means the claimant's endorsement on a check that has been paid by the bank, a written acknowledgment of payment by the claimant, or the like (section 8126). A check that was issued and then stopped or returned unpaid is not payment, and a conditional waiver that rests on it r</w:t>
      </w:r>
      <w:r>
        <w:t>eleases nothing.</w:t>
      </w:r>
    </w:p>
    <w:p w14:paraId="3926519B" w14:textId="77777777" w:rsidR="000B736D" w:rsidRDefault="00581F2F">
      <w:r>
        <w:t xml:space="preserve">3.4. An unconditional waiver and release on progress payment (section 8134) or on final payment (section 8138) is effective when signed, whether or not the claimant has been paid. The statutory form says so on its face. A claimant that signs an unconditional waiver through a date and is not paid has released its lien rights through that date and is left with its contract claim against the party that owed it the money. The exceptions the form lists, retention, extras, and disputed claims stated on the form, </w:t>
      </w:r>
      <w:r>
        <w:t>are not released, and any work furnished after the through date is not released.</w:t>
      </w:r>
    </w:p>
    <w:p w14:paraId="0E156979" w14:textId="77777777" w:rsidR="000B736D" w:rsidRDefault="00581F2F">
      <w:r>
        <w:t>3.5. Read every waiver on the owner's log against the payment record before giving it effect: the form title, the through date, the amount, the exceptions stated, the check the form refers to, and whether that check was paid. The owner's log records what was received with each payment application; the direct contractor's payment ledger records what happened to the checks.</w:t>
      </w:r>
    </w:p>
    <w:p w14:paraId="667C0957" w14:textId="77777777" w:rsidR="000B736D" w:rsidRDefault="00581F2F">
      <w:pPr>
        <w:pStyle w:val="Heading1"/>
      </w:pPr>
      <w:r>
        <w:t>4. Duration of the lien and the owner's remedies</w:t>
      </w:r>
    </w:p>
    <w:p w14:paraId="3F7F4C43" w14:textId="77777777" w:rsidR="000B736D" w:rsidRDefault="00581F2F">
      <w:r>
        <w:t>4.1. The claimant must commence an action to enforce the lien within 90 days after the claim is recorded (section 8460(a)), unless a notice of credit extending the time was recorded (section 8460(b)). If no action is commenced within that time the lien expires and is unenforceable (section 8460(a)). The 90 days are counted under Code of Civil Procedure sections 12 and 12a as in paragraph 2.4. The office confirms the absence of an action by a civil index search in the superior court of the county where the p</w:t>
      </w:r>
      <w:r>
        <w:t>roperty is located, and by a search of the recorder's index for a notice of pendency of action.</w:t>
      </w:r>
    </w:p>
    <w:p w14:paraId="119D7145" w14:textId="77777777" w:rsidR="000B736D" w:rsidRDefault="00581F2F">
      <w:r>
        <w:t>4.2. Where a claim is untimely, where the claimant has no lien rights for want of preliminary notice, or where the lien has expired for want of an action, the owner's remedy is a demand that the claimant execute and record a release, followed if necessary by a petition for a release order under sections 8480 to 8488. The petition may be filed only after the owner has given the claimant a demand for release at least 10 days before the petition is filed (section 8482), and the court may award the prevailing p</w:t>
      </w:r>
      <w:r>
        <w:t>arty its attorney's fees (section 8488(c)). On our files the demand goes out first in every case; the petition is drafted only if the 10 days pass.</w:t>
      </w:r>
    </w:p>
    <w:p w14:paraId="600F301E" w14:textId="77777777" w:rsidR="000B736D" w:rsidRDefault="00581F2F">
      <w:r>
        <w:t>4.3. Where a claim is timely, the claimant has lien rights, and the lien has not expired, the property can be freed of the lien by a release bond recorded under section 8424. The bond must be in an amount equal to 125 percent of the amount of the claim of lien as recorded (section 8424(b)). The bond is measured by the recorded amount, not by the amount the office thinks the claimant could actually enforce, so where a timely lien is overstated the choice is between a bond on the recorded amount and a negotia</w:t>
      </w:r>
      <w:r>
        <w:t>ted amended claim at the enforceable figure. An owner may also pay the enforceable amount against an unconditional waiver and release on final payment and take a recorded release.</w:t>
      </w:r>
    </w:p>
    <w:p w14:paraId="41B5D6C0" w14:textId="77777777" w:rsidR="000B736D" w:rsidRDefault="00581F2F">
      <w:r>
        <w:t>4.4. A retention payment withheld by the owner from the direct contractor is due within 45 days after completion of the work of improvement (section 8812(a)), subject to the owner's right to withhold 150 percent of any amount in good faith dispute (section 8812(c)). Retention that is overdue accrues a penalty of 2 percent per month in place of interest (section 8818(a)). Where recorded claims of lien exceed the retention the owner is entitled to withhold from the direct contractor the amount needed to satis</w:t>
      </w:r>
      <w:r>
        <w:t>fy them, and the analysis should say so.</w:t>
      </w:r>
    </w:p>
    <w:p w14:paraId="77FC5425" w14:textId="77777777" w:rsidR="000B736D" w:rsidRDefault="00581F2F">
      <w:pPr>
        <w:pStyle w:val="Heading1"/>
      </w:pPr>
      <w:r>
        <w:t>5. The first analysis</w:t>
      </w:r>
    </w:p>
    <w:p w14:paraId="26350BD3" w14:textId="77777777" w:rsidR="000B736D" w:rsidRDefault="00581F2F">
      <w:r>
        <w:t>The first analysis on any lien file works every recorded claim through the questions above in order: whether the claimant has lien rights at all, whether the claim was recorded in time, what the waivers on file release, what the claimant could enforce, whether the lien has expired, and what the owner does about it. The dates come from the recorder's copies and the owner's log, never from the claimant's recital, and every figure is built from the claimant's own statement of account and the payment record. Wh</w:t>
      </w:r>
      <w:r>
        <w:t>ere the file does not settle a point, the analysis says so and names the document that would settle it.</w:t>
      </w:r>
    </w:p>
    <w:sectPr w:rsidR="000B736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725798">
    <w:abstractNumId w:val="8"/>
  </w:num>
  <w:num w:numId="2" w16cid:durableId="1206522104">
    <w:abstractNumId w:val="6"/>
  </w:num>
  <w:num w:numId="3" w16cid:durableId="2126536717">
    <w:abstractNumId w:val="5"/>
  </w:num>
  <w:num w:numId="4" w16cid:durableId="1946305446">
    <w:abstractNumId w:val="4"/>
  </w:num>
  <w:num w:numId="5" w16cid:durableId="1132987637">
    <w:abstractNumId w:val="7"/>
  </w:num>
  <w:num w:numId="6" w16cid:durableId="1527136824">
    <w:abstractNumId w:val="3"/>
  </w:num>
  <w:num w:numId="7" w16cid:durableId="303463978">
    <w:abstractNumId w:val="2"/>
  </w:num>
  <w:num w:numId="8" w16cid:durableId="818037087">
    <w:abstractNumId w:val="1"/>
  </w:num>
  <w:num w:numId="9" w16cid:durableId="4499776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36D"/>
    <w:rsid w:val="000E714F"/>
    <w:rsid w:val="0015074B"/>
    <w:rsid w:val="0029639D"/>
    <w:rsid w:val="00326F90"/>
    <w:rsid w:val="0041739E"/>
    <w:rsid w:val="00581F2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94D861"/>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eastAsia="Georgia" w:hAnsi="Georgia" w:cs="Georgia"/>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6B2E2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6B2E2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E2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B2E2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51615"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51615"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6B2E2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221F"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6B2E2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6B2E2A" w:themeColor="accent1"/>
    </w:rPr>
  </w:style>
  <w:style w:type="paragraph" w:styleId="Title">
    <w:name w:val="Title"/>
    <w:basedOn w:val="Normal"/>
    <w:next w:val="Normal"/>
    <w:link w:val="TitleChar"/>
    <w:uiPriority w:val="10"/>
    <w:qFormat/>
    <w:rsid w:val="00FC693F"/>
    <w:pPr>
      <w:pBdr>
        <w:bottom w:val="single" w:sz="8" w:space="4" w:color="6B2E2A" w:themeColor="accent1"/>
      </w:pBdr>
      <w:spacing w:before="200" w:after="80" w:line="240" w:lineRule="auto"/>
      <w:contextualSpacing/>
    </w:pPr>
    <w:rPr>
      <w:b/>
      <w:color w:val="6B2E2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D2D2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B2E2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6B2E2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6B2E2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51615"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51615"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6B2E2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B2E2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6B2E2A" w:themeColor="accent1"/>
      </w:pBdr>
      <w:spacing w:before="200" w:after="280"/>
      <w:ind w:left="936" w:right="936"/>
    </w:pPr>
    <w:rPr>
      <w:b/>
      <w:bCs/>
      <w:i/>
      <w:iCs/>
      <w:color w:val="6B2E2A" w:themeColor="accent1"/>
    </w:rPr>
  </w:style>
  <w:style w:type="character" w:customStyle="1" w:styleId="IntenseQuoteChar">
    <w:name w:val="Intense Quote Char"/>
    <w:basedOn w:val="DefaultParagraphFont"/>
    <w:link w:val="IntenseQuote"/>
    <w:uiPriority w:val="30"/>
    <w:rsid w:val="00FC693F"/>
    <w:rPr>
      <w:b/>
      <w:bCs/>
      <w:i/>
      <w:iCs/>
      <w:color w:val="6B2E2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6B2E2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221F" w:themeColor="accent1" w:themeShade="BF"/>
    </w:rPr>
    <w:tblPr>
      <w:tblStyleRowBandSize w:val="1"/>
      <w:tblStyleColBandSize w:val="1"/>
      <w:tblBorders>
        <w:top w:val="single" w:sz="8" w:space="0" w:color="6B2E2A" w:themeColor="accent1"/>
        <w:bottom w:val="single" w:sz="8" w:space="0" w:color="6B2E2A" w:themeColor="accent1"/>
      </w:tblBorders>
    </w:tblPr>
    <w:tblStylePr w:type="fir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la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left w:val="nil"/>
          <w:right w:val="nil"/>
          <w:insideH w:val="nil"/>
          <w:insideV w:val="nil"/>
        </w:tcBorders>
        <w:shd w:val="clear" w:color="auto" w:fill="E5C1BE"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pPr>
        <w:spacing w:before="0" w:after="0" w:line="240" w:lineRule="auto"/>
      </w:pPr>
      <w:rPr>
        <w:b/>
        <w:bCs/>
        <w:color w:val="FFFFFF" w:themeColor="background1"/>
      </w:rPr>
      <w:tblPr/>
      <w:tcPr>
        <w:shd w:val="clear" w:color="auto" w:fill="6B2E2A" w:themeFill="accent1"/>
      </w:tcPr>
    </w:tblStylePr>
    <w:tblStylePr w:type="lastRow">
      <w:pPr>
        <w:spacing w:before="0" w:after="0" w:line="240" w:lineRule="auto"/>
      </w:pPr>
      <w:rPr>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tcBorders>
      </w:tcPr>
    </w:tblStylePr>
    <w:tblStylePr w:type="firstCol">
      <w:rPr>
        <w:b/>
        <w:bCs/>
      </w:rPr>
    </w:tblStylePr>
    <w:tblStylePr w:type="lastCol">
      <w:rPr>
        <w:b/>
        <w:bCs/>
      </w:r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18" w:space="0" w:color="6B2E2A" w:themeColor="accent1"/>
          <w:right w:val="single" w:sz="8" w:space="0" w:color="6B2E2A" w:themeColor="accent1"/>
          <w:insideH w:val="nil"/>
          <w:insideV w:val="single" w:sz="8" w:space="0" w:color="6B2E2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insideH w:val="nil"/>
          <w:insideV w:val="single" w:sz="8" w:space="0" w:color="6B2E2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shd w:val="clear" w:color="auto" w:fill="E5C1BE" w:themeFill="accent1" w:themeFillTint="3F"/>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shd w:val="clear" w:color="auto" w:fill="E5C1BE" w:themeFill="accent1" w:themeFillTint="3F"/>
      </w:tcPr>
    </w:tblStylePr>
    <w:tblStylePr w:type="band2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tblBorders>
    </w:tblPr>
    <w:tblStylePr w:type="firstRow">
      <w:pPr>
        <w:spacing w:before="0" w:after="0" w:line="240" w:lineRule="auto"/>
      </w:pPr>
      <w:rPr>
        <w:b/>
        <w:bCs/>
        <w:color w:val="FFFFFF" w:themeColor="background1"/>
      </w:rPr>
      <w:tblPr/>
      <w:tcPr>
        <w:tc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shd w:val="clear" w:color="auto" w:fill="6B2E2A" w:themeFill="accent1"/>
      </w:tcPr>
    </w:tblStylePr>
    <w:tblStylePr w:type="lastRow">
      <w:pPr>
        <w:spacing w:before="0" w:after="0" w:line="240" w:lineRule="auto"/>
      </w:pPr>
      <w:rPr>
        <w:b/>
        <w:bCs/>
      </w:rPr>
      <w:tblPr/>
      <w:tcPr>
        <w:tcBorders>
          <w:top w:val="double" w:sz="6"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tcPr>
    </w:tblStylePr>
    <w:tblStylePr w:type="firstCol">
      <w:rPr>
        <w:b/>
        <w:bCs/>
      </w:rPr>
    </w:tblStylePr>
    <w:tblStylePr w:type="lastCol">
      <w:rPr>
        <w:b/>
        <w:bCs/>
      </w:rPr>
    </w:tblStylePr>
    <w:tblStylePr w:type="band1Vert">
      <w:tblPr/>
      <w:tcPr>
        <w:shd w:val="clear" w:color="auto" w:fill="E5C1BE" w:themeFill="accent1" w:themeFillTint="3F"/>
      </w:tcPr>
    </w:tblStylePr>
    <w:tblStylePr w:type="band1Horz">
      <w:tblPr/>
      <w:tcPr>
        <w:tcBorders>
          <w:insideH w:val="nil"/>
          <w:insideV w:val="nil"/>
        </w:tcBorders>
        <w:shd w:val="clear" w:color="auto" w:fill="E5C1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B2E2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B2E2A" w:themeFill="accent1"/>
      </w:tcPr>
    </w:tblStylePr>
    <w:tblStylePr w:type="lastCol">
      <w:rPr>
        <w:b/>
        <w:bCs/>
        <w:color w:val="FFFFFF" w:themeColor="background1"/>
      </w:rPr>
      <w:tblPr/>
      <w:tcPr>
        <w:tcBorders>
          <w:left w:val="nil"/>
          <w:right w:val="nil"/>
          <w:insideH w:val="nil"/>
          <w:insideV w:val="nil"/>
        </w:tcBorders>
        <w:shd w:val="clear" w:color="auto" w:fill="6B2E2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D3D3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6B2E2A" w:themeColor="accent1"/>
        <w:bottom w:val="single" w:sz="8" w:space="0" w:color="6B2E2A" w:themeColor="accent1"/>
      </w:tblBorders>
    </w:tblPr>
    <w:tblStylePr w:type="firstRow">
      <w:rPr>
        <w:rFonts w:asciiTheme="majorHAnsi" w:eastAsiaTheme="majorEastAsia" w:hAnsiTheme="majorHAnsi" w:cstheme="majorBidi"/>
      </w:rPr>
      <w:tblPr/>
      <w:tcPr>
        <w:tcBorders>
          <w:top w:val="nil"/>
          <w:bottom w:val="single" w:sz="8" w:space="0" w:color="6B2E2A" w:themeColor="accent1"/>
        </w:tcBorders>
      </w:tcPr>
    </w:tblStylePr>
    <w:tblStylePr w:type="lastRow">
      <w:rPr>
        <w:b/>
        <w:bCs/>
        <w:color w:val="3D3D3D" w:themeColor="text2"/>
      </w:rPr>
      <w:tblPr/>
      <w:tcPr>
        <w:tcBorders>
          <w:top w:val="single" w:sz="8" w:space="0" w:color="6B2E2A" w:themeColor="accent1"/>
          <w:bottom w:val="single" w:sz="8" w:space="0" w:color="6B2E2A" w:themeColor="accent1"/>
        </w:tcBorders>
      </w:tcPr>
    </w:tblStylePr>
    <w:tblStylePr w:type="firstCol">
      <w:rPr>
        <w:b/>
        <w:bCs/>
      </w:rPr>
    </w:tblStylePr>
    <w:tblStylePr w:type="lastCol">
      <w:rPr>
        <w:b/>
        <w:bCs/>
      </w:rPr>
      <w:tblPr/>
      <w:tcPr>
        <w:tcBorders>
          <w:top w:val="single" w:sz="8" w:space="0" w:color="6B2E2A" w:themeColor="accent1"/>
          <w:bottom w:val="single" w:sz="8" w:space="0" w:color="6B2E2A" w:themeColor="accent1"/>
        </w:tcBorders>
      </w:tcPr>
    </w:tblStylePr>
    <w:tblStylePr w:type="band1Vert">
      <w:tblPr/>
      <w:tcPr>
        <w:shd w:val="clear" w:color="auto" w:fill="E5C1BE" w:themeFill="accent1" w:themeFillTint="3F"/>
      </w:tcPr>
    </w:tblStylePr>
    <w:tblStylePr w:type="band1Horz">
      <w:tblPr/>
      <w:tcPr>
        <w:shd w:val="clear" w:color="auto" w:fill="E5C1B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D3D3D"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D3D3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D3D3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D3D3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D3D3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rPr>
        <w:sz w:val="24"/>
        <w:szCs w:val="24"/>
      </w:rPr>
      <w:tblPr/>
      <w:tcPr>
        <w:tcBorders>
          <w:top w:val="nil"/>
          <w:left w:val="nil"/>
          <w:bottom w:val="single" w:sz="24" w:space="0" w:color="6B2E2A" w:themeColor="accent1"/>
          <w:right w:val="nil"/>
          <w:insideH w:val="nil"/>
          <w:insideV w:val="nil"/>
        </w:tcBorders>
        <w:shd w:val="clear" w:color="auto" w:fill="FFFFFF" w:themeFill="background1"/>
      </w:tcPr>
    </w:tblStylePr>
    <w:tblStylePr w:type="lastRow">
      <w:tblPr/>
      <w:tcPr>
        <w:tcBorders>
          <w:top w:val="single" w:sz="8" w:space="0" w:color="6B2E2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B2E2A" w:themeColor="accent1"/>
          <w:insideH w:val="nil"/>
          <w:insideV w:val="nil"/>
        </w:tcBorders>
        <w:shd w:val="clear" w:color="auto" w:fill="FFFFFF" w:themeFill="background1"/>
      </w:tcPr>
    </w:tblStylePr>
    <w:tblStylePr w:type="lastCol">
      <w:tblPr/>
      <w:tcPr>
        <w:tcBorders>
          <w:top w:val="nil"/>
          <w:left w:val="single" w:sz="8" w:space="0" w:color="6B2E2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top w:val="nil"/>
          <w:bottom w:val="nil"/>
          <w:insideH w:val="nil"/>
          <w:insideV w:val="nil"/>
        </w:tcBorders>
        <w:shd w:val="clear" w:color="auto" w:fill="E5C1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insideV w:val="single" w:sz="8" w:space="0" w:color="AB4943" w:themeColor="accent1" w:themeTint="BF"/>
      </w:tblBorders>
    </w:tblPr>
    <w:tcPr>
      <w:shd w:val="clear" w:color="auto" w:fill="E5C1BE" w:themeFill="accent1" w:themeFillTint="3F"/>
    </w:tcPr>
    <w:tblStylePr w:type="firstRow">
      <w:rPr>
        <w:b/>
        <w:bCs/>
      </w:rPr>
    </w:tblStylePr>
    <w:tblStylePr w:type="lastRow">
      <w:rPr>
        <w:b/>
        <w:bCs/>
      </w:rPr>
      <w:tblPr/>
      <w:tcPr>
        <w:tcBorders>
          <w:top w:val="single" w:sz="18" w:space="0" w:color="AB4943" w:themeColor="accent1" w:themeTint="BF"/>
        </w:tcBorders>
      </w:tcPr>
    </w:tblStylePr>
    <w:tblStylePr w:type="firstCol">
      <w:rPr>
        <w:b/>
        <w:bCs/>
      </w:rPr>
    </w:tblStylePr>
    <w:tblStylePr w:type="lastCol">
      <w:rPr>
        <w:b/>
        <w:bCs/>
      </w:r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cPr>
      <w:shd w:val="clear" w:color="auto" w:fill="E5C1BE" w:themeFill="accent1" w:themeFillTint="3F"/>
    </w:tcPr>
    <w:tblStylePr w:type="firstRow">
      <w:rPr>
        <w:b/>
        <w:bCs/>
        <w:color w:val="000000" w:themeColor="text1"/>
      </w:rPr>
      <w:tblPr/>
      <w:tcPr>
        <w:shd w:val="clear" w:color="auto" w:fill="F5E6E5"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CCCB" w:themeFill="accent1" w:themeFillTint="33"/>
      </w:tcPr>
    </w:tblStylePr>
    <w:tblStylePr w:type="band1Vert">
      <w:tblPr/>
      <w:tcPr>
        <w:shd w:val="clear" w:color="auto" w:fill="CC827D" w:themeFill="accent1" w:themeFillTint="7F"/>
      </w:tcPr>
    </w:tblStylePr>
    <w:tblStylePr w:type="band1Horz">
      <w:tblPr/>
      <w:tcPr>
        <w:tcBorders>
          <w:insideH w:val="single" w:sz="6" w:space="0" w:color="6B2E2A" w:themeColor="accent1"/>
          <w:insideV w:val="single" w:sz="6" w:space="0" w:color="6B2E2A" w:themeColor="accent1"/>
        </w:tcBorders>
        <w:shd w:val="clear" w:color="auto" w:fill="CC827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C1B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B2E2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B2E2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827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827D"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6B2E2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5161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F22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F221F" w:themeFill="accent1" w:themeFillShade="BF"/>
      </w:tcPr>
    </w:tblStylePr>
    <w:tblStylePr w:type="band1Vert">
      <w:tblPr/>
      <w:tcPr>
        <w:tcBorders>
          <w:top w:val="nil"/>
          <w:left w:val="nil"/>
          <w:bottom w:val="nil"/>
          <w:right w:val="nil"/>
          <w:insideH w:val="nil"/>
          <w:insideV w:val="nil"/>
        </w:tcBorders>
        <w:shd w:val="clear" w:color="auto" w:fill="4F221F" w:themeFill="accent1" w:themeFillShade="BF"/>
      </w:tcPr>
    </w:tblStylePr>
    <w:tblStylePr w:type="band1Horz">
      <w:tblPr/>
      <w:tcPr>
        <w:tcBorders>
          <w:top w:val="nil"/>
          <w:left w:val="nil"/>
          <w:bottom w:val="nil"/>
          <w:right w:val="nil"/>
          <w:insideH w:val="nil"/>
          <w:insideV w:val="nil"/>
        </w:tcBorders>
        <w:shd w:val="clear" w:color="auto" w:fill="4F221F"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6B2E2A" w:themeColor="accent1"/>
        <w:bottom w:val="single" w:sz="4" w:space="0" w:color="6B2E2A" w:themeColor="accent1"/>
        <w:right w:val="single" w:sz="4" w:space="0" w:color="6B2E2A" w:themeColor="accent1"/>
        <w:insideH w:val="single" w:sz="4" w:space="0" w:color="FFFFFF" w:themeColor="background1"/>
        <w:insideV w:val="single" w:sz="4" w:space="0" w:color="FFFFFF" w:themeColor="background1"/>
      </w:tblBorders>
    </w:tblPr>
    <w:tcPr>
      <w:shd w:val="clear" w:color="auto" w:fill="F5E6E5"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01B19" w:themeFill="accent1" w:themeFillShade="99"/>
      </w:tcPr>
    </w:tblStylePr>
    <w:tblStylePr w:type="firstCol">
      <w:rPr>
        <w:color w:val="FFFFFF" w:themeColor="background1"/>
      </w:rPr>
      <w:tblPr/>
      <w:tcPr>
        <w:tcBorders>
          <w:top w:val="nil"/>
          <w:left w:val="nil"/>
          <w:bottom w:val="nil"/>
          <w:right w:val="nil"/>
          <w:insideH w:val="single" w:sz="4" w:space="0" w:color="401B19" w:themeColor="accent1" w:themeShade="99"/>
          <w:insideV w:val="nil"/>
        </w:tcBorders>
        <w:shd w:val="clear" w:color="auto" w:fill="401B1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01B19" w:themeFill="accent1" w:themeFillShade="99"/>
      </w:tcPr>
    </w:tblStylePr>
    <w:tblStylePr w:type="band1Vert">
      <w:tblPr/>
      <w:tcPr>
        <w:shd w:val="clear" w:color="auto" w:fill="D69A97" w:themeFill="accent1" w:themeFillTint="66"/>
      </w:tcPr>
    </w:tblStylePr>
    <w:tblStylePr w:type="band1Horz">
      <w:tblPr/>
      <w:tcPr>
        <w:shd w:val="clear" w:color="auto" w:fill="CC827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5E6E5"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C1BE" w:themeFill="accent1" w:themeFillTint="3F"/>
      </w:tcPr>
    </w:tblStylePr>
    <w:tblStylePr w:type="band1Horz">
      <w:tblPr/>
      <w:tcPr>
        <w:shd w:val="clear" w:color="auto" w:fill="EACCCB"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CCCB" w:themeFill="accent1" w:themeFillTint="33"/>
    </w:tcPr>
    <w:tblStylePr w:type="firstRow">
      <w:rPr>
        <w:b/>
        <w:bCs/>
      </w:rPr>
      <w:tblPr/>
      <w:tcPr>
        <w:shd w:val="clear" w:color="auto" w:fill="D69A97" w:themeFill="accent1" w:themeFillTint="66"/>
      </w:tcPr>
    </w:tblStylePr>
    <w:tblStylePr w:type="lastRow">
      <w:rPr>
        <w:b/>
        <w:bCs/>
        <w:color w:val="000000" w:themeColor="text1"/>
      </w:rPr>
      <w:tblPr/>
      <w:tcPr>
        <w:shd w:val="clear" w:color="auto" w:fill="D69A97" w:themeFill="accent1" w:themeFillTint="66"/>
      </w:tcPr>
    </w:tblStylePr>
    <w:tblStylePr w:type="firstCol">
      <w:rPr>
        <w:color w:val="FFFFFF" w:themeColor="background1"/>
      </w:rPr>
      <w:tblPr/>
      <w:tcPr>
        <w:shd w:val="clear" w:color="auto" w:fill="4F221F" w:themeFill="accent1" w:themeFillShade="BF"/>
      </w:tcPr>
    </w:tblStylePr>
    <w:tblStylePr w:type="lastCol">
      <w:rPr>
        <w:color w:val="FFFFFF" w:themeColor="background1"/>
      </w:rPr>
      <w:tblPr/>
      <w:tcPr>
        <w:shd w:val="clear" w:color="auto" w:fill="4F221F" w:themeFill="accent1" w:themeFillShade="BF"/>
      </w:tc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FW Letter">
  <a:themeElements>
    <a:clrScheme name="FW Letter">
      <a:dk1>
        <a:sysClr val="windowText" lastClr="000000"/>
      </a:dk1>
      <a:lt1>
        <a:sysClr val="window" lastClr="FFFFFF"/>
      </a:lt1>
      <a:dk2>
        <a:srgbClr val="3D3D3D"/>
      </a:dk2>
      <a:lt2>
        <a:srgbClr val="EFE6DC"/>
      </a:lt2>
      <a:accent1>
        <a:srgbClr val="6B2E2A"/>
      </a:accent1>
      <a:accent2>
        <a:srgbClr val="A6A6A6"/>
      </a:accent2>
      <a:accent3>
        <a:srgbClr val="9BBB59"/>
      </a:accent3>
      <a:accent4>
        <a:srgbClr val="8064A2"/>
      </a:accent4>
      <a:accent5>
        <a:srgbClr val="4BACC6"/>
      </a:accent5>
      <a:accent6>
        <a:srgbClr val="F79646"/>
      </a:accent6>
      <a:hlink>
        <a:srgbClr val="6B2E2A"/>
      </a:hlink>
      <a:folHlink>
        <a:srgbClr val="800080"/>
      </a:folHlink>
    </a:clrScheme>
    <a:fontScheme name="FW Letter">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1593</Words>
  <Characters>9086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Note PN-14, mechanics lien claims on private works</dc:title>
  <dc:subject/>
  <dc:creator>Ferraro Whitcombe LLP</dc:creator>
  <cp:keywords/>
  <dc:description/>
  <cp:lastModifiedBy>Marguerite Okonjo</cp:lastModifiedBy>
  <cp:revision>2</cp:revision>
  <dcterms:created xsi:type="dcterms:W3CDTF">2026-03-09T15:42:11Z</dcterms:created>
  <dcterms:modified xsi:type="dcterms:W3CDTF">2026-03-12T10:18:40Z</dcterms:modified>
  <cp:category/>
</cp:coreProperties>
</file>