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F94E4" w14:textId="77777777" w:rsidR="008A51AD" w:rsidRDefault="002C2D04">
      <w:pPr>
        <w:spacing w:after="0"/>
      </w:pPr>
      <w:r>
        <w:rPr>
          <w:b/>
          <w:sz w:val="28"/>
        </w:rPr>
        <w:t>Motor Carrier Transportation Agreement</w:t>
      </w:r>
    </w:p>
    <w:p w14:paraId="5F2F95DD" w14:textId="77777777" w:rsidR="008A51AD" w:rsidRDefault="002C2D04">
      <w:pPr>
        <w:spacing w:after="40"/>
      </w:pPr>
      <w:r>
        <w:rPr>
          <w:b/>
          <w:sz w:val="24"/>
        </w:rPr>
        <w:t>Northline Freight Lines, Inc. and Halvorsen Building Products, Inc.</w:t>
      </w:r>
    </w:p>
    <w:p w14:paraId="3F95317B" w14:textId="77777777" w:rsidR="008A51AD" w:rsidRDefault="002C2D04">
      <w:r>
        <w:rPr>
          <w:i/>
        </w:rPr>
        <w:t>Agreement NFL-2026-HBP, effective January 1, 2026; pricing exhibit sections reproduced for the audit file</w:t>
      </w:r>
    </w:p>
    <w:p w14:paraId="5997FF45" w14:textId="77777777" w:rsidR="008A51AD" w:rsidRDefault="002C2D04">
      <w:pPr>
        <w:pStyle w:val="Heading1"/>
      </w:pPr>
      <w:r>
        <w:t>Section 4. Rates and charges</w:t>
      </w:r>
    </w:p>
    <w:p w14:paraId="3728CDC3" w14:textId="77777777" w:rsidR="008A51AD" w:rsidRDefault="002C2D04">
      <w:pPr>
        <w:spacing w:after="120"/>
      </w:pPr>
      <w:r>
        <w:t>4.1. Linehaul charges are computed from the lane rates in Exhibit B (the workbook northline_contract_rates_2026.xlsx) at the class 70 rate for the destination state and the weight break the shipment falls in, multiplied by the class factor for the shipment's NMFC class, and expressed per hundred pounds of actual weight.</w:t>
      </w:r>
    </w:p>
    <w:p w14:paraId="336A878F" w14:textId="77777777" w:rsidR="008A51AD" w:rsidRDefault="002C2D04">
      <w:pPr>
        <w:spacing w:after="120"/>
      </w:pPr>
      <w:r>
        <w:t>4.2. Deficit weight rating. Where the charge at the shipment's own weight break exceeds the charge computed at the minimum weight of the next higher break at that break's rate, the lower charge applies. The carrier's rating system applies this rule automatically, and the shipper may audit for it.</w:t>
      </w:r>
    </w:p>
    <w:p w14:paraId="18DF4B00" w14:textId="77777777" w:rsidR="008A51AD" w:rsidRDefault="002C2D04">
      <w:pPr>
        <w:spacing w:after="120"/>
      </w:pPr>
      <w:r>
        <w:t>4.3. The NMFC class of a shipment is the class assigned to its product group in Exhibit B. The carrier does not reclass a shipment on inspection unless an inspection certificate signed by the carrier's inspector is attached to the freight bill.</w:t>
      </w:r>
    </w:p>
    <w:p w14:paraId="494CEE81" w14:textId="77777777" w:rsidR="008A51AD" w:rsidRDefault="002C2D04">
      <w:pPr>
        <w:spacing w:after="120"/>
      </w:pPr>
      <w:r>
        <w:t>4.4. A discount of sixty-two percent applies to the class-rated linehaul charge. The net linehaul charge after discount is subject to the minimum charge in Exhibit B; the minimum charge is a floor on the net linehaul and is not itself discounted.</w:t>
      </w:r>
    </w:p>
    <w:p w14:paraId="2766AAD9" w14:textId="77777777" w:rsidR="008A51AD" w:rsidRDefault="002C2D04">
      <w:pPr>
        <w:spacing w:after="120"/>
      </w:pPr>
      <w:r>
        <w:t>4.5. Billed weight is the weight declared on the shipper's bill of lading. A carrier reweigh applies only where a certified scale ticket is attached to the freight bill and the reweigh exceeds the declared weight by more than five percent; a reweigh with no ticket in the carrier's billing file reverts to the bill of lading weight on audit.</w:t>
      </w:r>
    </w:p>
    <w:p w14:paraId="28B51476" w14:textId="77777777" w:rsidR="00ED2162" w:rsidRDefault="00144D05">
      <w:pPr>
        <w:spacing w:after="120"/>
      </w:pPr>
      <w:r>
        <w:t>4.6. Rounding. Each charge on a freight bill is computed and rounded to the nearest cent, half a cent rounding upward, in this order: the class-rated linehaul, the discount, the net linehaul, the fuel surcharge and each accessorial charge. The freight bill total is the sum of the rounded lines.</w:t>
      </w:r>
    </w:p>
    <w:p w14:paraId="45DEAD3C" w14:textId="77777777" w:rsidR="008A51AD" w:rsidRDefault="002C2D04">
      <w:pPr>
        <w:pStyle w:val="Heading1"/>
      </w:pPr>
      <w:r>
        <w:t>Section 5. Fuel surcharge</w:t>
      </w:r>
    </w:p>
    <w:p w14:paraId="0AA8C3BF" w14:textId="77777777" w:rsidR="008A51AD" w:rsidRDefault="002C2D04">
      <w:pPr>
        <w:spacing w:after="120"/>
      </w:pPr>
      <w:r>
        <w:t>5.1. A fuel surcharge applies to the net linehaul charge at the percentage in the Exhibit B fuel surcharge table for the U.S. Department of Energy national average on-highway diesel price. The surcharge does not apply to accessorial charges.</w:t>
      </w:r>
    </w:p>
    <w:p w14:paraId="076A2DEA" w14:textId="77777777" w:rsidR="008A51AD" w:rsidRDefault="002C2D04">
      <w:pPr>
        <w:spacing w:after="120"/>
      </w:pPr>
      <w:r>
        <w:t>5.2. The index published on a Monday governs every shipment picked up from that Monday through the following Sunday. The applicable index is the one in force on the pickup date shown on the bill of lading, without regard to the invoice date or the delivery date.</w:t>
      </w:r>
    </w:p>
    <w:p w14:paraId="0F700DFA" w14:textId="77777777" w:rsidR="008A51AD" w:rsidRDefault="002C2D04">
      <w:pPr>
        <w:spacing w:after="120"/>
      </w:pPr>
      <w:r>
        <w:t>5.3. The carrier publishes the weekly index and the resulting percentage in a monthly fuel bulletin to the shipper. The bulletin is informational; where the bulletin and the Exhibit B table disagree, the table governs.</w:t>
      </w:r>
    </w:p>
    <w:p w14:paraId="58D4EA7D" w14:textId="77777777" w:rsidR="008A51AD" w:rsidRDefault="002C2D04">
      <w:pPr>
        <w:pStyle w:val="Heading1"/>
      </w:pPr>
      <w:r>
        <w:lastRenderedPageBreak/>
        <w:t>Section 6. Accessorial charges</w:t>
      </w:r>
    </w:p>
    <w:p w14:paraId="7B349FDD" w14:textId="77777777" w:rsidR="008A51AD" w:rsidRDefault="002C2D04">
      <w:pPr>
        <w:spacing w:after="120"/>
      </w:pPr>
      <w:r>
        <w:t>6.1. Accessorial services are charged at the flat rates in Exhibit B and only where the service is requested on the bill of lading or confirmed in writing by the shipper before delivery. A service the driver performs without a request on the bill of lading is not billable.</w:t>
      </w:r>
    </w:p>
    <w:p w14:paraId="2CE5D50D" w14:textId="77777777" w:rsidR="008A51AD" w:rsidRDefault="002C2D04">
      <w:pPr>
        <w:spacing w:after="120"/>
      </w:pPr>
      <w:r>
        <w:t>6.2. Accessorial charges are not subject to the discount in section 4.4 or the fuel surcharge in section 5.</w:t>
      </w:r>
    </w:p>
    <w:p w14:paraId="082B1FA1" w14:textId="77777777" w:rsidR="008A51AD" w:rsidRDefault="002C2D04">
      <w:pPr>
        <w:pStyle w:val="Heading1"/>
      </w:pPr>
      <w:r>
        <w:t>Section 7. Billing, duplicate freight bills and overcharge claims</w:t>
      </w:r>
    </w:p>
    <w:p w14:paraId="79691709" w14:textId="77777777" w:rsidR="008A51AD" w:rsidRDefault="002C2D04">
      <w:pPr>
        <w:spacing w:after="120"/>
      </w:pPr>
      <w:r>
        <w:t>7.1. The carrier issues one freight bill per pro number. A second freight bill issued against a pro number already billed is void, and the shipper's remedy is to return it unpaid or to claim it if paid. A corrected freight bill that the carrier issues to replace an earlier bill on the same pro number, marked as a correction and naming the bill it replaces, is not a second freight bill; the bill it replaces is withdrawn, and the shipper returns the withdrawn bill unpaid or claims it if paid.</w:t>
      </w:r>
    </w:p>
    <w:p w14:paraId="4FA5B346" w14:textId="77777777" w:rsidR="008A51AD" w:rsidRDefault="002C2D04">
      <w:pPr>
        <w:spacing w:after="120"/>
      </w:pPr>
      <w:r>
        <w:t>7.2. The shipper may audit any freight bill and file an overcharge claim within one hundred eighty days of the freight bill date. A claim states the pro number, the freight bill number, the amount billed, the amount due under this agreement, the difference and the section of this agreement relied on, whether section 4.2, section 4.3, section 4.5, section 4.6, section 5.2, section 6.1 or section 7.1. The carrier answers a claim within thirty days. An undercharge found on audit is handled under section 7.3 and is not a claim.</w:t>
      </w:r>
    </w:p>
    <w:p w14:paraId="22DB59C6" w14:textId="77777777" w:rsidR="008A51AD" w:rsidRDefault="002C2D04">
      <w:pPr>
        <w:spacing w:after="120"/>
      </w:pPr>
      <w:r>
        <w:t>7.3. Where an audit finds a charge the carrier omitted or understated, the shipper reports it and the carrier may issue a balance-due bill within ninety days of the original freight bill date. The shipper does not net an undercharge against an overcharge claim.</w:t>
      </w:r>
    </w:p>
    <w:p w14:paraId="540FD67F" w14:textId="77777777" w:rsidR="008A51AD" w:rsidRDefault="002C2D04">
      <w:pPr>
        <w:spacing w:after="120"/>
      </w:pPr>
      <w:r>
        <w:t>7.4. Payment terms are net thirty days from the freight bill date. Payment of a freight bill does not waive the shipper's right to audit and claim under section 7.2.</w:t>
      </w:r>
    </w:p>
    <w:p w14:paraId="7EA4B09B" w14:textId="77777777" w:rsidR="008A51AD" w:rsidRDefault="002C2D04">
      <w:pPr>
        <w:pStyle w:val="Heading1"/>
      </w:pPr>
      <w:r>
        <w:t>Section 8. Term</w:t>
      </w:r>
    </w:p>
    <w:p w14:paraId="0F182EC9" w14:textId="77777777" w:rsidR="008A51AD" w:rsidRDefault="002C2D04">
      <w:pPr>
        <w:spacing w:after="120"/>
      </w:pPr>
      <w:r>
        <w:t>8.1. This agreement runs through December 31, 2026 and renews for successive one-year terms unless either party gives sixty days' written notice. Exhibit B rates are fixed for the term.</w:t>
      </w:r>
    </w:p>
    <w:p w14:paraId="2DC78DE4" w14:textId="77777777" w:rsidR="008A51AD" w:rsidRDefault="002C2D04">
      <w:pPr>
        <w:spacing w:after="120"/>
      </w:pPr>
      <w:r>
        <w:rPr>
          <w:i/>
        </w:rPr>
        <w:t>Signed for Northline Freight Lines, Inc. by Curtis Wendland, Vice President, Pricing, and for Halvorsen Building Products, Inc. by Renate Halvorsen, President, December 12, 2025.</w:t>
      </w:r>
    </w:p>
    <w:sectPr w:rsidR="008A51A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946646">
    <w:abstractNumId w:val="8"/>
  </w:num>
  <w:num w:numId="2" w16cid:durableId="1955667862">
    <w:abstractNumId w:val="6"/>
  </w:num>
  <w:num w:numId="3" w16cid:durableId="1997368815">
    <w:abstractNumId w:val="5"/>
  </w:num>
  <w:num w:numId="4" w16cid:durableId="824126638">
    <w:abstractNumId w:val="4"/>
  </w:num>
  <w:num w:numId="5" w16cid:durableId="1325473564">
    <w:abstractNumId w:val="7"/>
  </w:num>
  <w:num w:numId="6" w16cid:durableId="503470430">
    <w:abstractNumId w:val="3"/>
  </w:num>
  <w:num w:numId="7" w16cid:durableId="1199464561">
    <w:abstractNumId w:val="2"/>
  </w:num>
  <w:num w:numId="8" w16cid:durableId="1024987604">
    <w:abstractNumId w:val="1"/>
  </w:num>
  <w:num w:numId="9" w16cid:durableId="18691731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2C2D04"/>
    <w:rsid w:val="00326F90"/>
    <w:rsid w:val="00481B4D"/>
    <w:rsid w:val="00632653"/>
    <w:rsid w:val="006B4089"/>
    <w:rsid w:val="00784E14"/>
    <w:rsid w:val="00881BDA"/>
    <w:rsid w:val="008A51AD"/>
    <w:rsid w:val="008B085E"/>
    <w:rsid w:val="00AA1D8D"/>
    <w:rsid w:val="00AF0001"/>
    <w:rsid w:val="00B47730"/>
    <w:rsid w:val="00C052EE"/>
    <w:rsid w:val="00CB0664"/>
    <w:rsid w:val="00ED2162"/>
    <w:rsid w:val="00EF2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A77A3"/>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4191</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Carrier Transportation Agreement NFL-2026-HBP</dc:title>
  <dc:subject/>
  <dc:creator>Curtis Wendland</dc:creator>
  <cp:keywords/>
  <dc:description/>
  <cp:lastModifiedBy>Halvorsen Building Products</cp:lastModifiedBy>
  <cp:revision>1</cp:revision>
  <dcterms:created xsi:type="dcterms:W3CDTF">2025-12-12T14:05:33Z</dcterms:created>
  <dcterms:modified xsi:type="dcterms:W3CDTF">2026-01-06T09:41:12Z</dcterms:modified>
  <cp:category/>
</cp:coreProperties>
</file>