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59F520" w14:textId="77777777" w:rsidR="00E26762" w:rsidRDefault="008B3E27">
      <w:r>
        <w:rPr>
          <w:b/>
          <w:color w:val="4A5D3A"/>
          <w:sz w:val="26"/>
        </w:rPr>
        <w:t>Piedmont Ridge Properties, LLC</w:t>
      </w:r>
    </w:p>
    <w:p w14:paraId="401DA3EB" w14:textId="77777777" w:rsidR="00E26762" w:rsidRDefault="008B3E27">
      <w:pPr>
        <w:pBdr>
          <w:bottom w:val="single" w:sz="8" w:space="1" w:color="4A5D3A"/>
        </w:pBdr>
      </w:pPr>
      <w:r>
        <w:rPr>
          <w:color w:val="333333"/>
          <w:sz w:val="19"/>
        </w:rPr>
        <w:t>Larkspur Crossing Building B, project close-out file: notice of completion, completion memoranda, and correspondence on the recorded claims. Compiled by Nadia Ferris, asset manager, for Ferraro Whitcombe LLP, October 13, 2026.</w:t>
      </w:r>
    </w:p>
    <w:p w14:paraId="4C26394D" w14:textId="77777777" w:rsidR="00E26762" w:rsidRDefault="008B3E27">
      <w:pPr>
        <w:pStyle w:val="Heading1"/>
      </w:pPr>
      <w:r>
        <w:t>A. Notice of completion as recorded</w:t>
      </w:r>
    </w:p>
    <w:p w14:paraId="71710B06" w14:textId="77777777" w:rsidR="00E26762" w:rsidRDefault="008B3E27">
      <w:r>
        <w:rPr>
          <w:sz w:val="19"/>
        </w:rPr>
        <w:t>Recording requested by and when recorded mail to: Piedmont Ridge Properties, LLC, 3100 Douglas Boulevard, Suite 260, Roseville, California 95661. Recorded August 26, 2026, Placer County Recorder, Document No. 2026-0081562.</w:t>
      </w:r>
    </w:p>
    <w:p w14:paraId="18C0CD08" w14:textId="77777777" w:rsidR="00E26762" w:rsidRDefault="008B3E27">
      <w:pPr>
        <w:jc w:val="center"/>
      </w:pPr>
      <w:r>
        <w:rPr>
          <w:b/>
        </w:rPr>
        <w:t>NOTICE OF COMPLETION (Civil Code section 8182)</w:t>
      </w:r>
    </w:p>
    <w:p w14:paraId="37867C4E" w14:textId="77777777" w:rsidR="00E26762" w:rsidRDefault="008B3E27">
      <w:r>
        <w:t>1. The undersigned is the owner of the interest stated below in the property described below.</w:t>
      </w:r>
    </w:p>
    <w:p w14:paraId="3D5B925B" w14:textId="77777777" w:rsidR="00E26762" w:rsidRDefault="008B3E27">
      <w:r>
        <w:t>2. The full name of the owner is Piedmont Ridge Properties, LLC, a California limited liability company.</w:t>
      </w:r>
    </w:p>
    <w:p w14:paraId="7D0A749D" w14:textId="77777777" w:rsidR="00E26762" w:rsidRDefault="008B3E27">
      <w:r>
        <w:t>3. The full address of the owner is 3100 Douglas Boulevard, Suite 260, Roseville, California 95661.</w:t>
      </w:r>
    </w:p>
    <w:p w14:paraId="152896C9" w14:textId="77777777" w:rsidR="00E26762" w:rsidRDefault="008B3E27">
      <w:r>
        <w:t>4. The nature of the interest of the owner is fee simple.</w:t>
      </w:r>
    </w:p>
    <w:p w14:paraId="512D5823" w14:textId="77777777" w:rsidR="00E26762" w:rsidRDefault="008B3E27">
      <w:r>
        <w:t>5. A work of improvement on the property described below was completed on August 11, 2026. The work of improvement is a two story retail and office building of approximately 31,400 square feet, with site improvements, known as Larkspur Crossing Building B.</w:t>
      </w:r>
    </w:p>
    <w:p w14:paraId="539B1C9E" w14:textId="77777777" w:rsidR="00E26762" w:rsidRDefault="008B3E27">
      <w:r>
        <w:t>6. The name of the direct contractor for the work of improvement is Dunmore-Kettle Builders, Inc., 2140 Sunset Boulevard, Suite 110, Rocklin, California 95765.</w:t>
      </w:r>
    </w:p>
    <w:p w14:paraId="00A5B471" w14:textId="77777777" w:rsidR="00E26762" w:rsidRDefault="008B3E27">
      <w:r>
        <w:t>7. The property is that certain real property in the City of Roseville, County of Placer, State of California, described as Lot 3 of Larkspur Crossing Commercial Subdivision, Book 42 of Maps, Page 117, Placer County Records, commonly known as 2210 Pleasant Grove Boulevard, Roseville, California 95747, APN 480-210-037.</w:t>
      </w:r>
    </w:p>
    <w:p w14:paraId="7007FAC3" w14:textId="77777777" w:rsidR="00E26762" w:rsidRDefault="008B3E27">
      <w:r>
        <w:t>8. There is no construction lender for the work of improvement.</w:t>
      </w:r>
    </w:p>
    <w:p w14:paraId="7D2BEF04" w14:textId="77777777" w:rsidR="00E26762" w:rsidRDefault="008B3E27">
      <w:r>
        <w:t>Verification. I, Nadia Ferris, am the asset manager and an authorized agent of the owner named above. I have read this notice of completion and know its contents, and the facts stated in it are true. I declare under penalty of perjury under the laws of the State of California that the foregoing is true and correct. Executed August 24, 2026 at Roseville, California. Signed, Nadia Ferris, asset manager, Piedmont Ridge Properties, LLC.</w:t>
      </w:r>
    </w:p>
    <w:p w14:paraId="197D7281" w14:textId="77777777" w:rsidR="00E26762" w:rsidRDefault="008B3E27">
      <w:pPr>
        <w:pStyle w:val="Heading1"/>
      </w:pPr>
      <w:r>
        <w:t>B. Completion memoranda</w:t>
      </w:r>
    </w:p>
    <w:p w14:paraId="7C9E70B0" w14:textId="77777777" w:rsidR="00E26762" w:rsidRDefault="008B3E27">
      <w:r>
        <w:t>To: Nadia Ferris, asset manager. From: Devlin Marsh, construction manager, Piedmont Ridge Properties, LLC. Date: August 19, 2026. Subject: Larkspur Crossing Building B, completion.</w:t>
      </w:r>
    </w:p>
    <w:p w14:paraId="6556081F" w14:textId="77777777" w:rsidR="00E26762" w:rsidRDefault="008B3E27">
      <w:r>
        <w:t xml:space="preserve">The City of Roseville building division passed the final inspection on Tuesday, August 11, 2026 and issued the certificate of occupancy the same afternoon under permit B25-1187. The city still shows our old office, 1440 Eureka Road, Suite 100, as the owner's address on that permit, and I have asked the building division to change it to Douglas Boulevard. Ostrowski Electric made the final connections at the roof units on the morning of August 11 and that was the last labor on the site by any trade; my daily log shows no crew on the site on August 12 or after, and the construction fence came down on August 13. Sorensen Landscape finished the planting and the irrigation check on August 6, and Bautista Painting finished the exterior punch list on August 7. Kastner Mechanical's testing and balancing subcontractor was on the roof August 5 through August 10 and left when the report was done. Dunmore-Kettle's superintendent signed the log on August 11 as the </w:t>
      </w:r>
      <w:r>
        <w:lastRenderedPageBreak/>
        <w:t>last day of work. On those facts the work of improvement was completed on August 11, 2026, and I have given that date to Nadia for the notice of completion.</w:t>
      </w:r>
    </w:p>
    <w:p w14:paraId="30827497" w14:textId="77777777" w:rsidR="00E26762" w:rsidRDefault="008B3E27">
      <w:r>
        <w:t>Dunmore-Kettle tells me payment application 8 will be marked final and will cover the period ending August 11. It will carry the balance of the contract sum as adjusted by the six approved change orders, $3,828,250.00 against the original $3,748,250.00, and ask for release of all retention, which will stand at $191,412.50 once application 8 is certified. I recommend holding the final application until any recorded claims are resolved, because the subcontractor waivers we have from Dunmore-Kettle so far are incomplete.</w:t>
      </w:r>
    </w:p>
    <w:p w14:paraId="17BF8AD7" w14:textId="77777777" w:rsidR="00E26762" w:rsidRDefault="008B3E27">
      <w:r>
        <w:t>One item for the file: Kastner's testing and balancing report shows two of the six rooftop units short of design airflow. The balancing contractor has estimated the correction at $22,000.00. Dunmore-Kettle disputes that the shortfall is its responsibility and says the units deliver the airflow the drawings call for, and our mechanical engineer disagrees; the two of them have exchanged letters on it. The certificate of occupancy was issued with the units as they are, and the tenant improvement work is not affected.</w:t>
      </w:r>
    </w:p>
    <w:p w14:paraId="2A3E269C" w14:textId="77777777" w:rsidR="00E26762" w:rsidRDefault="008B3E27">
      <w:r>
        <w:t>To: Nadia Ferris, asset manager. From: Devlin Marsh, construction manager. Date: September 10, 2026. Subject: Larkspur Crossing Building B, copies of the notice of completion.</w:t>
      </w:r>
    </w:p>
    <w:p w14:paraId="2D5BF39B" w14:textId="77777777" w:rsidR="00E26762" w:rsidRDefault="008B3E27">
      <w:r>
        <w:t>The copies of the recorded notice of completion went out by certified mail in three lots as I confirmed the addresses. Dunmore-Kettle and the subcontractors and suppliers who sent us 20 day notices are covered. The article numbers are on the certified mail tab of the project file, and the green cards go into the job binder as they come back. I handed nothing over the counter and sent nothing by courier, so the mail log is the whole record.</w:t>
      </w:r>
    </w:p>
    <w:p w14:paraId="3B9D5F58" w14:textId="77777777" w:rsidR="00E26762" w:rsidRDefault="008B3E27">
      <w:pPr>
        <w:pStyle w:val="Heading1"/>
      </w:pPr>
      <w:r>
        <w:t>C. Correspondence</w:t>
      </w:r>
    </w:p>
    <w:p w14:paraId="1F5F8B3D" w14:textId="77777777" w:rsidR="00E26762" w:rsidRDefault="008B3E27">
      <w:r>
        <w:t>From: Reid Castellano, project manager, Dunmore-Kettle Builders, Inc. To: Nadia Ferris. Cc: Lorna Pieters. Date: Thursday, October 1, 2026, 4:12 pm. Subject: RE: Larkspur B recorded liens</w:t>
      </w:r>
    </w:p>
    <w:p w14:paraId="2F6D5597" w14:textId="77777777" w:rsidR="00E26762" w:rsidRDefault="008B3E27">
      <w:r>
        <w:t>Nadia, here is where each claimant stands from our side. Tallac: we paid them everything except the May balance, which we short paid for the slab repair at the loading dock, and their retention is in the retention you hold. Foothill Ready Mix and Norcal Rebar are Tallac's suppliers, not ours. We did receive a 20 day notice from Norcal in February addressed to us, and I do not know whether they sent one to you. Hedrick is Nakamura Framing's lumber supplier. We paid Nakamura in full through their last draw, and they have not paid Hedrick. Nakamura says that is a dispute over returned trusses. Capitol Wire is Ostrowski's supplier, and Sierra Pipe is Petrakis's. Ostrowski tells me the Capitol Wire balance is in the final draw we have not paid, apart from an old meter socket the two of them are still arguing about, and Petrakis says the same about Sierra Pipe's July fixtures and a fittings return from the spring. Abrego, Fenwick, Petrakis, and Lindqvist were paid through their last billings. What they are claiming is retention, and that is in the retention you hold; the extra Lindqvist put in its claim is its change order request for the added heads on the tenant side, which is still open with us. Granite Bay Sheet Metal is Kastner's duct fabricator. Kastner tells me the July and August duct invoices are inside the final billing we have not paid, and I do not have a 20 day notice from them in our file. Kastner: their July draw went out on check 4460 on August 18, and they signed the release for that draw when they picked the check up, so July is behind us. Their final billing and retention are on our final application to you. Bautista: we have not released their July draw. Efren signed his release through July 31 when he came in on August 3 expecting the check, and his crew did not come back to finish the interior touch-up until we pushed. Their August punch invoice is in our accounts payable and has not been approved. Ostrowski: their July draw was paid on check 4461, and they gave us a release for the final draw when we cut the check for it on September 30. Their retention is on our final application. Calder Drywall: their July draw is being held against the back charge for the plaster patching, which they dispute. They signed our release form for July when they turned in the billing. Sorensen is not one of ours, and we never had a subcontract with them. We will record our own claim if the final application and the retention are not paid by the middle of October, and I would rather not. Reid.</w:t>
      </w:r>
    </w:p>
    <w:p w14:paraId="10793EB3" w14:textId="77777777" w:rsidR="00E26762" w:rsidRDefault="008B3E27">
      <w:r>
        <w:t>From: Nadia Ferris. To: Marguerite Okonjo, Ferraro Whitcombe LLP. Date: Friday, October 2, 2026, 9:40 am. Subject: Larkspur B, liens and the refinance</w:t>
      </w:r>
    </w:p>
    <w:p w14:paraId="16671F63" w14:textId="77777777" w:rsidR="00E26762" w:rsidRDefault="008B3E27">
      <w:r>
        <w:t>Marguerite, the refinance of Larkspur Crossing with Sutter Valley Bank is set to close on November 20, 2026, and the bank's counsel has told us that every recorded claim of lien must be released of record or bonded before they will fund, with the releases and bonds recorded no later than November 6. There are sixteen claims. As far as I can tell from Reid's note, every one of them is either recorded too late, waived, or owed by Dunmore-Kettle and not by us, and I would like to answer the bank on that basis. Please tell me which claims we can demand released and which we would have to bond, and what each bond has to be. The surety will write release bonds on this property up to 15 percent of the value in the bank's appraisal, which came in at $3,842,450.00, and I expect that is far more than we will need. We still hold Dunmore-Kettle's final application and all of the retention, and I would like to be able to say that what we hold covers whatever their subcontractors and suppliers can actually enforce. Devlin also needs to know how much of Dunmore-Kettle's retention we have to release now, and what it costs us for each month we hold all of it past the date the Code sets, because Reid has started asking about the penalty. Reid's message and Devlin's memos are attached, and the notice of completion is in the file. I have also sent over our project file with the preliminary notice log, the waiver log, the payment register, and the certified mail log. Nadia.</w:t>
      </w:r>
    </w:p>
    <w:p w14:paraId="0D2BE1F3" w14:textId="77777777" w:rsidR="00E26762" w:rsidRDefault="008B3E27">
      <w:r>
        <w:t>From: Marguerite Okonjo, partner, Ferraro Whitcombe LLP. To: Nadia Ferris. Cc: Reid Castellano, Lorna Pieters. Date: Friday, October 2, 2026, 11:05 am. Subject: RE: Larkspur B, liens and the refinance</w:t>
      </w:r>
    </w:p>
    <w:p w14:paraId="6787D79B" w14:textId="77777777" w:rsidR="00E26762" w:rsidRDefault="008B3E27">
      <w:r>
        <w:t>Nadia, we will work the sixteen claims through and give you a written analysis. Reid, Lorna, please send us Dunmore-Kettle's subcontractor payment ledger for the project, every check to every subcontractor and what became of it, so that we can tie the waivers to the payments. We have ordered the recorder's copies of the claims and a civil index search today. Marguerite.</w:t>
      </w:r>
    </w:p>
    <w:p w14:paraId="61673537" w14:textId="77777777" w:rsidR="00E26762" w:rsidRDefault="008B3E27">
      <w:r>
        <w:t>From: Lorna Pieters, controller, Dunmore-Kettle Builders, Inc. To: Marguerite Okonjo. Cc: Reid Castellano, Nadia Ferris. Date: Saturday, October 10, 2026, 8:51 am. Subject: Larkspur B subcontractor payment ledger</w:t>
      </w:r>
    </w:p>
    <w:p w14:paraId="4F716C00" w14:textId="77777777" w:rsidR="00E26762" w:rsidRDefault="008B3E27">
      <w:r>
        <w:t>Marguerite, attached is the subcontractor payment ledger for job 2531, Larkspur Crossing Building B, exported from our accounting system this morning. It lists every entry against a subcontractor check on the job from the first draw through today, with the payment application the check was issued against. TYPE is CHK for a check issued and STP for a stop payment placed with the bank, and the amount on a stop payment line is the check amount reversed. BANK_CLEARED is the date the check paid at our bank, and it is blank where the check has not paid. Suppliers to our subcontractors are not on the ledger because we do not pay them, except that the joint check we issued to Ostrowski and Capitol Wire on the 6th for the second fixture release is there, because it went out of our account. Lorna.</w:t>
      </w:r>
    </w:p>
    <w:p w14:paraId="4D4920DA" w14:textId="77777777" w:rsidR="00E26762" w:rsidRDefault="008B3E27">
      <w:pPr>
        <w:pStyle w:val="Heading1"/>
      </w:pPr>
      <w:r>
        <w:t>D. Civil index and recorder searches</w:t>
      </w:r>
    </w:p>
    <w:p w14:paraId="097E37C5" w14:textId="77777777" w:rsidR="00E26762" w:rsidRDefault="008B3E27">
      <w:r>
        <w:t>Placer County Superior Court, civil case index search, run October 2, 2026 at 2:15 pm by Ines Balogh, docket clerk, Ferraro Whitcombe LLP. The index was current through the close of business on October 1 when the search was run. Search terms: Piedmont Ridge Properties, Larkspur Crossing, 2210 Pleasant Grove, and each of the sixteen claimants as plaintiff. Filing dates searched: January 1, 2026 through October 1, 2026. Result: no civil action found naming Piedmont Ridge Properties, LLC as a defendant, and no action found with any of the sixteen claimants as plaintiff in which the property is described.</w:t>
      </w:r>
    </w:p>
    <w:p w14:paraId="4A2E3B9C" w14:textId="77777777" w:rsidR="00E26762" w:rsidRDefault="008B3E27">
      <w:r>
        <w:t>Placer County Recorder, index search on APN 480-210-037, run October 2, 2026. The instruments recorded since January 1, 2026 are listed below. The index shows no notice of pendency of action, no notice of credit, no release of any claim, and no release bond.</w:t>
      </w:r>
    </w:p>
    <w:tbl>
      <w:tblPr>
        <w:tblStyle w:val="TableGrid"/>
        <w:tblW w:w="0" w:type="auto"/>
        <w:tblLook w:val="04A0" w:firstRow="1" w:lastRow="0" w:firstColumn="1" w:lastColumn="0" w:noHBand="0" w:noVBand="1"/>
      </w:tblPr>
      <w:tblGrid>
        <w:gridCol w:w="1838"/>
        <w:gridCol w:w="1428"/>
        <w:gridCol w:w="2670"/>
        <w:gridCol w:w="3640"/>
      </w:tblGrid>
      <w:tr w:rsidR="00E26762" w14:paraId="332C9CBD" w14:textId="77777777">
        <w:tc>
          <w:tcPr>
            <w:tcW w:w="1872" w:type="dxa"/>
            <w:shd w:val="clear" w:color="auto" w:fill="E8E8E8"/>
          </w:tcPr>
          <w:p w14:paraId="6AB1AE9B" w14:textId="77777777" w:rsidR="00E26762" w:rsidRDefault="008B3E27">
            <w:pPr>
              <w:spacing w:after="0"/>
            </w:pPr>
            <w:r>
              <w:rPr>
                <w:b/>
                <w:sz w:val="19"/>
              </w:rPr>
              <w:t>Document No.</w:t>
            </w:r>
          </w:p>
        </w:tc>
        <w:tc>
          <w:tcPr>
            <w:tcW w:w="1440" w:type="dxa"/>
            <w:shd w:val="clear" w:color="auto" w:fill="E8E8E8"/>
          </w:tcPr>
          <w:p w14:paraId="3D844F78" w14:textId="77777777" w:rsidR="00E26762" w:rsidRDefault="008B3E27">
            <w:pPr>
              <w:spacing w:after="0"/>
            </w:pPr>
            <w:r>
              <w:rPr>
                <w:b/>
                <w:sz w:val="19"/>
              </w:rPr>
              <w:t>Recorded</w:t>
            </w:r>
          </w:p>
        </w:tc>
        <w:tc>
          <w:tcPr>
            <w:tcW w:w="2736" w:type="dxa"/>
            <w:shd w:val="clear" w:color="auto" w:fill="E8E8E8"/>
          </w:tcPr>
          <w:p w14:paraId="17E97C4C" w14:textId="77777777" w:rsidR="00E26762" w:rsidRDefault="008B3E27">
            <w:pPr>
              <w:spacing w:after="0"/>
            </w:pPr>
            <w:r>
              <w:rPr>
                <w:b/>
                <w:sz w:val="19"/>
              </w:rPr>
              <w:t>Instrument</w:t>
            </w:r>
          </w:p>
        </w:tc>
        <w:tc>
          <w:tcPr>
            <w:tcW w:w="3744" w:type="dxa"/>
            <w:shd w:val="clear" w:color="auto" w:fill="E8E8E8"/>
          </w:tcPr>
          <w:p w14:paraId="735230F2" w14:textId="77777777" w:rsidR="00E26762" w:rsidRDefault="008B3E27">
            <w:pPr>
              <w:spacing w:after="0"/>
            </w:pPr>
            <w:r>
              <w:rPr>
                <w:b/>
                <w:sz w:val="19"/>
              </w:rPr>
              <w:t>Recorded at the request of</w:t>
            </w:r>
          </w:p>
        </w:tc>
      </w:tr>
      <w:tr w:rsidR="00E26762" w14:paraId="66680956" w14:textId="77777777">
        <w:tc>
          <w:tcPr>
            <w:tcW w:w="1872" w:type="dxa"/>
          </w:tcPr>
          <w:p w14:paraId="5185DCFE" w14:textId="77777777" w:rsidR="00E26762" w:rsidRDefault="008B3E27">
            <w:pPr>
              <w:spacing w:after="0"/>
            </w:pPr>
            <w:r>
              <w:rPr>
                <w:sz w:val="19"/>
              </w:rPr>
              <w:t>2026-0060418</w:t>
            </w:r>
          </w:p>
        </w:tc>
        <w:tc>
          <w:tcPr>
            <w:tcW w:w="1440" w:type="dxa"/>
          </w:tcPr>
          <w:p w14:paraId="177BF06A" w14:textId="77777777" w:rsidR="00E26762" w:rsidRDefault="008B3E27">
            <w:pPr>
              <w:spacing w:after="0"/>
            </w:pPr>
            <w:r>
              <w:rPr>
                <w:sz w:val="19"/>
              </w:rPr>
              <w:t>06/26/2026</w:t>
            </w:r>
          </w:p>
        </w:tc>
        <w:tc>
          <w:tcPr>
            <w:tcW w:w="2736" w:type="dxa"/>
          </w:tcPr>
          <w:p w14:paraId="08C2DAD1" w14:textId="77777777" w:rsidR="00E26762" w:rsidRDefault="008B3E27">
            <w:pPr>
              <w:spacing w:after="0"/>
            </w:pPr>
            <w:r>
              <w:rPr>
                <w:sz w:val="19"/>
              </w:rPr>
              <w:t>Claim of mechanics lien</w:t>
            </w:r>
          </w:p>
        </w:tc>
        <w:tc>
          <w:tcPr>
            <w:tcW w:w="3744" w:type="dxa"/>
          </w:tcPr>
          <w:p w14:paraId="36514244" w14:textId="77777777" w:rsidR="00E26762" w:rsidRDefault="008B3E27">
            <w:pPr>
              <w:spacing w:after="0"/>
            </w:pPr>
            <w:r>
              <w:rPr>
                <w:sz w:val="19"/>
              </w:rPr>
              <w:t>Tallac Concrete, Inc.</w:t>
            </w:r>
          </w:p>
        </w:tc>
      </w:tr>
      <w:tr w:rsidR="00E26762" w14:paraId="0A08F7B4" w14:textId="77777777">
        <w:tc>
          <w:tcPr>
            <w:tcW w:w="1872" w:type="dxa"/>
          </w:tcPr>
          <w:p w14:paraId="403B11E4" w14:textId="77777777" w:rsidR="00E26762" w:rsidRDefault="008B3E27">
            <w:pPr>
              <w:spacing w:after="0"/>
            </w:pPr>
            <w:r>
              <w:rPr>
                <w:sz w:val="19"/>
              </w:rPr>
              <w:t>2026-0063905</w:t>
            </w:r>
          </w:p>
        </w:tc>
        <w:tc>
          <w:tcPr>
            <w:tcW w:w="1440" w:type="dxa"/>
          </w:tcPr>
          <w:p w14:paraId="352A3604" w14:textId="77777777" w:rsidR="00E26762" w:rsidRDefault="008B3E27">
            <w:pPr>
              <w:spacing w:after="0"/>
            </w:pPr>
            <w:r>
              <w:rPr>
                <w:sz w:val="19"/>
              </w:rPr>
              <w:t>07/06/2026</w:t>
            </w:r>
          </w:p>
        </w:tc>
        <w:tc>
          <w:tcPr>
            <w:tcW w:w="2736" w:type="dxa"/>
          </w:tcPr>
          <w:p w14:paraId="2F66F74B" w14:textId="77777777" w:rsidR="00E26762" w:rsidRDefault="008B3E27">
            <w:pPr>
              <w:spacing w:after="0"/>
            </w:pPr>
            <w:r>
              <w:rPr>
                <w:sz w:val="19"/>
              </w:rPr>
              <w:t>Claim of mechanics lien</w:t>
            </w:r>
          </w:p>
        </w:tc>
        <w:tc>
          <w:tcPr>
            <w:tcW w:w="3744" w:type="dxa"/>
          </w:tcPr>
          <w:p w14:paraId="1C29C8CC" w14:textId="77777777" w:rsidR="00E26762" w:rsidRDefault="008B3E27">
            <w:pPr>
              <w:spacing w:after="0"/>
            </w:pPr>
            <w:r>
              <w:rPr>
                <w:sz w:val="19"/>
              </w:rPr>
              <w:t>Foothill Ready Mix, Inc.</w:t>
            </w:r>
          </w:p>
        </w:tc>
      </w:tr>
      <w:tr w:rsidR="00E26762" w14:paraId="75FB593D" w14:textId="77777777">
        <w:tc>
          <w:tcPr>
            <w:tcW w:w="1872" w:type="dxa"/>
          </w:tcPr>
          <w:p w14:paraId="151373B5" w14:textId="77777777" w:rsidR="00E26762" w:rsidRDefault="008B3E27">
            <w:pPr>
              <w:spacing w:after="0"/>
            </w:pPr>
            <w:r>
              <w:rPr>
                <w:sz w:val="19"/>
              </w:rPr>
              <w:t>2026-0081562</w:t>
            </w:r>
          </w:p>
        </w:tc>
        <w:tc>
          <w:tcPr>
            <w:tcW w:w="1440" w:type="dxa"/>
          </w:tcPr>
          <w:p w14:paraId="264AACE4" w14:textId="77777777" w:rsidR="00E26762" w:rsidRDefault="008B3E27">
            <w:pPr>
              <w:spacing w:after="0"/>
            </w:pPr>
            <w:r>
              <w:rPr>
                <w:sz w:val="19"/>
              </w:rPr>
              <w:t>08/26/2026</w:t>
            </w:r>
          </w:p>
        </w:tc>
        <w:tc>
          <w:tcPr>
            <w:tcW w:w="2736" w:type="dxa"/>
          </w:tcPr>
          <w:p w14:paraId="19D75AE8" w14:textId="77777777" w:rsidR="00E26762" w:rsidRDefault="008B3E27">
            <w:pPr>
              <w:spacing w:after="0"/>
            </w:pPr>
            <w:r>
              <w:rPr>
                <w:sz w:val="19"/>
              </w:rPr>
              <w:t>Notice of completion</w:t>
            </w:r>
          </w:p>
        </w:tc>
        <w:tc>
          <w:tcPr>
            <w:tcW w:w="3744" w:type="dxa"/>
          </w:tcPr>
          <w:p w14:paraId="75C732F8" w14:textId="77777777" w:rsidR="00E26762" w:rsidRDefault="008B3E27">
            <w:pPr>
              <w:spacing w:after="0"/>
            </w:pPr>
            <w:r>
              <w:rPr>
                <w:sz w:val="19"/>
              </w:rPr>
              <w:t>Piedmont Ridge Properties, LLC</w:t>
            </w:r>
          </w:p>
        </w:tc>
      </w:tr>
      <w:tr w:rsidR="00E26762" w14:paraId="74E336C2" w14:textId="77777777">
        <w:tc>
          <w:tcPr>
            <w:tcW w:w="1872" w:type="dxa"/>
          </w:tcPr>
          <w:p w14:paraId="469B70D2" w14:textId="77777777" w:rsidR="00E26762" w:rsidRDefault="008B3E27">
            <w:pPr>
              <w:spacing w:after="0"/>
            </w:pPr>
            <w:r>
              <w:rPr>
                <w:sz w:val="19"/>
              </w:rPr>
              <w:t>2026-0095207</w:t>
            </w:r>
          </w:p>
        </w:tc>
        <w:tc>
          <w:tcPr>
            <w:tcW w:w="1440" w:type="dxa"/>
          </w:tcPr>
          <w:p w14:paraId="54440546" w14:textId="77777777" w:rsidR="00E26762" w:rsidRDefault="008B3E27">
            <w:pPr>
              <w:spacing w:after="0"/>
            </w:pPr>
            <w:r>
              <w:rPr>
                <w:sz w:val="19"/>
              </w:rPr>
              <w:t>09/14/2026</w:t>
            </w:r>
          </w:p>
        </w:tc>
        <w:tc>
          <w:tcPr>
            <w:tcW w:w="2736" w:type="dxa"/>
          </w:tcPr>
          <w:p w14:paraId="508B383A" w14:textId="77777777" w:rsidR="00E26762" w:rsidRDefault="008B3E27">
            <w:pPr>
              <w:spacing w:after="0"/>
            </w:pPr>
            <w:r>
              <w:rPr>
                <w:sz w:val="19"/>
              </w:rPr>
              <w:t>Claim of mechanics lien</w:t>
            </w:r>
          </w:p>
        </w:tc>
        <w:tc>
          <w:tcPr>
            <w:tcW w:w="3744" w:type="dxa"/>
          </w:tcPr>
          <w:p w14:paraId="07F8F532" w14:textId="77777777" w:rsidR="00E26762" w:rsidRDefault="008B3E27">
            <w:pPr>
              <w:spacing w:after="0"/>
            </w:pPr>
            <w:r>
              <w:rPr>
                <w:sz w:val="19"/>
              </w:rPr>
              <w:t>Norcal Rebar &amp; Mesh, LLC</w:t>
            </w:r>
          </w:p>
        </w:tc>
      </w:tr>
      <w:tr w:rsidR="00E26762" w14:paraId="0D9EF6E5" w14:textId="77777777">
        <w:tc>
          <w:tcPr>
            <w:tcW w:w="1872" w:type="dxa"/>
          </w:tcPr>
          <w:p w14:paraId="4BB8A823" w14:textId="77777777" w:rsidR="00E26762" w:rsidRDefault="008B3E27">
            <w:pPr>
              <w:spacing w:after="0"/>
            </w:pPr>
            <w:r>
              <w:rPr>
                <w:sz w:val="19"/>
              </w:rPr>
              <w:t>2026-0096088</w:t>
            </w:r>
          </w:p>
        </w:tc>
        <w:tc>
          <w:tcPr>
            <w:tcW w:w="1440" w:type="dxa"/>
          </w:tcPr>
          <w:p w14:paraId="061723B4" w14:textId="77777777" w:rsidR="00E26762" w:rsidRDefault="008B3E27">
            <w:pPr>
              <w:spacing w:after="0"/>
            </w:pPr>
            <w:r>
              <w:rPr>
                <w:sz w:val="19"/>
              </w:rPr>
              <w:t>09/16/2026</w:t>
            </w:r>
          </w:p>
        </w:tc>
        <w:tc>
          <w:tcPr>
            <w:tcW w:w="2736" w:type="dxa"/>
          </w:tcPr>
          <w:p w14:paraId="40C173D4" w14:textId="77777777" w:rsidR="00E26762" w:rsidRDefault="008B3E27">
            <w:pPr>
              <w:spacing w:after="0"/>
            </w:pPr>
            <w:r>
              <w:rPr>
                <w:sz w:val="19"/>
              </w:rPr>
              <w:t>Claim of mechanics lien</w:t>
            </w:r>
          </w:p>
        </w:tc>
        <w:tc>
          <w:tcPr>
            <w:tcW w:w="3744" w:type="dxa"/>
          </w:tcPr>
          <w:p w14:paraId="588551C6" w14:textId="77777777" w:rsidR="00E26762" w:rsidRDefault="008B3E27">
            <w:pPr>
              <w:spacing w:after="0"/>
            </w:pPr>
            <w:r>
              <w:rPr>
                <w:sz w:val="19"/>
              </w:rPr>
              <w:t>Hedrick &amp; Sons Building Supply</w:t>
            </w:r>
          </w:p>
        </w:tc>
      </w:tr>
      <w:tr w:rsidR="00E26762" w14:paraId="48A9C13D" w14:textId="77777777">
        <w:tc>
          <w:tcPr>
            <w:tcW w:w="1872" w:type="dxa"/>
          </w:tcPr>
          <w:p w14:paraId="26725A21" w14:textId="77777777" w:rsidR="00E26762" w:rsidRDefault="008B3E27">
            <w:pPr>
              <w:spacing w:after="0"/>
            </w:pPr>
            <w:r>
              <w:rPr>
                <w:sz w:val="19"/>
              </w:rPr>
              <w:t>2026-0096531</w:t>
            </w:r>
          </w:p>
        </w:tc>
        <w:tc>
          <w:tcPr>
            <w:tcW w:w="1440" w:type="dxa"/>
          </w:tcPr>
          <w:p w14:paraId="0BF85A8A" w14:textId="77777777" w:rsidR="00E26762" w:rsidRDefault="008B3E27">
            <w:pPr>
              <w:spacing w:after="0"/>
            </w:pPr>
            <w:r>
              <w:rPr>
                <w:sz w:val="19"/>
              </w:rPr>
              <w:t>09/17/2026</w:t>
            </w:r>
          </w:p>
        </w:tc>
        <w:tc>
          <w:tcPr>
            <w:tcW w:w="2736" w:type="dxa"/>
          </w:tcPr>
          <w:p w14:paraId="51B61C99" w14:textId="77777777" w:rsidR="00E26762" w:rsidRDefault="008B3E27">
            <w:pPr>
              <w:spacing w:after="0"/>
            </w:pPr>
            <w:r>
              <w:rPr>
                <w:sz w:val="19"/>
              </w:rPr>
              <w:t>Claim of mechanics lien</w:t>
            </w:r>
          </w:p>
        </w:tc>
        <w:tc>
          <w:tcPr>
            <w:tcW w:w="3744" w:type="dxa"/>
          </w:tcPr>
          <w:p w14:paraId="527409D3" w14:textId="77777777" w:rsidR="00E26762" w:rsidRDefault="008B3E27">
            <w:pPr>
              <w:spacing w:after="0"/>
            </w:pPr>
            <w:r>
              <w:rPr>
                <w:sz w:val="19"/>
              </w:rPr>
              <w:t>Abrego Glass &amp; Glazing</w:t>
            </w:r>
          </w:p>
        </w:tc>
      </w:tr>
      <w:tr w:rsidR="00E26762" w14:paraId="3745FBFA" w14:textId="77777777">
        <w:tc>
          <w:tcPr>
            <w:tcW w:w="1872" w:type="dxa"/>
          </w:tcPr>
          <w:p w14:paraId="336715FB" w14:textId="77777777" w:rsidR="00E26762" w:rsidRDefault="008B3E27">
            <w:pPr>
              <w:spacing w:after="0"/>
            </w:pPr>
            <w:r>
              <w:rPr>
                <w:sz w:val="19"/>
              </w:rPr>
              <w:t>2026-0097644</w:t>
            </w:r>
          </w:p>
        </w:tc>
        <w:tc>
          <w:tcPr>
            <w:tcW w:w="1440" w:type="dxa"/>
          </w:tcPr>
          <w:p w14:paraId="14C30957" w14:textId="77777777" w:rsidR="00E26762" w:rsidRDefault="008B3E27">
            <w:pPr>
              <w:spacing w:after="0"/>
            </w:pPr>
            <w:r>
              <w:rPr>
                <w:sz w:val="19"/>
              </w:rPr>
              <w:t>09/21/2026</w:t>
            </w:r>
          </w:p>
        </w:tc>
        <w:tc>
          <w:tcPr>
            <w:tcW w:w="2736" w:type="dxa"/>
          </w:tcPr>
          <w:p w14:paraId="194A0934" w14:textId="77777777" w:rsidR="00E26762" w:rsidRDefault="008B3E27">
            <w:pPr>
              <w:spacing w:after="0"/>
            </w:pPr>
            <w:r>
              <w:rPr>
                <w:sz w:val="19"/>
              </w:rPr>
              <w:t>Claim of mechanics lien</w:t>
            </w:r>
          </w:p>
        </w:tc>
        <w:tc>
          <w:tcPr>
            <w:tcW w:w="3744" w:type="dxa"/>
          </w:tcPr>
          <w:p w14:paraId="484FC504" w14:textId="77777777" w:rsidR="00E26762" w:rsidRDefault="008B3E27">
            <w:pPr>
              <w:spacing w:after="0"/>
            </w:pPr>
            <w:r>
              <w:rPr>
                <w:sz w:val="19"/>
              </w:rPr>
              <w:t>Kastner Mechanical Contractors, Inc.</w:t>
            </w:r>
          </w:p>
        </w:tc>
      </w:tr>
      <w:tr w:rsidR="00E26762" w14:paraId="05F7FFD4" w14:textId="77777777">
        <w:tc>
          <w:tcPr>
            <w:tcW w:w="1872" w:type="dxa"/>
          </w:tcPr>
          <w:p w14:paraId="12E07147" w14:textId="77777777" w:rsidR="00E26762" w:rsidRDefault="008B3E27">
            <w:pPr>
              <w:spacing w:after="0"/>
            </w:pPr>
            <w:r>
              <w:rPr>
                <w:sz w:val="19"/>
              </w:rPr>
              <w:t>2026-0098120</w:t>
            </w:r>
          </w:p>
        </w:tc>
        <w:tc>
          <w:tcPr>
            <w:tcW w:w="1440" w:type="dxa"/>
          </w:tcPr>
          <w:p w14:paraId="476660E6" w14:textId="77777777" w:rsidR="00E26762" w:rsidRDefault="008B3E27">
            <w:pPr>
              <w:spacing w:after="0"/>
            </w:pPr>
            <w:r>
              <w:rPr>
                <w:sz w:val="19"/>
              </w:rPr>
              <w:t>09/22/2026</w:t>
            </w:r>
          </w:p>
        </w:tc>
        <w:tc>
          <w:tcPr>
            <w:tcW w:w="2736" w:type="dxa"/>
          </w:tcPr>
          <w:p w14:paraId="3DA0228F" w14:textId="77777777" w:rsidR="00E26762" w:rsidRDefault="008B3E27">
            <w:pPr>
              <w:spacing w:after="0"/>
            </w:pPr>
            <w:r>
              <w:rPr>
                <w:sz w:val="19"/>
              </w:rPr>
              <w:t>Claim of mechanics lien</w:t>
            </w:r>
          </w:p>
        </w:tc>
        <w:tc>
          <w:tcPr>
            <w:tcW w:w="3744" w:type="dxa"/>
          </w:tcPr>
          <w:p w14:paraId="435A9AF8" w14:textId="77777777" w:rsidR="00E26762" w:rsidRDefault="008B3E27">
            <w:pPr>
              <w:spacing w:after="0"/>
            </w:pPr>
            <w:r>
              <w:rPr>
                <w:sz w:val="19"/>
              </w:rPr>
              <w:t>Bautista Painting Co.</w:t>
            </w:r>
          </w:p>
        </w:tc>
      </w:tr>
      <w:tr w:rsidR="00E26762" w14:paraId="28B2A6EB" w14:textId="77777777">
        <w:tc>
          <w:tcPr>
            <w:tcW w:w="1872" w:type="dxa"/>
          </w:tcPr>
          <w:p w14:paraId="161E126E" w14:textId="77777777" w:rsidR="00E26762" w:rsidRDefault="008B3E27">
            <w:pPr>
              <w:spacing w:after="0"/>
            </w:pPr>
            <w:r>
              <w:rPr>
                <w:sz w:val="19"/>
              </w:rPr>
              <w:t>2026-0098577</w:t>
            </w:r>
          </w:p>
        </w:tc>
        <w:tc>
          <w:tcPr>
            <w:tcW w:w="1440" w:type="dxa"/>
          </w:tcPr>
          <w:p w14:paraId="1AB5B219" w14:textId="77777777" w:rsidR="00E26762" w:rsidRDefault="008B3E27">
            <w:pPr>
              <w:spacing w:after="0"/>
            </w:pPr>
            <w:r>
              <w:rPr>
                <w:sz w:val="19"/>
              </w:rPr>
              <w:t>09/23/2026</w:t>
            </w:r>
          </w:p>
        </w:tc>
        <w:tc>
          <w:tcPr>
            <w:tcW w:w="2736" w:type="dxa"/>
          </w:tcPr>
          <w:p w14:paraId="477E1C08" w14:textId="77777777" w:rsidR="00E26762" w:rsidRDefault="008B3E27">
            <w:pPr>
              <w:spacing w:after="0"/>
            </w:pPr>
            <w:r>
              <w:rPr>
                <w:sz w:val="19"/>
              </w:rPr>
              <w:t>Claim of mechanics lien</w:t>
            </w:r>
          </w:p>
        </w:tc>
        <w:tc>
          <w:tcPr>
            <w:tcW w:w="3744" w:type="dxa"/>
          </w:tcPr>
          <w:p w14:paraId="4C064C87" w14:textId="77777777" w:rsidR="00E26762" w:rsidRDefault="008B3E27">
            <w:pPr>
              <w:spacing w:after="0"/>
            </w:pPr>
            <w:r>
              <w:rPr>
                <w:sz w:val="19"/>
              </w:rPr>
              <w:t>Fenwick Roofing, Inc.</w:t>
            </w:r>
          </w:p>
        </w:tc>
      </w:tr>
      <w:tr w:rsidR="00E26762" w14:paraId="432AEBAD" w14:textId="77777777">
        <w:tc>
          <w:tcPr>
            <w:tcW w:w="1872" w:type="dxa"/>
          </w:tcPr>
          <w:p w14:paraId="68BA50F9" w14:textId="77777777" w:rsidR="00E26762" w:rsidRDefault="008B3E27">
            <w:pPr>
              <w:spacing w:after="0"/>
            </w:pPr>
            <w:r>
              <w:rPr>
                <w:sz w:val="19"/>
              </w:rPr>
              <w:t>2026-0098901</w:t>
            </w:r>
          </w:p>
        </w:tc>
        <w:tc>
          <w:tcPr>
            <w:tcW w:w="1440" w:type="dxa"/>
          </w:tcPr>
          <w:p w14:paraId="4EC144DC" w14:textId="77777777" w:rsidR="00E26762" w:rsidRDefault="008B3E27">
            <w:pPr>
              <w:spacing w:after="0"/>
            </w:pPr>
            <w:r>
              <w:rPr>
                <w:sz w:val="19"/>
              </w:rPr>
              <w:t>09/24/2026</w:t>
            </w:r>
          </w:p>
        </w:tc>
        <w:tc>
          <w:tcPr>
            <w:tcW w:w="2736" w:type="dxa"/>
          </w:tcPr>
          <w:p w14:paraId="677B950B" w14:textId="77777777" w:rsidR="00E26762" w:rsidRDefault="008B3E27">
            <w:pPr>
              <w:spacing w:after="0"/>
            </w:pPr>
            <w:r>
              <w:rPr>
                <w:sz w:val="19"/>
              </w:rPr>
              <w:t>Claim of mechanics lien</w:t>
            </w:r>
          </w:p>
        </w:tc>
        <w:tc>
          <w:tcPr>
            <w:tcW w:w="3744" w:type="dxa"/>
          </w:tcPr>
          <w:p w14:paraId="0B11C122" w14:textId="77777777" w:rsidR="00E26762" w:rsidRDefault="008B3E27">
            <w:pPr>
              <w:spacing w:after="0"/>
            </w:pPr>
            <w:r>
              <w:rPr>
                <w:sz w:val="19"/>
              </w:rPr>
              <w:t>Lindqvist Fire Protection</w:t>
            </w:r>
          </w:p>
        </w:tc>
      </w:tr>
      <w:tr w:rsidR="00E26762" w14:paraId="62571FCA" w14:textId="77777777">
        <w:tc>
          <w:tcPr>
            <w:tcW w:w="1872" w:type="dxa"/>
          </w:tcPr>
          <w:p w14:paraId="60A019C5" w14:textId="77777777" w:rsidR="00E26762" w:rsidRDefault="008B3E27">
            <w:pPr>
              <w:spacing w:after="0"/>
            </w:pPr>
            <w:r>
              <w:rPr>
                <w:sz w:val="19"/>
              </w:rPr>
              <w:t>2026-0100263</w:t>
            </w:r>
          </w:p>
        </w:tc>
        <w:tc>
          <w:tcPr>
            <w:tcW w:w="1440" w:type="dxa"/>
          </w:tcPr>
          <w:p w14:paraId="7909972B" w14:textId="77777777" w:rsidR="00E26762" w:rsidRDefault="008B3E27">
            <w:pPr>
              <w:spacing w:after="0"/>
            </w:pPr>
            <w:r>
              <w:rPr>
                <w:sz w:val="19"/>
              </w:rPr>
              <w:t>09/28/2026</w:t>
            </w:r>
          </w:p>
        </w:tc>
        <w:tc>
          <w:tcPr>
            <w:tcW w:w="2736" w:type="dxa"/>
          </w:tcPr>
          <w:p w14:paraId="7FF94F71" w14:textId="77777777" w:rsidR="00E26762" w:rsidRDefault="008B3E27">
            <w:pPr>
              <w:spacing w:after="0"/>
            </w:pPr>
            <w:r>
              <w:rPr>
                <w:sz w:val="19"/>
              </w:rPr>
              <w:t>Claim of mechanics lien</w:t>
            </w:r>
          </w:p>
        </w:tc>
        <w:tc>
          <w:tcPr>
            <w:tcW w:w="3744" w:type="dxa"/>
          </w:tcPr>
          <w:p w14:paraId="1A69A7CD" w14:textId="77777777" w:rsidR="00E26762" w:rsidRDefault="008B3E27">
            <w:pPr>
              <w:spacing w:after="0"/>
            </w:pPr>
            <w:r>
              <w:rPr>
                <w:sz w:val="19"/>
              </w:rPr>
              <w:t>Ostrowski Electric, Inc.</w:t>
            </w:r>
          </w:p>
        </w:tc>
      </w:tr>
      <w:tr w:rsidR="00E26762" w14:paraId="08237EEF" w14:textId="77777777">
        <w:tc>
          <w:tcPr>
            <w:tcW w:w="1872" w:type="dxa"/>
          </w:tcPr>
          <w:p w14:paraId="436B6AB0" w14:textId="77777777" w:rsidR="00E26762" w:rsidRDefault="008B3E27">
            <w:pPr>
              <w:spacing w:after="0"/>
            </w:pPr>
            <w:r>
              <w:rPr>
                <w:sz w:val="19"/>
              </w:rPr>
              <w:t>2026-0100719</w:t>
            </w:r>
          </w:p>
        </w:tc>
        <w:tc>
          <w:tcPr>
            <w:tcW w:w="1440" w:type="dxa"/>
          </w:tcPr>
          <w:p w14:paraId="0AE8C7C5" w14:textId="77777777" w:rsidR="00E26762" w:rsidRDefault="008B3E27">
            <w:pPr>
              <w:spacing w:after="0"/>
            </w:pPr>
            <w:r>
              <w:rPr>
                <w:sz w:val="19"/>
              </w:rPr>
              <w:t>09/29/2026</w:t>
            </w:r>
          </w:p>
        </w:tc>
        <w:tc>
          <w:tcPr>
            <w:tcW w:w="2736" w:type="dxa"/>
          </w:tcPr>
          <w:p w14:paraId="1F447E46" w14:textId="77777777" w:rsidR="00E26762" w:rsidRDefault="008B3E27">
            <w:pPr>
              <w:spacing w:after="0"/>
            </w:pPr>
            <w:r>
              <w:rPr>
                <w:sz w:val="19"/>
              </w:rPr>
              <w:t>Claim of mechanics lien</w:t>
            </w:r>
          </w:p>
        </w:tc>
        <w:tc>
          <w:tcPr>
            <w:tcW w:w="3744" w:type="dxa"/>
          </w:tcPr>
          <w:p w14:paraId="21AD15A1" w14:textId="77777777" w:rsidR="00E26762" w:rsidRDefault="008B3E27">
            <w:pPr>
              <w:spacing w:after="0"/>
            </w:pPr>
            <w:r>
              <w:rPr>
                <w:sz w:val="19"/>
              </w:rPr>
              <w:t>Calder Drywall &amp; Plaster, LLC</w:t>
            </w:r>
          </w:p>
        </w:tc>
      </w:tr>
      <w:tr w:rsidR="00E26762" w14:paraId="4417643B" w14:textId="77777777">
        <w:tc>
          <w:tcPr>
            <w:tcW w:w="1872" w:type="dxa"/>
          </w:tcPr>
          <w:p w14:paraId="54C94833" w14:textId="77777777" w:rsidR="00E26762" w:rsidRDefault="008B3E27">
            <w:pPr>
              <w:spacing w:after="0"/>
            </w:pPr>
            <w:r>
              <w:rPr>
                <w:sz w:val="19"/>
              </w:rPr>
              <w:t>2026-0101184</w:t>
            </w:r>
          </w:p>
        </w:tc>
        <w:tc>
          <w:tcPr>
            <w:tcW w:w="1440" w:type="dxa"/>
          </w:tcPr>
          <w:p w14:paraId="48E3C144" w14:textId="77777777" w:rsidR="00E26762" w:rsidRDefault="008B3E27">
            <w:pPr>
              <w:spacing w:after="0"/>
            </w:pPr>
            <w:r>
              <w:rPr>
                <w:sz w:val="19"/>
              </w:rPr>
              <w:t>09/30/2026</w:t>
            </w:r>
          </w:p>
        </w:tc>
        <w:tc>
          <w:tcPr>
            <w:tcW w:w="2736" w:type="dxa"/>
          </w:tcPr>
          <w:p w14:paraId="647A2764" w14:textId="77777777" w:rsidR="00E26762" w:rsidRDefault="008B3E27">
            <w:pPr>
              <w:spacing w:after="0"/>
            </w:pPr>
            <w:r>
              <w:rPr>
                <w:sz w:val="19"/>
              </w:rPr>
              <w:t>Claim of mechanics lien</w:t>
            </w:r>
          </w:p>
        </w:tc>
        <w:tc>
          <w:tcPr>
            <w:tcW w:w="3744" w:type="dxa"/>
          </w:tcPr>
          <w:p w14:paraId="3D46116D" w14:textId="77777777" w:rsidR="00E26762" w:rsidRDefault="008B3E27">
            <w:pPr>
              <w:spacing w:after="0"/>
            </w:pPr>
            <w:r>
              <w:rPr>
                <w:sz w:val="19"/>
              </w:rPr>
              <w:t>Petrakis Plumbing, Inc.</w:t>
            </w:r>
          </w:p>
        </w:tc>
      </w:tr>
      <w:tr w:rsidR="00E26762" w14:paraId="0D843B40" w14:textId="77777777">
        <w:tc>
          <w:tcPr>
            <w:tcW w:w="1872" w:type="dxa"/>
          </w:tcPr>
          <w:p w14:paraId="2B4E8F31" w14:textId="77777777" w:rsidR="00E26762" w:rsidRDefault="008B3E27">
            <w:pPr>
              <w:spacing w:after="0"/>
            </w:pPr>
            <w:r>
              <w:rPr>
                <w:sz w:val="19"/>
              </w:rPr>
              <w:t>2026-0101236</w:t>
            </w:r>
          </w:p>
        </w:tc>
        <w:tc>
          <w:tcPr>
            <w:tcW w:w="1440" w:type="dxa"/>
          </w:tcPr>
          <w:p w14:paraId="7FD8101B" w14:textId="77777777" w:rsidR="00E26762" w:rsidRDefault="008B3E27">
            <w:pPr>
              <w:spacing w:after="0"/>
            </w:pPr>
            <w:r>
              <w:rPr>
                <w:sz w:val="19"/>
              </w:rPr>
              <w:t>09/30/2026</w:t>
            </w:r>
          </w:p>
        </w:tc>
        <w:tc>
          <w:tcPr>
            <w:tcW w:w="2736" w:type="dxa"/>
          </w:tcPr>
          <w:p w14:paraId="1EEEDCB0" w14:textId="77777777" w:rsidR="00E26762" w:rsidRDefault="008B3E27">
            <w:pPr>
              <w:spacing w:after="0"/>
            </w:pPr>
            <w:r>
              <w:rPr>
                <w:sz w:val="19"/>
              </w:rPr>
              <w:t>Claim of mechanics lien</w:t>
            </w:r>
          </w:p>
        </w:tc>
        <w:tc>
          <w:tcPr>
            <w:tcW w:w="3744" w:type="dxa"/>
          </w:tcPr>
          <w:p w14:paraId="4C950F99" w14:textId="77777777" w:rsidR="00E26762" w:rsidRDefault="008B3E27">
            <w:pPr>
              <w:spacing w:after="0"/>
            </w:pPr>
            <w:r>
              <w:rPr>
                <w:sz w:val="19"/>
              </w:rPr>
              <w:t>Sorensen Landscape Co.</w:t>
            </w:r>
          </w:p>
        </w:tc>
      </w:tr>
      <w:tr w:rsidR="00E26762" w14:paraId="397A466D" w14:textId="77777777">
        <w:tc>
          <w:tcPr>
            <w:tcW w:w="1872" w:type="dxa"/>
          </w:tcPr>
          <w:p w14:paraId="24E1B17C" w14:textId="77777777" w:rsidR="00E26762" w:rsidRDefault="008B3E27">
            <w:pPr>
              <w:spacing w:after="0"/>
            </w:pPr>
            <w:r>
              <w:rPr>
                <w:sz w:val="19"/>
              </w:rPr>
              <w:t>2026-0101655</w:t>
            </w:r>
          </w:p>
        </w:tc>
        <w:tc>
          <w:tcPr>
            <w:tcW w:w="1440" w:type="dxa"/>
          </w:tcPr>
          <w:p w14:paraId="0162B479" w14:textId="77777777" w:rsidR="00E26762" w:rsidRDefault="008B3E27">
            <w:pPr>
              <w:spacing w:after="0"/>
            </w:pPr>
            <w:r>
              <w:rPr>
                <w:sz w:val="19"/>
              </w:rPr>
              <w:t>10/01/2026</w:t>
            </w:r>
          </w:p>
        </w:tc>
        <w:tc>
          <w:tcPr>
            <w:tcW w:w="2736" w:type="dxa"/>
          </w:tcPr>
          <w:p w14:paraId="42B231F1" w14:textId="77777777" w:rsidR="00E26762" w:rsidRDefault="008B3E27">
            <w:pPr>
              <w:spacing w:after="0"/>
            </w:pPr>
            <w:r>
              <w:rPr>
                <w:sz w:val="19"/>
              </w:rPr>
              <w:t>Claim of mechanics lien</w:t>
            </w:r>
          </w:p>
        </w:tc>
        <w:tc>
          <w:tcPr>
            <w:tcW w:w="3744" w:type="dxa"/>
          </w:tcPr>
          <w:p w14:paraId="4932B5EE" w14:textId="77777777" w:rsidR="00E26762" w:rsidRDefault="008B3E27">
            <w:pPr>
              <w:spacing w:after="0"/>
            </w:pPr>
            <w:r>
              <w:rPr>
                <w:sz w:val="19"/>
              </w:rPr>
              <w:t>Capitol Wire &amp; Lighting, Inc.</w:t>
            </w:r>
          </w:p>
        </w:tc>
      </w:tr>
      <w:tr w:rsidR="00E26762" w14:paraId="43C694E3" w14:textId="77777777">
        <w:tc>
          <w:tcPr>
            <w:tcW w:w="1872" w:type="dxa"/>
          </w:tcPr>
          <w:p w14:paraId="22EC8AB5" w14:textId="77777777" w:rsidR="00E26762" w:rsidRDefault="008B3E27">
            <w:pPr>
              <w:spacing w:after="0"/>
            </w:pPr>
            <w:r>
              <w:rPr>
                <w:sz w:val="19"/>
              </w:rPr>
              <w:t>2026-0101690</w:t>
            </w:r>
          </w:p>
        </w:tc>
        <w:tc>
          <w:tcPr>
            <w:tcW w:w="1440" w:type="dxa"/>
          </w:tcPr>
          <w:p w14:paraId="679203B0" w14:textId="77777777" w:rsidR="00E26762" w:rsidRDefault="008B3E27">
            <w:pPr>
              <w:spacing w:after="0"/>
            </w:pPr>
            <w:r>
              <w:rPr>
                <w:sz w:val="19"/>
              </w:rPr>
              <w:t>10/01/2026</w:t>
            </w:r>
          </w:p>
        </w:tc>
        <w:tc>
          <w:tcPr>
            <w:tcW w:w="2736" w:type="dxa"/>
          </w:tcPr>
          <w:p w14:paraId="67A47125" w14:textId="77777777" w:rsidR="00E26762" w:rsidRDefault="008B3E27">
            <w:pPr>
              <w:spacing w:after="0"/>
            </w:pPr>
            <w:r>
              <w:rPr>
                <w:sz w:val="19"/>
              </w:rPr>
              <w:t>Claim of mechanics lien</w:t>
            </w:r>
          </w:p>
        </w:tc>
        <w:tc>
          <w:tcPr>
            <w:tcW w:w="3744" w:type="dxa"/>
          </w:tcPr>
          <w:p w14:paraId="2A957C19" w14:textId="77777777" w:rsidR="00E26762" w:rsidRDefault="008B3E27">
            <w:pPr>
              <w:spacing w:after="0"/>
            </w:pPr>
            <w:r>
              <w:rPr>
                <w:sz w:val="19"/>
              </w:rPr>
              <w:t>Sierra Pipe &amp; Supply, Inc.</w:t>
            </w:r>
          </w:p>
        </w:tc>
      </w:tr>
      <w:tr w:rsidR="00E26762" w14:paraId="0E7362B1" w14:textId="77777777">
        <w:tc>
          <w:tcPr>
            <w:tcW w:w="1872" w:type="dxa"/>
          </w:tcPr>
          <w:p w14:paraId="5B5DF14C" w14:textId="77777777" w:rsidR="00E26762" w:rsidRDefault="008B3E27">
            <w:pPr>
              <w:spacing w:after="0"/>
            </w:pPr>
            <w:r>
              <w:rPr>
                <w:sz w:val="19"/>
              </w:rPr>
              <w:t>2026-0101712</w:t>
            </w:r>
          </w:p>
        </w:tc>
        <w:tc>
          <w:tcPr>
            <w:tcW w:w="1440" w:type="dxa"/>
          </w:tcPr>
          <w:p w14:paraId="3DFED457" w14:textId="77777777" w:rsidR="00E26762" w:rsidRDefault="008B3E27">
            <w:pPr>
              <w:spacing w:after="0"/>
            </w:pPr>
            <w:r>
              <w:rPr>
                <w:sz w:val="19"/>
              </w:rPr>
              <w:t>10/01/2026</w:t>
            </w:r>
          </w:p>
        </w:tc>
        <w:tc>
          <w:tcPr>
            <w:tcW w:w="2736" w:type="dxa"/>
          </w:tcPr>
          <w:p w14:paraId="7424DE60" w14:textId="77777777" w:rsidR="00E26762" w:rsidRDefault="008B3E27">
            <w:pPr>
              <w:spacing w:after="0"/>
            </w:pPr>
            <w:r>
              <w:rPr>
                <w:sz w:val="19"/>
              </w:rPr>
              <w:t>Claim of mechanics lien</w:t>
            </w:r>
          </w:p>
        </w:tc>
        <w:tc>
          <w:tcPr>
            <w:tcW w:w="3744" w:type="dxa"/>
          </w:tcPr>
          <w:p w14:paraId="457401BC" w14:textId="77777777" w:rsidR="00E26762" w:rsidRDefault="008B3E27">
            <w:pPr>
              <w:spacing w:after="0"/>
            </w:pPr>
            <w:r>
              <w:rPr>
                <w:sz w:val="19"/>
              </w:rPr>
              <w:t>Granite Bay Sheet Metal, Inc.</w:t>
            </w:r>
          </w:p>
        </w:tc>
      </w:tr>
    </w:tbl>
    <w:p w14:paraId="506CF8E9" w14:textId="77777777" w:rsidR="00E26762" w:rsidRDefault="00E26762">
      <w:pPr>
        <w:spacing w:after="40"/>
      </w:pPr>
    </w:p>
    <w:p w14:paraId="7B9DC829" w14:textId="77777777" w:rsidR="00E26762" w:rsidRDefault="008B3E27">
      <w:pPr>
        <w:pStyle w:val="Heading1"/>
      </w:pPr>
      <w:r>
        <w:t>E. Public notice of office closures</w:t>
      </w:r>
    </w:p>
    <w:p w14:paraId="6F14BF02" w14:textId="77777777" w:rsidR="00E26762" w:rsidRDefault="008B3E27">
      <w:r>
        <w:t>Placer County Superior Court, notice to the public, printed from the court's website by Ines Balogh on October 2, 2026. The clerk's offices of the Superior Court and the office of the County Clerk-Recorder will be closed to the public for the whole of Friday, September 25, 2026 for the county's conversion to its new records system. Filings and instruments received on that day will be processed on Monday, September 28, 2026. The offices will also be closed on Monday, September 7, 2026, Labor Day.</w:t>
      </w:r>
    </w:p>
    <w:sectPr w:rsidR="00E26762"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9739127">
    <w:abstractNumId w:val="8"/>
  </w:num>
  <w:num w:numId="2" w16cid:durableId="429738403">
    <w:abstractNumId w:val="6"/>
  </w:num>
  <w:num w:numId="3" w16cid:durableId="917708016">
    <w:abstractNumId w:val="5"/>
  </w:num>
  <w:num w:numId="4" w16cid:durableId="1315376639">
    <w:abstractNumId w:val="4"/>
  </w:num>
  <w:num w:numId="5" w16cid:durableId="641037628">
    <w:abstractNumId w:val="7"/>
  </w:num>
  <w:num w:numId="6" w16cid:durableId="915241470">
    <w:abstractNumId w:val="3"/>
  </w:num>
  <w:num w:numId="7" w16cid:durableId="1715344086">
    <w:abstractNumId w:val="2"/>
  </w:num>
  <w:num w:numId="8" w16cid:durableId="597325345">
    <w:abstractNumId w:val="1"/>
  </w:num>
  <w:num w:numId="9" w16cid:durableId="18143284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578"/>
    <w:rsid w:val="000E714F"/>
    <w:rsid w:val="0015074B"/>
    <w:rsid w:val="00166438"/>
    <w:rsid w:val="0029639D"/>
    <w:rsid w:val="00326F90"/>
    <w:rsid w:val="003D66EF"/>
    <w:rsid w:val="00424579"/>
    <w:rsid w:val="004A75A0"/>
    <w:rsid w:val="005825F7"/>
    <w:rsid w:val="006B4089"/>
    <w:rsid w:val="008B3E27"/>
    <w:rsid w:val="009653A7"/>
    <w:rsid w:val="00AA1D8D"/>
    <w:rsid w:val="00B47730"/>
    <w:rsid w:val="00C052EE"/>
    <w:rsid w:val="00C27DC5"/>
    <w:rsid w:val="00CB0664"/>
    <w:rsid w:val="00E26762"/>
    <w:rsid w:val="00ED69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F9298"/>
  <w14:defaultImageDpi w14:val="300"/>
  <w15:docId w15:val="{366AD8E3-353D-B742-90BF-D4D3FD581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s="Calibri"/>
      <w:sz w:val="21"/>
    </w:rPr>
  </w:style>
  <w:style w:type="paragraph" w:styleId="Heading1">
    <w:name w:val="heading 1"/>
    <w:basedOn w:val="Normal"/>
    <w:next w:val="Normal"/>
    <w:link w:val="Heading1Char"/>
    <w:uiPriority w:val="9"/>
    <w:qFormat/>
    <w:rsid w:val="00FC693F"/>
    <w:pPr>
      <w:keepNext/>
      <w:keepLines/>
      <w:spacing w:before="200" w:after="80"/>
      <w:outlineLvl w:val="0"/>
    </w:pPr>
    <w:rPr>
      <w:b/>
      <w:bCs/>
      <w:color w:val="4A5D3A"/>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b/>
      <w:bCs/>
      <w:color w:val="4A5D3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A5D3A"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A5D3A"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2E1C"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2E1C"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A5D3A"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7452B"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A5D3A"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A5D3A" w:themeColor="accent1"/>
    </w:rPr>
  </w:style>
  <w:style w:type="paragraph" w:styleId="Title">
    <w:name w:val="Title"/>
    <w:basedOn w:val="Normal"/>
    <w:next w:val="Normal"/>
    <w:link w:val="TitleChar"/>
    <w:uiPriority w:val="10"/>
    <w:qFormat/>
    <w:rsid w:val="00FC693F"/>
    <w:pPr>
      <w:pBdr>
        <w:bottom w:val="single" w:sz="8" w:space="4" w:color="4A5D3A" w:themeColor="accent1"/>
      </w:pBdr>
      <w:spacing w:before="200" w:after="80" w:line="240" w:lineRule="auto"/>
      <w:contextualSpacing/>
    </w:pPr>
    <w:rPr>
      <w:b/>
      <w:color w:val="4A5D3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62626"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A5D3A"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A5D3A"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A5D3A"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2E1C"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2E1C"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A5D3A"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A5D3A"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A5D3A" w:themeColor="accent1"/>
      </w:pBdr>
      <w:spacing w:before="200" w:after="280"/>
      <w:ind w:left="936" w:right="936"/>
    </w:pPr>
    <w:rPr>
      <w:b/>
      <w:bCs/>
      <w:i/>
      <w:iCs/>
      <w:color w:val="4A5D3A" w:themeColor="accent1"/>
    </w:rPr>
  </w:style>
  <w:style w:type="character" w:customStyle="1" w:styleId="IntenseQuoteChar">
    <w:name w:val="Intense Quote Char"/>
    <w:basedOn w:val="DefaultParagraphFont"/>
    <w:link w:val="IntenseQuote"/>
    <w:uiPriority w:val="30"/>
    <w:rsid w:val="00FC693F"/>
    <w:rPr>
      <w:b/>
      <w:bCs/>
      <w:i/>
      <w:iCs/>
      <w:color w:val="4A5D3A"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A5D3A" w:themeColor="accent1"/>
    </w:rPr>
  </w:style>
  <w:style w:type="character" w:styleId="SubtleReference">
    <w:name w:val="Subtle Reference"/>
    <w:basedOn w:val="DefaultParagraphFont"/>
    <w:uiPriority w:val="31"/>
    <w:qFormat/>
    <w:rsid w:val="00FC693F"/>
    <w:rPr>
      <w:smallCaps/>
      <w:color w:val="A6A6A6" w:themeColor="accent2"/>
      <w:u w:val="single"/>
    </w:rPr>
  </w:style>
  <w:style w:type="character" w:styleId="IntenseReference">
    <w:name w:val="Intense Reference"/>
    <w:basedOn w:val="DefaultParagraphFont"/>
    <w:uiPriority w:val="32"/>
    <w:qFormat/>
    <w:rsid w:val="00FC693F"/>
    <w:rPr>
      <w:b/>
      <w:bCs/>
      <w:smallCaps/>
      <w:color w:val="A6A6A6"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7452B" w:themeColor="accent1" w:themeShade="BF"/>
    </w:rPr>
    <w:tblPr>
      <w:tblStyleRowBandSize w:val="1"/>
      <w:tblStyleColBandSize w:val="1"/>
      <w:tblBorders>
        <w:top w:val="single" w:sz="8" w:space="0" w:color="4A5D3A" w:themeColor="accent1"/>
        <w:bottom w:val="single" w:sz="8" w:space="0" w:color="4A5D3A" w:themeColor="accent1"/>
      </w:tblBorders>
    </w:tblPr>
    <w:tblStylePr w:type="firstRow">
      <w:pPr>
        <w:spacing w:before="0" w:after="0" w:line="240" w:lineRule="auto"/>
      </w:pPr>
      <w:rPr>
        <w:b/>
        <w:bCs/>
      </w:rPr>
      <w:tblPr/>
      <w:tcPr>
        <w:tcBorders>
          <w:top w:val="single" w:sz="8" w:space="0" w:color="4A5D3A" w:themeColor="accent1"/>
          <w:left w:val="nil"/>
          <w:bottom w:val="single" w:sz="8" w:space="0" w:color="4A5D3A" w:themeColor="accent1"/>
          <w:right w:val="nil"/>
          <w:insideH w:val="nil"/>
          <w:insideV w:val="nil"/>
        </w:tcBorders>
      </w:tcPr>
    </w:tblStylePr>
    <w:tblStylePr w:type="lastRow">
      <w:pPr>
        <w:spacing w:before="0" w:after="0" w:line="240" w:lineRule="auto"/>
      </w:pPr>
      <w:rPr>
        <w:b/>
        <w:bCs/>
      </w:rPr>
      <w:tblPr/>
      <w:tcPr>
        <w:tcBorders>
          <w:top w:val="single" w:sz="8" w:space="0" w:color="4A5D3A" w:themeColor="accent1"/>
          <w:left w:val="nil"/>
          <w:bottom w:val="single" w:sz="8" w:space="0" w:color="4A5D3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C8" w:themeFill="accent1" w:themeFillTint="3F"/>
      </w:tcPr>
    </w:tblStylePr>
    <w:tblStylePr w:type="band1Horz">
      <w:tblPr/>
      <w:tcPr>
        <w:tcBorders>
          <w:left w:val="nil"/>
          <w:right w:val="nil"/>
          <w:insideH w:val="nil"/>
          <w:insideV w:val="nil"/>
        </w:tcBorders>
        <w:shd w:val="clear" w:color="auto" w:fill="D1DCC8" w:themeFill="accent1" w:themeFillTint="3F"/>
      </w:tcPr>
    </w:tblStylePr>
  </w:style>
  <w:style w:type="table" w:styleId="LightShading-Accent2">
    <w:name w:val="Light Shading Accent 2"/>
    <w:basedOn w:val="TableNormal"/>
    <w:uiPriority w:val="60"/>
    <w:rsid w:val="00FC693F"/>
    <w:pPr>
      <w:spacing w:after="0" w:line="240" w:lineRule="auto"/>
    </w:pPr>
    <w:rPr>
      <w:color w:val="7C7C7C" w:themeColor="accent2" w:themeShade="BF"/>
    </w:rPr>
    <w:tblPr>
      <w:tblStyleRowBandSize w:val="1"/>
      <w:tblStyleColBandSize w:val="1"/>
      <w:tblBorders>
        <w:top w:val="single" w:sz="8" w:space="0" w:color="A6A6A6" w:themeColor="accent2"/>
        <w:bottom w:val="single" w:sz="8" w:space="0" w:color="A6A6A6" w:themeColor="accent2"/>
      </w:tblBorders>
    </w:tblPr>
    <w:tblStylePr w:type="firstRow">
      <w:pPr>
        <w:spacing w:before="0" w:after="0" w:line="240" w:lineRule="auto"/>
      </w:pPr>
      <w:rPr>
        <w:b/>
        <w:bCs/>
      </w:rPr>
      <w:tblPr/>
      <w:tcPr>
        <w:tcBorders>
          <w:top w:val="single" w:sz="8" w:space="0" w:color="A6A6A6" w:themeColor="accent2"/>
          <w:left w:val="nil"/>
          <w:bottom w:val="single" w:sz="8" w:space="0" w:color="A6A6A6" w:themeColor="accent2"/>
          <w:right w:val="nil"/>
          <w:insideH w:val="nil"/>
          <w:insideV w:val="nil"/>
        </w:tcBorders>
      </w:tcPr>
    </w:tblStylePr>
    <w:tblStylePr w:type="lastRow">
      <w:pPr>
        <w:spacing w:before="0" w:after="0" w:line="240" w:lineRule="auto"/>
      </w:pPr>
      <w:rPr>
        <w:b/>
        <w:bCs/>
      </w:rPr>
      <w:tblPr/>
      <w:tcPr>
        <w:tcBorders>
          <w:top w:val="single" w:sz="8" w:space="0" w:color="A6A6A6" w:themeColor="accent2"/>
          <w:left w:val="nil"/>
          <w:bottom w:val="single" w:sz="8" w:space="0" w:color="A6A6A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E9E9" w:themeFill="accent2" w:themeFillTint="3F"/>
      </w:tcPr>
    </w:tblStylePr>
    <w:tblStylePr w:type="band1Horz">
      <w:tblPr/>
      <w:tcPr>
        <w:tcBorders>
          <w:left w:val="nil"/>
          <w:right w:val="nil"/>
          <w:insideH w:val="nil"/>
          <w:insideV w:val="nil"/>
        </w:tcBorders>
        <w:shd w:val="clear" w:color="auto" w:fill="E9E9E9"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A5D3A" w:themeColor="accent1"/>
        <w:left w:val="single" w:sz="8" w:space="0" w:color="4A5D3A" w:themeColor="accent1"/>
        <w:bottom w:val="single" w:sz="8" w:space="0" w:color="4A5D3A" w:themeColor="accent1"/>
        <w:right w:val="single" w:sz="8" w:space="0" w:color="4A5D3A" w:themeColor="accent1"/>
      </w:tblBorders>
    </w:tblPr>
    <w:tblStylePr w:type="firstRow">
      <w:pPr>
        <w:spacing w:before="0" w:after="0" w:line="240" w:lineRule="auto"/>
      </w:pPr>
      <w:rPr>
        <w:b/>
        <w:bCs/>
        <w:color w:val="FFFFFF" w:themeColor="background1"/>
      </w:rPr>
      <w:tblPr/>
      <w:tcPr>
        <w:shd w:val="clear" w:color="auto" w:fill="4A5D3A" w:themeFill="accent1"/>
      </w:tcPr>
    </w:tblStylePr>
    <w:tblStylePr w:type="lastRow">
      <w:pPr>
        <w:spacing w:before="0" w:after="0" w:line="240" w:lineRule="auto"/>
      </w:pPr>
      <w:rPr>
        <w:b/>
        <w:bCs/>
      </w:rPr>
      <w:tblPr/>
      <w:tcPr>
        <w:tcBorders>
          <w:top w:val="double" w:sz="6" w:space="0" w:color="4A5D3A" w:themeColor="accent1"/>
          <w:left w:val="single" w:sz="8" w:space="0" w:color="4A5D3A" w:themeColor="accent1"/>
          <w:bottom w:val="single" w:sz="8" w:space="0" w:color="4A5D3A" w:themeColor="accent1"/>
          <w:right w:val="single" w:sz="8" w:space="0" w:color="4A5D3A" w:themeColor="accent1"/>
        </w:tcBorders>
      </w:tcPr>
    </w:tblStylePr>
    <w:tblStylePr w:type="firstCol">
      <w:rPr>
        <w:b/>
        <w:bCs/>
      </w:rPr>
    </w:tblStylePr>
    <w:tblStylePr w:type="lastCol">
      <w:rPr>
        <w:b/>
        <w:bCs/>
      </w:rPr>
    </w:tblStylePr>
    <w:tblStylePr w:type="band1Vert">
      <w:tblPr/>
      <w:tcPr>
        <w:tcBorders>
          <w:top w:val="single" w:sz="8" w:space="0" w:color="4A5D3A" w:themeColor="accent1"/>
          <w:left w:val="single" w:sz="8" w:space="0" w:color="4A5D3A" w:themeColor="accent1"/>
          <w:bottom w:val="single" w:sz="8" w:space="0" w:color="4A5D3A" w:themeColor="accent1"/>
          <w:right w:val="single" w:sz="8" w:space="0" w:color="4A5D3A" w:themeColor="accent1"/>
        </w:tcBorders>
      </w:tcPr>
    </w:tblStylePr>
    <w:tblStylePr w:type="band1Horz">
      <w:tblPr/>
      <w:tcPr>
        <w:tcBorders>
          <w:top w:val="single" w:sz="8" w:space="0" w:color="4A5D3A" w:themeColor="accent1"/>
          <w:left w:val="single" w:sz="8" w:space="0" w:color="4A5D3A" w:themeColor="accent1"/>
          <w:bottom w:val="single" w:sz="8" w:space="0" w:color="4A5D3A" w:themeColor="accent1"/>
          <w:right w:val="single" w:sz="8" w:space="0" w:color="4A5D3A"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A6A6A6" w:themeColor="accent2"/>
        <w:left w:val="single" w:sz="8" w:space="0" w:color="A6A6A6" w:themeColor="accent2"/>
        <w:bottom w:val="single" w:sz="8" w:space="0" w:color="A6A6A6" w:themeColor="accent2"/>
        <w:right w:val="single" w:sz="8" w:space="0" w:color="A6A6A6" w:themeColor="accent2"/>
      </w:tblBorders>
    </w:tblPr>
    <w:tblStylePr w:type="firstRow">
      <w:pPr>
        <w:spacing w:before="0" w:after="0" w:line="240" w:lineRule="auto"/>
      </w:pPr>
      <w:rPr>
        <w:b/>
        <w:bCs/>
        <w:color w:val="FFFFFF" w:themeColor="background1"/>
      </w:rPr>
      <w:tblPr/>
      <w:tcPr>
        <w:shd w:val="clear" w:color="auto" w:fill="A6A6A6" w:themeFill="accent2"/>
      </w:tcPr>
    </w:tblStylePr>
    <w:tblStylePr w:type="lastRow">
      <w:pPr>
        <w:spacing w:before="0" w:after="0" w:line="240" w:lineRule="auto"/>
      </w:pPr>
      <w:rPr>
        <w:b/>
        <w:bCs/>
      </w:rPr>
      <w:tblPr/>
      <w:tcPr>
        <w:tcBorders>
          <w:top w:val="double" w:sz="6" w:space="0" w:color="A6A6A6" w:themeColor="accent2"/>
          <w:left w:val="single" w:sz="8" w:space="0" w:color="A6A6A6" w:themeColor="accent2"/>
          <w:bottom w:val="single" w:sz="8" w:space="0" w:color="A6A6A6" w:themeColor="accent2"/>
          <w:right w:val="single" w:sz="8" w:space="0" w:color="A6A6A6" w:themeColor="accent2"/>
        </w:tcBorders>
      </w:tcPr>
    </w:tblStylePr>
    <w:tblStylePr w:type="firstCol">
      <w:rPr>
        <w:b/>
        <w:bCs/>
      </w:rPr>
    </w:tblStylePr>
    <w:tblStylePr w:type="lastCol">
      <w:rPr>
        <w:b/>
        <w:bCs/>
      </w:rPr>
    </w:tblStylePr>
    <w:tblStylePr w:type="band1Vert">
      <w:tblPr/>
      <w:tcPr>
        <w:tcBorders>
          <w:top w:val="single" w:sz="8" w:space="0" w:color="A6A6A6" w:themeColor="accent2"/>
          <w:left w:val="single" w:sz="8" w:space="0" w:color="A6A6A6" w:themeColor="accent2"/>
          <w:bottom w:val="single" w:sz="8" w:space="0" w:color="A6A6A6" w:themeColor="accent2"/>
          <w:right w:val="single" w:sz="8" w:space="0" w:color="A6A6A6" w:themeColor="accent2"/>
        </w:tcBorders>
      </w:tcPr>
    </w:tblStylePr>
    <w:tblStylePr w:type="band1Horz">
      <w:tblPr/>
      <w:tcPr>
        <w:tcBorders>
          <w:top w:val="single" w:sz="8" w:space="0" w:color="A6A6A6" w:themeColor="accent2"/>
          <w:left w:val="single" w:sz="8" w:space="0" w:color="A6A6A6" w:themeColor="accent2"/>
          <w:bottom w:val="single" w:sz="8" w:space="0" w:color="A6A6A6" w:themeColor="accent2"/>
          <w:right w:val="single" w:sz="8" w:space="0" w:color="A6A6A6"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A5D3A" w:themeColor="accent1"/>
        <w:left w:val="single" w:sz="8" w:space="0" w:color="4A5D3A" w:themeColor="accent1"/>
        <w:bottom w:val="single" w:sz="8" w:space="0" w:color="4A5D3A" w:themeColor="accent1"/>
        <w:right w:val="single" w:sz="8" w:space="0" w:color="4A5D3A" w:themeColor="accent1"/>
        <w:insideH w:val="single" w:sz="8" w:space="0" w:color="4A5D3A" w:themeColor="accent1"/>
        <w:insideV w:val="single" w:sz="8" w:space="0" w:color="4A5D3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5D3A" w:themeColor="accent1"/>
          <w:left w:val="single" w:sz="8" w:space="0" w:color="4A5D3A" w:themeColor="accent1"/>
          <w:bottom w:val="single" w:sz="18" w:space="0" w:color="4A5D3A" w:themeColor="accent1"/>
          <w:right w:val="single" w:sz="8" w:space="0" w:color="4A5D3A" w:themeColor="accent1"/>
          <w:insideH w:val="nil"/>
          <w:insideV w:val="single" w:sz="8" w:space="0" w:color="4A5D3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5D3A" w:themeColor="accent1"/>
          <w:left w:val="single" w:sz="8" w:space="0" w:color="4A5D3A" w:themeColor="accent1"/>
          <w:bottom w:val="single" w:sz="8" w:space="0" w:color="4A5D3A" w:themeColor="accent1"/>
          <w:right w:val="single" w:sz="8" w:space="0" w:color="4A5D3A" w:themeColor="accent1"/>
          <w:insideH w:val="nil"/>
          <w:insideV w:val="single" w:sz="8" w:space="0" w:color="4A5D3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5D3A" w:themeColor="accent1"/>
          <w:left w:val="single" w:sz="8" w:space="0" w:color="4A5D3A" w:themeColor="accent1"/>
          <w:bottom w:val="single" w:sz="8" w:space="0" w:color="4A5D3A" w:themeColor="accent1"/>
          <w:right w:val="single" w:sz="8" w:space="0" w:color="4A5D3A" w:themeColor="accent1"/>
        </w:tcBorders>
      </w:tcPr>
    </w:tblStylePr>
    <w:tblStylePr w:type="band1Vert">
      <w:tblPr/>
      <w:tcPr>
        <w:tcBorders>
          <w:top w:val="single" w:sz="8" w:space="0" w:color="4A5D3A" w:themeColor="accent1"/>
          <w:left w:val="single" w:sz="8" w:space="0" w:color="4A5D3A" w:themeColor="accent1"/>
          <w:bottom w:val="single" w:sz="8" w:space="0" w:color="4A5D3A" w:themeColor="accent1"/>
          <w:right w:val="single" w:sz="8" w:space="0" w:color="4A5D3A" w:themeColor="accent1"/>
        </w:tcBorders>
        <w:shd w:val="clear" w:color="auto" w:fill="D1DCC8" w:themeFill="accent1" w:themeFillTint="3F"/>
      </w:tcPr>
    </w:tblStylePr>
    <w:tblStylePr w:type="band1Horz">
      <w:tblPr/>
      <w:tcPr>
        <w:tcBorders>
          <w:top w:val="single" w:sz="8" w:space="0" w:color="4A5D3A" w:themeColor="accent1"/>
          <w:left w:val="single" w:sz="8" w:space="0" w:color="4A5D3A" w:themeColor="accent1"/>
          <w:bottom w:val="single" w:sz="8" w:space="0" w:color="4A5D3A" w:themeColor="accent1"/>
          <w:right w:val="single" w:sz="8" w:space="0" w:color="4A5D3A" w:themeColor="accent1"/>
          <w:insideV w:val="single" w:sz="8" w:space="0" w:color="4A5D3A" w:themeColor="accent1"/>
        </w:tcBorders>
        <w:shd w:val="clear" w:color="auto" w:fill="D1DCC8" w:themeFill="accent1" w:themeFillTint="3F"/>
      </w:tcPr>
    </w:tblStylePr>
    <w:tblStylePr w:type="band2Horz">
      <w:tblPr/>
      <w:tcPr>
        <w:tcBorders>
          <w:top w:val="single" w:sz="8" w:space="0" w:color="4A5D3A" w:themeColor="accent1"/>
          <w:left w:val="single" w:sz="8" w:space="0" w:color="4A5D3A" w:themeColor="accent1"/>
          <w:bottom w:val="single" w:sz="8" w:space="0" w:color="4A5D3A" w:themeColor="accent1"/>
          <w:right w:val="single" w:sz="8" w:space="0" w:color="4A5D3A" w:themeColor="accent1"/>
          <w:insideV w:val="single" w:sz="8" w:space="0" w:color="4A5D3A"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A6A6A6" w:themeColor="accent2"/>
        <w:left w:val="single" w:sz="8" w:space="0" w:color="A6A6A6" w:themeColor="accent2"/>
        <w:bottom w:val="single" w:sz="8" w:space="0" w:color="A6A6A6" w:themeColor="accent2"/>
        <w:right w:val="single" w:sz="8" w:space="0" w:color="A6A6A6" w:themeColor="accent2"/>
        <w:insideH w:val="single" w:sz="8" w:space="0" w:color="A6A6A6" w:themeColor="accent2"/>
        <w:insideV w:val="single" w:sz="8" w:space="0" w:color="A6A6A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A6A6" w:themeColor="accent2"/>
          <w:left w:val="single" w:sz="8" w:space="0" w:color="A6A6A6" w:themeColor="accent2"/>
          <w:bottom w:val="single" w:sz="18" w:space="0" w:color="A6A6A6" w:themeColor="accent2"/>
          <w:right w:val="single" w:sz="8" w:space="0" w:color="A6A6A6" w:themeColor="accent2"/>
          <w:insideH w:val="nil"/>
          <w:insideV w:val="single" w:sz="8" w:space="0" w:color="A6A6A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A6A6" w:themeColor="accent2"/>
          <w:left w:val="single" w:sz="8" w:space="0" w:color="A6A6A6" w:themeColor="accent2"/>
          <w:bottom w:val="single" w:sz="8" w:space="0" w:color="A6A6A6" w:themeColor="accent2"/>
          <w:right w:val="single" w:sz="8" w:space="0" w:color="A6A6A6" w:themeColor="accent2"/>
          <w:insideH w:val="nil"/>
          <w:insideV w:val="single" w:sz="8" w:space="0" w:color="A6A6A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A6A6" w:themeColor="accent2"/>
          <w:left w:val="single" w:sz="8" w:space="0" w:color="A6A6A6" w:themeColor="accent2"/>
          <w:bottom w:val="single" w:sz="8" w:space="0" w:color="A6A6A6" w:themeColor="accent2"/>
          <w:right w:val="single" w:sz="8" w:space="0" w:color="A6A6A6" w:themeColor="accent2"/>
        </w:tcBorders>
      </w:tcPr>
    </w:tblStylePr>
    <w:tblStylePr w:type="band1Vert">
      <w:tblPr/>
      <w:tcPr>
        <w:tcBorders>
          <w:top w:val="single" w:sz="8" w:space="0" w:color="A6A6A6" w:themeColor="accent2"/>
          <w:left w:val="single" w:sz="8" w:space="0" w:color="A6A6A6" w:themeColor="accent2"/>
          <w:bottom w:val="single" w:sz="8" w:space="0" w:color="A6A6A6" w:themeColor="accent2"/>
          <w:right w:val="single" w:sz="8" w:space="0" w:color="A6A6A6" w:themeColor="accent2"/>
        </w:tcBorders>
        <w:shd w:val="clear" w:color="auto" w:fill="E9E9E9" w:themeFill="accent2" w:themeFillTint="3F"/>
      </w:tcPr>
    </w:tblStylePr>
    <w:tblStylePr w:type="band1Horz">
      <w:tblPr/>
      <w:tcPr>
        <w:tcBorders>
          <w:top w:val="single" w:sz="8" w:space="0" w:color="A6A6A6" w:themeColor="accent2"/>
          <w:left w:val="single" w:sz="8" w:space="0" w:color="A6A6A6" w:themeColor="accent2"/>
          <w:bottom w:val="single" w:sz="8" w:space="0" w:color="A6A6A6" w:themeColor="accent2"/>
          <w:right w:val="single" w:sz="8" w:space="0" w:color="A6A6A6" w:themeColor="accent2"/>
          <w:insideV w:val="single" w:sz="8" w:space="0" w:color="A6A6A6" w:themeColor="accent2"/>
        </w:tcBorders>
        <w:shd w:val="clear" w:color="auto" w:fill="E9E9E9" w:themeFill="accent2" w:themeFillTint="3F"/>
      </w:tcPr>
    </w:tblStylePr>
    <w:tblStylePr w:type="band2Horz">
      <w:tblPr/>
      <w:tcPr>
        <w:tcBorders>
          <w:top w:val="single" w:sz="8" w:space="0" w:color="A6A6A6" w:themeColor="accent2"/>
          <w:left w:val="single" w:sz="8" w:space="0" w:color="A6A6A6" w:themeColor="accent2"/>
          <w:bottom w:val="single" w:sz="8" w:space="0" w:color="A6A6A6" w:themeColor="accent2"/>
          <w:right w:val="single" w:sz="8" w:space="0" w:color="A6A6A6" w:themeColor="accent2"/>
          <w:insideV w:val="single" w:sz="8" w:space="0" w:color="A6A6A6"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5945C" w:themeColor="accent1" w:themeTint="BF"/>
        <w:left w:val="single" w:sz="8" w:space="0" w:color="75945C" w:themeColor="accent1" w:themeTint="BF"/>
        <w:bottom w:val="single" w:sz="8" w:space="0" w:color="75945C" w:themeColor="accent1" w:themeTint="BF"/>
        <w:right w:val="single" w:sz="8" w:space="0" w:color="75945C" w:themeColor="accent1" w:themeTint="BF"/>
        <w:insideH w:val="single" w:sz="8" w:space="0" w:color="75945C" w:themeColor="accent1" w:themeTint="BF"/>
      </w:tblBorders>
    </w:tblPr>
    <w:tblStylePr w:type="firstRow">
      <w:pPr>
        <w:spacing w:before="0" w:after="0" w:line="240" w:lineRule="auto"/>
      </w:pPr>
      <w:rPr>
        <w:b/>
        <w:bCs/>
        <w:color w:val="FFFFFF" w:themeColor="background1"/>
      </w:rPr>
      <w:tblPr/>
      <w:tcPr>
        <w:tcBorders>
          <w:top w:val="single" w:sz="8" w:space="0" w:color="75945C" w:themeColor="accent1" w:themeTint="BF"/>
          <w:left w:val="single" w:sz="8" w:space="0" w:color="75945C" w:themeColor="accent1" w:themeTint="BF"/>
          <w:bottom w:val="single" w:sz="8" w:space="0" w:color="75945C" w:themeColor="accent1" w:themeTint="BF"/>
          <w:right w:val="single" w:sz="8" w:space="0" w:color="75945C" w:themeColor="accent1" w:themeTint="BF"/>
          <w:insideH w:val="nil"/>
          <w:insideV w:val="nil"/>
        </w:tcBorders>
        <w:shd w:val="clear" w:color="auto" w:fill="4A5D3A" w:themeFill="accent1"/>
      </w:tcPr>
    </w:tblStylePr>
    <w:tblStylePr w:type="lastRow">
      <w:pPr>
        <w:spacing w:before="0" w:after="0" w:line="240" w:lineRule="auto"/>
      </w:pPr>
      <w:rPr>
        <w:b/>
        <w:bCs/>
      </w:rPr>
      <w:tblPr/>
      <w:tcPr>
        <w:tcBorders>
          <w:top w:val="double" w:sz="6" w:space="0" w:color="75945C" w:themeColor="accent1" w:themeTint="BF"/>
          <w:left w:val="single" w:sz="8" w:space="0" w:color="75945C" w:themeColor="accent1" w:themeTint="BF"/>
          <w:bottom w:val="single" w:sz="8" w:space="0" w:color="75945C" w:themeColor="accent1" w:themeTint="BF"/>
          <w:right w:val="single" w:sz="8" w:space="0" w:color="75945C"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CC8" w:themeFill="accent1" w:themeFillTint="3F"/>
      </w:tcPr>
    </w:tblStylePr>
    <w:tblStylePr w:type="band1Horz">
      <w:tblPr/>
      <w:tcPr>
        <w:tcBorders>
          <w:insideH w:val="nil"/>
          <w:insideV w:val="nil"/>
        </w:tcBorders>
        <w:shd w:val="clear" w:color="auto" w:fill="D1DCC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BCBCBC" w:themeColor="accent2" w:themeTint="BF"/>
        <w:left w:val="single" w:sz="8" w:space="0" w:color="BCBCBC" w:themeColor="accent2" w:themeTint="BF"/>
        <w:bottom w:val="single" w:sz="8" w:space="0" w:color="BCBCBC" w:themeColor="accent2" w:themeTint="BF"/>
        <w:right w:val="single" w:sz="8" w:space="0" w:color="BCBCBC" w:themeColor="accent2" w:themeTint="BF"/>
        <w:insideH w:val="single" w:sz="8" w:space="0" w:color="BCBCBC" w:themeColor="accent2" w:themeTint="BF"/>
      </w:tblBorders>
    </w:tblPr>
    <w:tblStylePr w:type="firstRow">
      <w:pPr>
        <w:spacing w:before="0" w:after="0" w:line="240" w:lineRule="auto"/>
      </w:pPr>
      <w:rPr>
        <w:b/>
        <w:bCs/>
        <w:color w:val="FFFFFF" w:themeColor="background1"/>
      </w:rPr>
      <w:tblPr/>
      <w:tcPr>
        <w:tcBorders>
          <w:top w:val="single" w:sz="8" w:space="0" w:color="BCBCBC" w:themeColor="accent2" w:themeTint="BF"/>
          <w:left w:val="single" w:sz="8" w:space="0" w:color="BCBCBC" w:themeColor="accent2" w:themeTint="BF"/>
          <w:bottom w:val="single" w:sz="8" w:space="0" w:color="BCBCBC" w:themeColor="accent2" w:themeTint="BF"/>
          <w:right w:val="single" w:sz="8" w:space="0" w:color="BCBCBC" w:themeColor="accent2" w:themeTint="BF"/>
          <w:insideH w:val="nil"/>
          <w:insideV w:val="nil"/>
        </w:tcBorders>
        <w:shd w:val="clear" w:color="auto" w:fill="A6A6A6" w:themeFill="accent2"/>
      </w:tcPr>
    </w:tblStylePr>
    <w:tblStylePr w:type="lastRow">
      <w:pPr>
        <w:spacing w:before="0" w:after="0" w:line="240" w:lineRule="auto"/>
      </w:pPr>
      <w:rPr>
        <w:b/>
        <w:bCs/>
      </w:rPr>
      <w:tblPr/>
      <w:tcPr>
        <w:tcBorders>
          <w:top w:val="double" w:sz="6" w:space="0" w:color="BCBCBC" w:themeColor="accent2" w:themeTint="BF"/>
          <w:left w:val="single" w:sz="8" w:space="0" w:color="BCBCBC" w:themeColor="accent2" w:themeTint="BF"/>
          <w:bottom w:val="single" w:sz="8" w:space="0" w:color="BCBCBC" w:themeColor="accent2" w:themeTint="BF"/>
          <w:right w:val="single" w:sz="8" w:space="0" w:color="BCBCBC" w:themeColor="accent2" w:themeTint="BF"/>
          <w:insideH w:val="nil"/>
          <w:insideV w:val="nil"/>
        </w:tcBorders>
      </w:tcPr>
    </w:tblStylePr>
    <w:tblStylePr w:type="firstCol">
      <w:rPr>
        <w:b/>
        <w:bCs/>
      </w:rPr>
    </w:tblStylePr>
    <w:tblStylePr w:type="lastCol">
      <w:rPr>
        <w:b/>
        <w:bCs/>
      </w:rPr>
    </w:tblStylePr>
    <w:tblStylePr w:type="band1Vert">
      <w:tblPr/>
      <w:tcPr>
        <w:shd w:val="clear" w:color="auto" w:fill="E9E9E9" w:themeFill="accent2" w:themeFillTint="3F"/>
      </w:tcPr>
    </w:tblStylePr>
    <w:tblStylePr w:type="band1Horz">
      <w:tblPr/>
      <w:tcPr>
        <w:tcBorders>
          <w:insideH w:val="nil"/>
          <w:insideV w:val="nil"/>
        </w:tcBorders>
        <w:shd w:val="clear" w:color="auto" w:fill="E9E9E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5D3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5D3A" w:themeFill="accent1"/>
      </w:tcPr>
    </w:tblStylePr>
    <w:tblStylePr w:type="lastCol">
      <w:rPr>
        <w:b/>
        <w:bCs/>
        <w:color w:val="FFFFFF" w:themeColor="background1"/>
      </w:rPr>
      <w:tblPr/>
      <w:tcPr>
        <w:tcBorders>
          <w:left w:val="nil"/>
          <w:right w:val="nil"/>
          <w:insideH w:val="nil"/>
          <w:insideV w:val="nil"/>
        </w:tcBorders>
        <w:shd w:val="clear" w:color="auto" w:fill="4A5D3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6A6A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6A6A6" w:themeFill="accent2"/>
      </w:tcPr>
    </w:tblStylePr>
    <w:tblStylePr w:type="lastCol">
      <w:rPr>
        <w:b/>
        <w:bCs/>
        <w:color w:val="FFFFFF" w:themeColor="background1"/>
      </w:rPr>
      <w:tblPr/>
      <w:tcPr>
        <w:tcBorders>
          <w:left w:val="nil"/>
          <w:right w:val="nil"/>
          <w:insideH w:val="nil"/>
          <w:insideV w:val="nil"/>
        </w:tcBorders>
        <w:shd w:val="clear" w:color="auto" w:fill="A6A6A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33333"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A5D3A" w:themeColor="accent1"/>
        <w:bottom w:val="single" w:sz="8" w:space="0" w:color="4A5D3A" w:themeColor="accent1"/>
      </w:tblBorders>
    </w:tblPr>
    <w:tblStylePr w:type="firstRow">
      <w:rPr>
        <w:rFonts w:asciiTheme="majorHAnsi" w:eastAsiaTheme="majorEastAsia" w:hAnsiTheme="majorHAnsi" w:cstheme="majorBidi"/>
      </w:rPr>
      <w:tblPr/>
      <w:tcPr>
        <w:tcBorders>
          <w:top w:val="nil"/>
          <w:bottom w:val="single" w:sz="8" w:space="0" w:color="4A5D3A" w:themeColor="accent1"/>
        </w:tcBorders>
      </w:tcPr>
    </w:tblStylePr>
    <w:tblStylePr w:type="lastRow">
      <w:rPr>
        <w:b/>
        <w:bCs/>
        <w:color w:val="333333" w:themeColor="text2"/>
      </w:rPr>
      <w:tblPr/>
      <w:tcPr>
        <w:tcBorders>
          <w:top w:val="single" w:sz="8" w:space="0" w:color="4A5D3A" w:themeColor="accent1"/>
          <w:bottom w:val="single" w:sz="8" w:space="0" w:color="4A5D3A" w:themeColor="accent1"/>
        </w:tcBorders>
      </w:tcPr>
    </w:tblStylePr>
    <w:tblStylePr w:type="firstCol">
      <w:rPr>
        <w:b/>
        <w:bCs/>
      </w:rPr>
    </w:tblStylePr>
    <w:tblStylePr w:type="lastCol">
      <w:rPr>
        <w:b/>
        <w:bCs/>
      </w:rPr>
      <w:tblPr/>
      <w:tcPr>
        <w:tcBorders>
          <w:top w:val="single" w:sz="8" w:space="0" w:color="4A5D3A" w:themeColor="accent1"/>
          <w:bottom w:val="single" w:sz="8" w:space="0" w:color="4A5D3A" w:themeColor="accent1"/>
        </w:tcBorders>
      </w:tcPr>
    </w:tblStylePr>
    <w:tblStylePr w:type="band1Vert">
      <w:tblPr/>
      <w:tcPr>
        <w:shd w:val="clear" w:color="auto" w:fill="D1DCC8" w:themeFill="accent1" w:themeFillTint="3F"/>
      </w:tcPr>
    </w:tblStylePr>
    <w:tblStylePr w:type="band1Horz">
      <w:tblPr/>
      <w:tcPr>
        <w:shd w:val="clear" w:color="auto" w:fill="D1DCC8"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A6A6A6" w:themeColor="accent2"/>
        <w:bottom w:val="single" w:sz="8" w:space="0" w:color="A6A6A6" w:themeColor="accent2"/>
      </w:tblBorders>
    </w:tblPr>
    <w:tblStylePr w:type="firstRow">
      <w:rPr>
        <w:rFonts w:asciiTheme="majorHAnsi" w:eastAsiaTheme="majorEastAsia" w:hAnsiTheme="majorHAnsi" w:cstheme="majorBidi"/>
      </w:rPr>
      <w:tblPr/>
      <w:tcPr>
        <w:tcBorders>
          <w:top w:val="nil"/>
          <w:bottom w:val="single" w:sz="8" w:space="0" w:color="A6A6A6" w:themeColor="accent2"/>
        </w:tcBorders>
      </w:tcPr>
    </w:tblStylePr>
    <w:tblStylePr w:type="lastRow">
      <w:rPr>
        <w:b/>
        <w:bCs/>
        <w:color w:val="333333" w:themeColor="text2"/>
      </w:rPr>
      <w:tblPr/>
      <w:tcPr>
        <w:tcBorders>
          <w:top w:val="single" w:sz="8" w:space="0" w:color="A6A6A6" w:themeColor="accent2"/>
          <w:bottom w:val="single" w:sz="8" w:space="0" w:color="A6A6A6" w:themeColor="accent2"/>
        </w:tcBorders>
      </w:tcPr>
    </w:tblStylePr>
    <w:tblStylePr w:type="firstCol">
      <w:rPr>
        <w:b/>
        <w:bCs/>
      </w:rPr>
    </w:tblStylePr>
    <w:tblStylePr w:type="lastCol">
      <w:rPr>
        <w:b/>
        <w:bCs/>
      </w:rPr>
      <w:tblPr/>
      <w:tcPr>
        <w:tcBorders>
          <w:top w:val="single" w:sz="8" w:space="0" w:color="A6A6A6" w:themeColor="accent2"/>
          <w:bottom w:val="single" w:sz="8" w:space="0" w:color="A6A6A6" w:themeColor="accent2"/>
        </w:tcBorders>
      </w:tcPr>
    </w:tblStylePr>
    <w:tblStylePr w:type="band1Vert">
      <w:tblPr/>
      <w:tcPr>
        <w:shd w:val="clear" w:color="auto" w:fill="E9E9E9" w:themeFill="accent2" w:themeFillTint="3F"/>
      </w:tcPr>
    </w:tblStylePr>
    <w:tblStylePr w:type="band1Horz">
      <w:tblPr/>
      <w:tcPr>
        <w:shd w:val="clear" w:color="auto" w:fill="E9E9E9"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33333"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33333"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33333"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33333"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5D3A" w:themeColor="accent1"/>
        <w:left w:val="single" w:sz="8" w:space="0" w:color="4A5D3A" w:themeColor="accent1"/>
        <w:bottom w:val="single" w:sz="8" w:space="0" w:color="4A5D3A" w:themeColor="accent1"/>
        <w:right w:val="single" w:sz="8" w:space="0" w:color="4A5D3A" w:themeColor="accent1"/>
      </w:tblBorders>
    </w:tblPr>
    <w:tblStylePr w:type="firstRow">
      <w:rPr>
        <w:sz w:val="24"/>
        <w:szCs w:val="24"/>
      </w:rPr>
      <w:tblPr/>
      <w:tcPr>
        <w:tcBorders>
          <w:top w:val="nil"/>
          <w:left w:val="nil"/>
          <w:bottom w:val="single" w:sz="24" w:space="0" w:color="4A5D3A" w:themeColor="accent1"/>
          <w:right w:val="nil"/>
          <w:insideH w:val="nil"/>
          <w:insideV w:val="nil"/>
        </w:tcBorders>
        <w:shd w:val="clear" w:color="auto" w:fill="FFFFFF" w:themeFill="background1"/>
      </w:tcPr>
    </w:tblStylePr>
    <w:tblStylePr w:type="lastRow">
      <w:tblPr/>
      <w:tcPr>
        <w:tcBorders>
          <w:top w:val="single" w:sz="8" w:space="0" w:color="4A5D3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5D3A" w:themeColor="accent1"/>
          <w:insideH w:val="nil"/>
          <w:insideV w:val="nil"/>
        </w:tcBorders>
        <w:shd w:val="clear" w:color="auto" w:fill="FFFFFF" w:themeFill="background1"/>
      </w:tcPr>
    </w:tblStylePr>
    <w:tblStylePr w:type="lastCol">
      <w:tblPr/>
      <w:tcPr>
        <w:tcBorders>
          <w:top w:val="nil"/>
          <w:left w:val="single" w:sz="8" w:space="0" w:color="4A5D3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C8" w:themeFill="accent1" w:themeFillTint="3F"/>
      </w:tcPr>
    </w:tblStylePr>
    <w:tblStylePr w:type="band1Horz">
      <w:tblPr/>
      <w:tcPr>
        <w:tcBorders>
          <w:top w:val="nil"/>
          <w:bottom w:val="nil"/>
          <w:insideH w:val="nil"/>
          <w:insideV w:val="nil"/>
        </w:tcBorders>
        <w:shd w:val="clear" w:color="auto" w:fill="D1DCC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A6A6" w:themeColor="accent2"/>
        <w:left w:val="single" w:sz="8" w:space="0" w:color="A6A6A6" w:themeColor="accent2"/>
        <w:bottom w:val="single" w:sz="8" w:space="0" w:color="A6A6A6" w:themeColor="accent2"/>
        <w:right w:val="single" w:sz="8" w:space="0" w:color="A6A6A6" w:themeColor="accent2"/>
      </w:tblBorders>
    </w:tblPr>
    <w:tblStylePr w:type="firstRow">
      <w:rPr>
        <w:sz w:val="24"/>
        <w:szCs w:val="24"/>
      </w:rPr>
      <w:tblPr/>
      <w:tcPr>
        <w:tcBorders>
          <w:top w:val="nil"/>
          <w:left w:val="nil"/>
          <w:bottom w:val="single" w:sz="24" w:space="0" w:color="A6A6A6" w:themeColor="accent2"/>
          <w:right w:val="nil"/>
          <w:insideH w:val="nil"/>
          <w:insideV w:val="nil"/>
        </w:tcBorders>
        <w:shd w:val="clear" w:color="auto" w:fill="FFFFFF" w:themeFill="background1"/>
      </w:tcPr>
    </w:tblStylePr>
    <w:tblStylePr w:type="lastRow">
      <w:tblPr/>
      <w:tcPr>
        <w:tcBorders>
          <w:top w:val="single" w:sz="8" w:space="0" w:color="A6A6A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6A6A6" w:themeColor="accent2"/>
          <w:insideH w:val="nil"/>
          <w:insideV w:val="nil"/>
        </w:tcBorders>
        <w:shd w:val="clear" w:color="auto" w:fill="FFFFFF" w:themeFill="background1"/>
      </w:tcPr>
    </w:tblStylePr>
    <w:tblStylePr w:type="lastCol">
      <w:tblPr/>
      <w:tcPr>
        <w:tcBorders>
          <w:top w:val="nil"/>
          <w:left w:val="single" w:sz="8" w:space="0" w:color="A6A6A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9E9E9" w:themeFill="accent2" w:themeFillTint="3F"/>
      </w:tcPr>
    </w:tblStylePr>
    <w:tblStylePr w:type="band1Horz">
      <w:tblPr/>
      <w:tcPr>
        <w:tcBorders>
          <w:top w:val="nil"/>
          <w:bottom w:val="nil"/>
          <w:insideH w:val="nil"/>
          <w:insideV w:val="nil"/>
        </w:tcBorders>
        <w:shd w:val="clear" w:color="auto" w:fill="E9E9E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5945C" w:themeColor="accent1" w:themeTint="BF"/>
        <w:left w:val="single" w:sz="8" w:space="0" w:color="75945C" w:themeColor="accent1" w:themeTint="BF"/>
        <w:bottom w:val="single" w:sz="8" w:space="0" w:color="75945C" w:themeColor="accent1" w:themeTint="BF"/>
        <w:right w:val="single" w:sz="8" w:space="0" w:color="75945C" w:themeColor="accent1" w:themeTint="BF"/>
        <w:insideH w:val="single" w:sz="8" w:space="0" w:color="75945C" w:themeColor="accent1" w:themeTint="BF"/>
        <w:insideV w:val="single" w:sz="8" w:space="0" w:color="75945C" w:themeColor="accent1" w:themeTint="BF"/>
      </w:tblBorders>
    </w:tblPr>
    <w:tcPr>
      <w:shd w:val="clear" w:color="auto" w:fill="D1DCC8" w:themeFill="accent1" w:themeFillTint="3F"/>
    </w:tcPr>
    <w:tblStylePr w:type="firstRow">
      <w:rPr>
        <w:b/>
        <w:bCs/>
      </w:rPr>
    </w:tblStylePr>
    <w:tblStylePr w:type="lastRow">
      <w:rPr>
        <w:b/>
        <w:bCs/>
      </w:rPr>
      <w:tblPr/>
      <w:tcPr>
        <w:tcBorders>
          <w:top w:val="single" w:sz="18" w:space="0" w:color="75945C" w:themeColor="accent1" w:themeTint="BF"/>
        </w:tcBorders>
      </w:tcPr>
    </w:tblStylePr>
    <w:tblStylePr w:type="firstCol">
      <w:rPr>
        <w:b/>
        <w:bCs/>
      </w:rPr>
    </w:tblStylePr>
    <w:tblStylePr w:type="lastCol">
      <w:rPr>
        <w:b/>
        <w:bCs/>
      </w:rPr>
    </w:tblStylePr>
    <w:tblStylePr w:type="band1Vert">
      <w:tblPr/>
      <w:tcPr>
        <w:shd w:val="clear" w:color="auto" w:fill="A3BA90" w:themeFill="accent1" w:themeFillTint="7F"/>
      </w:tcPr>
    </w:tblStylePr>
    <w:tblStylePr w:type="band1Horz">
      <w:tblPr/>
      <w:tcPr>
        <w:shd w:val="clear" w:color="auto" w:fill="A3BA90"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BCBCBC" w:themeColor="accent2" w:themeTint="BF"/>
        <w:left w:val="single" w:sz="8" w:space="0" w:color="BCBCBC" w:themeColor="accent2" w:themeTint="BF"/>
        <w:bottom w:val="single" w:sz="8" w:space="0" w:color="BCBCBC" w:themeColor="accent2" w:themeTint="BF"/>
        <w:right w:val="single" w:sz="8" w:space="0" w:color="BCBCBC" w:themeColor="accent2" w:themeTint="BF"/>
        <w:insideH w:val="single" w:sz="8" w:space="0" w:color="BCBCBC" w:themeColor="accent2" w:themeTint="BF"/>
        <w:insideV w:val="single" w:sz="8" w:space="0" w:color="BCBCBC" w:themeColor="accent2" w:themeTint="BF"/>
      </w:tblBorders>
    </w:tblPr>
    <w:tcPr>
      <w:shd w:val="clear" w:color="auto" w:fill="E9E9E9" w:themeFill="accent2" w:themeFillTint="3F"/>
    </w:tcPr>
    <w:tblStylePr w:type="firstRow">
      <w:rPr>
        <w:b/>
        <w:bCs/>
      </w:rPr>
    </w:tblStylePr>
    <w:tblStylePr w:type="lastRow">
      <w:rPr>
        <w:b/>
        <w:bCs/>
      </w:rPr>
      <w:tblPr/>
      <w:tcPr>
        <w:tcBorders>
          <w:top w:val="single" w:sz="18" w:space="0" w:color="BCBCBC" w:themeColor="accent2" w:themeTint="BF"/>
        </w:tcBorders>
      </w:tcPr>
    </w:tblStylePr>
    <w:tblStylePr w:type="firstCol">
      <w:rPr>
        <w:b/>
        <w:bCs/>
      </w:rPr>
    </w:tblStylePr>
    <w:tblStylePr w:type="lastCol">
      <w:rPr>
        <w:b/>
        <w:bCs/>
      </w:rPr>
    </w:tblStylePr>
    <w:tblStylePr w:type="band1Vert">
      <w:tblPr/>
      <w:tcPr>
        <w:shd w:val="clear" w:color="auto" w:fill="D2D2D2" w:themeFill="accent2" w:themeFillTint="7F"/>
      </w:tcPr>
    </w:tblStylePr>
    <w:tblStylePr w:type="band1Horz">
      <w:tblPr/>
      <w:tcPr>
        <w:shd w:val="clear" w:color="auto" w:fill="D2D2D2"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5D3A" w:themeColor="accent1"/>
        <w:left w:val="single" w:sz="8" w:space="0" w:color="4A5D3A" w:themeColor="accent1"/>
        <w:bottom w:val="single" w:sz="8" w:space="0" w:color="4A5D3A" w:themeColor="accent1"/>
        <w:right w:val="single" w:sz="8" w:space="0" w:color="4A5D3A" w:themeColor="accent1"/>
        <w:insideH w:val="single" w:sz="8" w:space="0" w:color="4A5D3A" w:themeColor="accent1"/>
        <w:insideV w:val="single" w:sz="8" w:space="0" w:color="4A5D3A" w:themeColor="accent1"/>
      </w:tblBorders>
    </w:tblPr>
    <w:tcPr>
      <w:shd w:val="clear" w:color="auto" w:fill="D1DCC8" w:themeFill="accent1" w:themeFillTint="3F"/>
    </w:tcPr>
    <w:tblStylePr w:type="firstRow">
      <w:rPr>
        <w:b/>
        <w:bCs/>
        <w:color w:val="000000" w:themeColor="text1"/>
      </w:rPr>
      <w:tblPr/>
      <w:tcPr>
        <w:shd w:val="clear" w:color="auto" w:fill="ECF1E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3D2" w:themeFill="accent1" w:themeFillTint="33"/>
      </w:tcPr>
    </w:tblStylePr>
    <w:tblStylePr w:type="band1Vert">
      <w:tblPr/>
      <w:tcPr>
        <w:shd w:val="clear" w:color="auto" w:fill="A3BA90" w:themeFill="accent1" w:themeFillTint="7F"/>
      </w:tcPr>
    </w:tblStylePr>
    <w:tblStylePr w:type="band1Horz">
      <w:tblPr/>
      <w:tcPr>
        <w:tcBorders>
          <w:insideH w:val="single" w:sz="6" w:space="0" w:color="4A5D3A" w:themeColor="accent1"/>
          <w:insideV w:val="single" w:sz="6" w:space="0" w:color="4A5D3A" w:themeColor="accent1"/>
        </w:tcBorders>
        <w:shd w:val="clear" w:color="auto" w:fill="A3BA9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A6A6" w:themeColor="accent2"/>
        <w:left w:val="single" w:sz="8" w:space="0" w:color="A6A6A6" w:themeColor="accent2"/>
        <w:bottom w:val="single" w:sz="8" w:space="0" w:color="A6A6A6" w:themeColor="accent2"/>
        <w:right w:val="single" w:sz="8" w:space="0" w:color="A6A6A6" w:themeColor="accent2"/>
        <w:insideH w:val="single" w:sz="8" w:space="0" w:color="A6A6A6" w:themeColor="accent2"/>
        <w:insideV w:val="single" w:sz="8" w:space="0" w:color="A6A6A6" w:themeColor="accent2"/>
      </w:tblBorders>
    </w:tblPr>
    <w:tcPr>
      <w:shd w:val="clear" w:color="auto" w:fill="E9E9E9" w:themeFill="accent2" w:themeFillTint="3F"/>
    </w:tcPr>
    <w:tblStylePr w:type="firstRow">
      <w:rPr>
        <w:b/>
        <w:bCs/>
        <w:color w:val="000000" w:themeColor="text1"/>
      </w:rPr>
      <w:tblPr/>
      <w:tcPr>
        <w:shd w:val="clear" w:color="auto" w:fill="F6F6F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2" w:themeFillTint="33"/>
      </w:tcPr>
    </w:tblStylePr>
    <w:tblStylePr w:type="band1Vert">
      <w:tblPr/>
      <w:tcPr>
        <w:shd w:val="clear" w:color="auto" w:fill="D2D2D2" w:themeFill="accent2" w:themeFillTint="7F"/>
      </w:tcPr>
    </w:tblStylePr>
    <w:tblStylePr w:type="band1Horz">
      <w:tblPr/>
      <w:tcPr>
        <w:tcBorders>
          <w:insideH w:val="single" w:sz="6" w:space="0" w:color="A6A6A6" w:themeColor="accent2"/>
          <w:insideV w:val="single" w:sz="6" w:space="0" w:color="A6A6A6" w:themeColor="accent2"/>
        </w:tcBorders>
        <w:shd w:val="clear" w:color="auto" w:fill="D2D2D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CC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5D3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5D3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5D3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5D3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BA9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3BA90"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9E9E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6A6A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6A6A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6A6A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6A6A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A5D3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2E1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452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452B" w:themeFill="accent1" w:themeFillShade="BF"/>
      </w:tcPr>
    </w:tblStylePr>
    <w:tblStylePr w:type="band1Vert">
      <w:tblPr/>
      <w:tcPr>
        <w:tcBorders>
          <w:top w:val="nil"/>
          <w:left w:val="nil"/>
          <w:bottom w:val="nil"/>
          <w:right w:val="nil"/>
          <w:insideH w:val="nil"/>
          <w:insideV w:val="nil"/>
        </w:tcBorders>
        <w:shd w:val="clear" w:color="auto" w:fill="37452B" w:themeFill="accent1" w:themeFillShade="BF"/>
      </w:tcPr>
    </w:tblStylePr>
    <w:tblStylePr w:type="band1Horz">
      <w:tblPr/>
      <w:tcPr>
        <w:tcBorders>
          <w:top w:val="nil"/>
          <w:left w:val="nil"/>
          <w:bottom w:val="nil"/>
          <w:right w:val="nil"/>
          <w:insideH w:val="nil"/>
          <w:insideV w:val="nil"/>
        </w:tcBorders>
        <w:shd w:val="clear" w:color="auto" w:fill="37452B"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A6A6A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C7C7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C7C7C" w:themeFill="accent2" w:themeFillShade="BF"/>
      </w:tcPr>
    </w:tblStylePr>
    <w:tblStylePr w:type="band1Vert">
      <w:tblPr/>
      <w:tcPr>
        <w:tcBorders>
          <w:top w:val="nil"/>
          <w:left w:val="nil"/>
          <w:bottom w:val="nil"/>
          <w:right w:val="nil"/>
          <w:insideH w:val="nil"/>
          <w:insideV w:val="nil"/>
        </w:tcBorders>
        <w:shd w:val="clear" w:color="auto" w:fill="7C7C7C" w:themeFill="accent2" w:themeFillShade="BF"/>
      </w:tcPr>
    </w:tblStylePr>
    <w:tblStylePr w:type="band1Horz">
      <w:tblPr/>
      <w:tcPr>
        <w:tcBorders>
          <w:top w:val="nil"/>
          <w:left w:val="nil"/>
          <w:bottom w:val="nil"/>
          <w:right w:val="nil"/>
          <w:insideH w:val="nil"/>
          <w:insideV w:val="nil"/>
        </w:tcBorders>
        <w:shd w:val="clear" w:color="auto" w:fill="7C7C7C"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A6A6A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6A6A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A6A6A6" w:themeColor="accent2"/>
        <w:left w:val="single" w:sz="4" w:space="0" w:color="4A5D3A" w:themeColor="accent1"/>
        <w:bottom w:val="single" w:sz="4" w:space="0" w:color="4A5D3A" w:themeColor="accent1"/>
        <w:right w:val="single" w:sz="4" w:space="0" w:color="4A5D3A" w:themeColor="accent1"/>
        <w:insideH w:val="single" w:sz="4" w:space="0" w:color="FFFFFF" w:themeColor="background1"/>
        <w:insideV w:val="single" w:sz="4" w:space="0" w:color="FFFFFF" w:themeColor="background1"/>
      </w:tblBorders>
    </w:tblPr>
    <w:tcPr>
      <w:shd w:val="clear" w:color="auto" w:fill="ECF1E9" w:themeFill="accent1" w:themeFillTint="19"/>
    </w:tcPr>
    <w:tblStylePr w:type="firstRow">
      <w:rPr>
        <w:b/>
        <w:bCs/>
      </w:rPr>
      <w:tblPr/>
      <w:tcPr>
        <w:tcBorders>
          <w:top w:val="nil"/>
          <w:left w:val="nil"/>
          <w:bottom w:val="single" w:sz="24" w:space="0" w:color="A6A6A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3722" w:themeFill="accent1" w:themeFillShade="99"/>
      </w:tcPr>
    </w:tblStylePr>
    <w:tblStylePr w:type="firstCol">
      <w:rPr>
        <w:color w:val="FFFFFF" w:themeColor="background1"/>
      </w:rPr>
      <w:tblPr/>
      <w:tcPr>
        <w:tcBorders>
          <w:top w:val="nil"/>
          <w:left w:val="nil"/>
          <w:bottom w:val="nil"/>
          <w:right w:val="nil"/>
          <w:insideH w:val="single" w:sz="4" w:space="0" w:color="2C3722" w:themeColor="accent1" w:themeShade="99"/>
          <w:insideV w:val="nil"/>
        </w:tcBorders>
        <w:shd w:val="clear" w:color="auto" w:fill="2C372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3722" w:themeFill="accent1" w:themeFillShade="99"/>
      </w:tcPr>
    </w:tblStylePr>
    <w:tblStylePr w:type="band1Vert">
      <w:tblPr/>
      <w:tcPr>
        <w:shd w:val="clear" w:color="auto" w:fill="B5C7A6" w:themeFill="accent1" w:themeFillTint="66"/>
      </w:tcPr>
    </w:tblStylePr>
    <w:tblStylePr w:type="band1Horz">
      <w:tblPr/>
      <w:tcPr>
        <w:shd w:val="clear" w:color="auto" w:fill="A3BA90"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A6A6A6" w:themeColor="accent2"/>
        <w:left w:val="single" w:sz="4" w:space="0" w:color="A6A6A6" w:themeColor="accent2"/>
        <w:bottom w:val="single" w:sz="4" w:space="0" w:color="A6A6A6" w:themeColor="accent2"/>
        <w:right w:val="single" w:sz="4" w:space="0" w:color="A6A6A6" w:themeColor="accent2"/>
        <w:insideH w:val="single" w:sz="4" w:space="0" w:color="FFFFFF" w:themeColor="background1"/>
        <w:insideV w:val="single" w:sz="4" w:space="0" w:color="FFFFFF" w:themeColor="background1"/>
      </w:tblBorders>
    </w:tblPr>
    <w:tcPr>
      <w:shd w:val="clear" w:color="auto" w:fill="F6F6F6" w:themeFill="accent2" w:themeFillTint="19"/>
    </w:tcPr>
    <w:tblStylePr w:type="firstRow">
      <w:rPr>
        <w:b/>
        <w:bCs/>
      </w:rPr>
      <w:tblPr/>
      <w:tcPr>
        <w:tcBorders>
          <w:top w:val="nil"/>
          <w:left w:val="nil"/>
          <w:bottom w:val="single" w:sz="24" w:space="0" w:color="A6A6A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2" w:themeFillShade="99"/>
      </w:tcPr>
    </w:tblStylePr>
    <w:tblStylePr w:type="firstCol">
      <w:rPr>
        <w:color w:val="FFFFFF" w:themeColor="background1"/>
      </w:rPr>
      <w:tblPr/>
      <w:tcPr>
        <w:tcBorders>
          <w:top w:val="nil"/>
          <w:left w:val="nil"/>
          <w:bottom w:val="nil"/>
          <w:right w:val="nil"/>
          <w:insideH w:val="single" w:sz="4" w:space="0" w:color="636363" w:themeColor="accent2" w:themeShade="99"/>
          <w:insideV w:val="nil"/>
        </w:tcBorders>
        <w:shd w:val="clear" w:color="auto" w:fill="63636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2" w:themeFillShade="99"/>
      </w:tcPr>
    </w:tblStylePr>
    <w:tblStylePr w:type="band1Vert">
      <w:tblPr/>
      <w:tcPr>
        <w:shd w:val="clear" w:color="auto" w:fill="DBDBDB" w:themeFill="accent2" w:themeFillTint="66"/>
      </w:tcPr>
    </w:tblStylePr>
    <w:tblStylePr w:type="band1Horz">
      <w:tblPr/>
      <w:tcPr>
        <w:shd w:val="clear" w:color="auto" w:fill="D2D2D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48484" w:themeFill="accent2" w:themeFillShade="CC"/>
      </w:tcPr>
    </w:tblStylePr>
    <w:tblStylePr w:type="lastRow">
      <w:rPr>
        <w:b/>
        <w:bCs/>
        <w:color w:val="8484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F1E9" w:themeFill="accent1" w:themeFillTint="19"/>
    </w:tcPr>
    <w:tblStylePr w:type="firstRow">
      <w:rPr>
        <w:b/>
        <w:bCs/>
        <w:color w:val="FFFFFF" w:themeColor="background1"/>
      </w:rPr>
      <w:tblPr/>
      <w:tcPr>
        <w:tcBorders>
          <w:bottom w:val="single" w:sz="12" w:space="0" w:color="FFFFFF" w:themeColor="background1"/>
        </w:tcBorders>
        <w:shd w:val="clear" w:color="auto" w:fill="848484" w:themeFill="accent2" w:themeFillShade="CC"/>
      </w:tcPr>
    </w:tblStylePr>
    <w:tblStylePr w:type="lastRow">
      <w:rPr>
        <w:b/>
        <w:bCs/>
        <w:color w:val="8484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C8" w:themeFill="accent1" w:themeFillTint="3F"/>
      </w:tcPr>
    </w:tblStylePr>
    <w:tblStylePr w:type="band1Horz">
      <w:tblPr/>
      <w:tcPr>
        <w:shd w:val="clear" w:color="auto" w:fill="DAE3D2"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6F6F6" w:themeFill="accent2" w:themeFillTint="19"/>
    </w:tcPr>
    <w:tblStylePr w:type="firstRow">
      <w:rPr>
        <w:b/>
        <w:bCs/>
        <w:color w:val="FFFFFF" w:themeColor="background1"/>
      </w:rPr>
      <w:tblPr/>
      <w:tcPr>
        <w:tcBorders>
          <w:bottom w:val="single" w:sz="12" w:space="0" w:color="FFFFFF" w:themeColor="background1"/>
        </w:tcBorders>
        <w:shd w:val="clear" w:color="auto" w:fill="848484" w:themeFill="accent2" w:themeFillShade="CC"/>
      </w:tcPr>
    </w:tblStylePr>
    <w:tblStylePr w:type="lastRow">
      <w:rPr>
        <w:b/>
        <w:bCs/>
        <w:color w:val="8484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E9E9" w:themeFill="accent2" w:themeFillTint="3F"/>
      </w:tcPr>
    </w:tblStylePr>
    <w:tblStylePr w:type="band1Horz">
      <w:tblPr/>
      <w:tcPr>
        <w:shd w:val="clear" w:color="auto" w:fill="EDEDED"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3D2" w:themeFill="accent1" w:themeFillTint="33"/>
    </w:tcPr>
    <w:tblStylePr w:type="firstRow">
      <w:rPr>
        <w:b/>
        <w:bCs/>
      </w:rPr>
      <w:tblPr/>
      <w:tcPr>
        <w:shd w:val="clear" w:color="auto" w:fill="B5C7A6" w:themeFill="accent1" w:themeFillTint="66"/>
      </w:tcPr>
    </w:tblStylePr>
    <w:tblStylePr w:type="lastRow">
      <w:rPr>
        <w:b/>
        <w:bCs/>
        <w:color w:val="000000" w:themeColor="text1"/>
      </w:rPr>
      <w:tblPr/>
      <w:tcPr>
        <w:shd w:val="clear" w:color="auto" w:fill="B5C7A6" w:themeFill="accent1" w:themeFillTint="66"/>
      </w:tcPr>
    </w:tblStylePr>
    <w:tblStylePr w:type="firstCol">
      <w:rPr>
        <w:color w:val="FFFFFF" w:themeColor="background1"/>
      </w:rPr>
      <w:tblPr/>
      <w:tcPr>
        <w:shd w:val="clear" w:color="auto" w:fill="37452B" w:themeFill="accent1" w:themeFillShade="BF"/>
      </w:tcPr>
    </w:tblStylePr>
    <w:tblStylePr w:type="lastCol">
      <w:rPr>
        <w:color w:val="FFFFFF" w:themeColor="background1"/>
      </w:rPr>
      <w:tblPr/>
      <w:tcPr>
        <w:shd w:val="clear" w:color="auto" w:fill="37452B" w:themeFill="accent1" w:themeFillShade="BF"/>
      </w:tcPr>
    </w:tblStylePr>
    <w:tblStylePr w:type="band1Vert">
      <w:tblPr/>
      <w:tcPr>
        <w:shd w:val="clear" w:color="auto" w:fill="A3BA90" w:themeFill="accent1" w:themeFillTint="7F"/>
      </w:tcPr>
    </w:tblStylePr>
    <w:tblStylePr w:type="band1Horz">
      <w:tblPr/>
      <w:tcPr>
        <w:shd w:val="clear" w:color="auto" w:fill="A3BA90"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2" w:themeFillTint="33"/>
    </w:tcPr>
    <w:tblStylePr w:type="firstRow">
      <w:rPr>
        <w:b/>
        <w:bCs/>
      </w:rPr>
      <w:tblPr/>
      <w:tcPr>
        <w:shd w:val="clear" w:color="auto" w:fill="DBDBDB" w:themeFill="accent2" w:themeFillTint="66"/>
      </w:tcPr>
    </w:tblStylePr>
    <w:tblStylePr w:type="lastRow">
      <w:rPr>
        <w:b/>
        <w:bCs/>
        <w:color w:val="000000" w:themeColor="text1"/>
      </w:rPr>
      <w:tblPr/>
      <w:tcPr>
        <w:shd w:val="clear" w:color="auto" w:fill="DBDBDB" w:themeFill="accent2" w:themeFillTint="66"/>
      </w:tcPr>
    </w:tblStylePr>
    <w:tblStylePr w:type="firstCol">
      <w:rPr>
        <w:color w:val="FFFFFF" w:themeColor="background1"/>
      </w:rPr>
      <w:tblPr/>
      <w:tcPr>
        <w:shd w:val="clear" w:color="auto" w:fill="7C7C7C" w:themeFill="accent2" w:themeFillShade="BF"/>
      </w:tcPr>
    </w:tblStylePr>
    <w:tblStylePr w:type="lastCol">
      <w:rPr>
        <w:color w:val="FFFFFF" w:themeColor="background1"/>
      </w:rPr>
      <w:tblPr/>
      <w:tcPr>
        <w:shd w:val="clear" w:color="auto" w:fill="7C7C7C" w:themeFill="accent2" w:themeFillShade="BF"/>
      </w:tcPr>
    </w:tblStylePr>
    <w:tblStylePr w:type="band1Vert">
      <w:tblPr/>
      <w:tcPr>
        <w:shd w:val="clear" w:color="auto" w:fill="D2D2D2" w:themeFill="accent2" w:themeFillTint="7F"/>
      </w:tcPr>
    </w:tblStylePr>
    <w:tblStylePr w:type="band1Horz">
      <w:tblPr/>
      <w:tcPr>
        <w:shd w:val="clear" w:color="auto" w:fill="D2D2D2"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Piedmont Ridge">
  <a:themeElements>
    <a:clrScheme name="Piedmont Ridge">
      <a:dk1>
        <a:sysClr val="windowText" lastClr="000000"/>
      </a:dk1>
      <a:lt1>
        <a:sysClr val="window" lastClr="FFFFFF"/>
      </a:lt1>
      <a:dk2>
        <a:srgbClr val="333333"/>
      </a:dk2>
      <a:lt2>
        <a:srgbClr val="EFE6DC"/>
      </a:lt2>
      <a:accent1>
        <a:srgbClr val="4A5D3A"/>
      </a:accent1>
      <a:accent2>
        <a:srgbClr val="A6A6A6"/>
      </a:accent2>
      <a:accent3>
        <a:srgbClr val="9BBB59"/>
      </a:accent3>
      <a:accent4>
        <a:srgbClr val="8064A2"/>
      </a:accent4>
      <a:accent5>
        <a:srgbClr val="4BACC6"/>
      </a:accent5>
      <a:accent6>
        <a:srgbClr val="F79646"/>
      </a:accent6>
      <a:hlink>
        <a:srgbClr val="4A5D3A"/>
      </a:hlink>
      <a:folHlink>
        <a:srgbClr val="800080"/>
      </a:folHlink>
    </a:clrScheme>
    <a:fontScheme name="Piedmont Ridg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2296</Words>
  <Characters>11597</Characters>
  <Application>Microsoft Office Word</Application>
  <DocSecurity>0</DocSecurity>
  <Lines>203</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Larkspur Crossing Building B, close-out file for counsel</dc:title>
  <dc:subject/>
  <dc:creator>Piedmont Ridge Properties, LLC</dc:creator>
  <cp:keywords/>
  <dc:description/>
  <cp:lastModifiedBy>Nadia Ferris</cp:lastModifiedBy>
  <cp:revision>2</cp:revision>
  <dcterms:created xsi:type="dcterms:W3CDTF">2026-10-02T13:20:08Z</dcterms:created>
  <dcterms:modified xsi:type="dcterms:W3CDTF">2026-10-13T16:22:10Z</dcterms:modified>
  <cp:category/>
</cp:coreProperties>
</file>