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b/>
          <w:bCs/>
          <w:color w:val="1A365D"/>
          <w:sz w:val="52"/>
          <w:szCs w:val="52"/>
        </w:rPr>
        <w:t xml:space="preserve">GOBELO GRAMMAR TOOLKIT</w:t>
      </w:r>
    </w:p>
    <w:p>
      <w:pPr>
        <w:spacing w:after="200"/>
        <w:jc w:val="center"/>
      </w:pPr>
      <w:r>
        <w:rPr>
          <w:rFonts w:ascii="Times New Roman" w:cs="Times New Roman" w:eastAsia="Times New Roman" w:hAnsi="Times New Roman"/>
          <w:b/>
          <w:bCs/>
          <w:color w:val="3182CE"/>
          <w:sz w:val="40"/>
          <w:szCs w:val="40"/>
        </w:rPr>
        <w:t xml:space="preserve">(GGT)</w:t>
      </w:r>
    </w:p>
    <w:p>
      <w:pPr>
        <w:spacing w:after="600"/>
      </w:pPr>
    </w:p>
    <w:p>
      <w:pPr>
        <w:spacing w:after="200"/>
        <w:jc w:val="center"/>
      </w:pPr>
      <w:r>
        <w:rPr>
          <w:rFonts w:ascii="Times New Roman" w:cs="Times New Roman" w:eastAsia="Times New Roman" w:hAnsi="Times New Roman"/>
          <w:b/>
          <w:bCs/>
          <w:color w:val="2D3748"/>
          <w:sz w:val="44"/>
          <w:szCs w:val="44"/>
        </w:rPr>
        <w:t xml:space="preserve">Training Manual for Teachers</w:t>
      </w:r>
    </w:p>
    <w:p>
      <w:pPr>
        <w:spacing w:after="400"/>
      </w:pPr>
    </w:p>
    <w:p>
      <w:pPr>
        <w:spacing w:after="100"/>
        <w:jc w:val="center"/>
      </w:pPr>
      <w:r>
        <w:rPr>
          <w:rFonts w:ascii="Times New Roman" w:cs="Times New Roman" w:eastAsia="Times New Roman" w:hAnsi="Times New Roman"/>
          <w:i/>
          <w:iCs/>
          <w:color w:val="2D3748"/>
          <w:sz w:val="28"/>
          <w:szCs w:val="28"/>
        </w:rPr>
        <w:t xml:space="preserve">A Practical Guide to Teaching Bantu Languages</w:t>
      </w:r>
    </w:p>
    <w:p>
      <w:pPr>
        <w:spacing w:after="100"/>
        <w:jc w:val="center"/>
      </w:pPr>
      <w:r>
        <w:rPr>
          <w:rFonts w:ascii="Times New Roman" w:cs="Times New Roman" w:eastAsia="Times New Roman" w:hAnsi="Times New Roman"/>
          <w:i/>
          <w:iCs/>
          <w:color w:val="2D3748"/>
          <w:sz w:val="28"/>
          <w:szCs w:val="28"/>
        </w:rPr>
        <w:t xml:space="preserve">Using Computational Linguistics Tools</w:t>
      </w:r>
    </w:p>
    <w:p>
      <w:pPr>
        <w:spacing w:after="2000"/>
      </w:pPr>
    </w:p>
    <w:p>
      <w:pPr>
        <w:spacing w:after="100"/>
        <w:jc w:val="center"/>
      </w:pPr>
      <w:r>
        <w:rPr>
          <w:rFonts w:ascii="Times New Roman" w:cs="Times New Roman" w:eastAsia="Times New Roman" w:hAnsi="Times New Roman"/>
          <w:color w:val="2D3748"/>
          <w:sz w:val="24"/>
          <w:szCs w:val="24"/>
        </w:rPr>
        <w:t xml:space="preserve">Seven Bantu Languages of Zambia</w:t>
      </w:r>
    </w:p>
    <w:p>
      <w:pPr>
        <w:spacing w:after="100"/>
        <w:jc w:val="center"/>
      </w:pPr>
      <w:r>
        <w:rPr>
          <w:rFonts w:ascii="Times New Roman" w:cs="Times New Roman" w:eastAsia="Times New Roman" w:hAnsi="Times New Roman"/>
          <w:i/>
          <w:iCs/>
          <w:color w:val="3182CE"/>
          <w:sz w:val="22"/>
          <w:szCs w:val="22"/>
        </w:rPr>
        <w:t xml:space="preserve">chiTonga  •  chiBemba  •  chiNyanja  •  Kaonde  •  Lunda  •  Luvale  •  Silozi</w:t>
      </w:r>
    </w:p>
    <w:p>
      <w:pPr>
        <w:spacing w:after="1000"/>
      </w:pPr>
    </w:p>
    <w:p>
      <w:pPr>
        <w:jc w:val="center"/>
      </w:pPr>
      <w:r>
        <w:rPr>
          <w:rFonts w:ascii="Times New Roman" w:cs="Times New Roman" w:eastAsia="Times New Roman" w:hAnsi="Times New Roman"/>
          <w:color w:val="2D3748"/>
          <w:sz w:val="22"/>
          <w:szCs w:val="22"/>
        </w:rPr>
        <w:t xml:space="preserve">Version 1.0</w:t>
      </w:r>
    </w:p>
    <w:p>
      <w:r>
        <w:br w:type="page"/>
      </w:r>
    </w:p>
    <w:p>
      <w:pPr>
        <w:pStyle w:val="Heading1"/>
        <w:spacing w:after="200" w:before="400"/>
      </w:pPr>
      <w:r>
        <w:rPr>
          <w:rFonts w:ascii="Times New Roman" w:cs="Times New Roman" w:eastAsia="Times New Roman" w:hAnsi="Times New Roman"/>
          <w:b/>
          <w:bCs/>
          <w:color w:val="1A365D"/>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Chapter 1: Introduction to the Gobelo Grammar Toolkit</w:t>
          </w:r>
          <w:r>
            <w:tab/>
          </w:r>
          <w:r>
            <w:t>3</w:t>
          </w:r>
        </w:p>
        <w:p>
          <w:pPr>
            <w:pStyle w:val="11"/>
            <w:ind w:left="360"/>
            <w:tabs>
              <w:tab w:val="right" w:leader="dot" w:pos="9026"/>
            </w:tabs>
          </w:pPr>
          <w:r>
            <w:t>1.1 What is the Gobelo Grammar Toolkit?</w:t>
          </w:r>
          <w:r>
            <w:tab/>
          </w:r>
          <w:r>
            <w:t>3</w:t>
          </w:r>
        </w:p>
        <w:p>
          <w:pPr>
            <w:pStyle w:val="11"/>
            <w:ind w:left="360"/>
            <w:tabs>
              <w:tab w:val="right" w:leader="dot" w:pos="9026"/>
            </w:tabs>
          </w:pPr>
          <w:r>
            <w:t>1.2 Purpose of This Training Manual</w:t>
          </w:r>
          <w:r>
            <w:tab/>
          </w:r>
          <w:r>
            <w:t>4</w:t>
          </w:r>
        </w:p>
        <w:p>
          <w:pPr>
            <w:pStyle w:val="11"/>
            <w:ind w:left="360"/>
            <w:tabs>
              <w:tab w:val="right" w:leader="dot" w:pos="9026"/>
            </w:tabs>
          </w:pPr>
          <w:r>
            <w:t>1.3 The Seven Bantu Languages of Zambia</w:t>
          </w:r>
          <w:r>
            <w:tab/>
          </w:r>
          <w:r>
            <w:t>5</w:t>
          </w:r>
        </w:p>
        <w:p>
          <w:pPr>
            <w:pStyle w:val="11"/>
            <w:ind w:left="360"/>
            <w:tabs>
              <w:tab w:val="right" w:leader="dot" w:pos="9026"/>
            </w:tabs>
          </w:pPr>
          <w:r>
            <w:t>1.4 Key Terminology for Teachers</w:t>
          </w:r>
          <w:r>
            <w:tab/>
          </w:r>
          <w:r>
            <w:t>6</w:t>
          </w:r>
        </w:p>
        <w:p>
          <w:pPr>
            <w:pStyle w:val="9"/>
            <w:tabs>
              <w:tab w:val="right" w:leader="dot" w:pos="9026"/>
            </w:tabs>
          </w:pPr>
          <w:r>
            <w:t>Chapter 2: Understanding Bantu Grammar Concepts</w:t>
          </w:r>
          <w:r>
            <w:tab/>
          </w:r>
          <w:r>
            <w:t>7</w:t>
          </w:r>
        </w:p>
        <w:p>
          <w:pPr>
            <w:pStyle w:val="11"/>
            <w:ind w:left="360"/>
            <w:tabs>
              <w:tab w:val="right" w:leader="dot" w:pos="9026"/>
            </w:tabs>
          </w:pPr>
          <w:r>
            <w:t>2.1 The Noun Class System</w:t>
          </w:r>
          <w:r>
            <w:tab/>
          </w:r>
          <w:r>
            <w:t>7</w:t>
          </w:r>
        </w:p>
        <w:p>
          <w:pPr>
            <w:pStyle w:val="11"/>
            <w:ind w:left="360"/>
            <w:tabs>
              <w:tab w:val="right" w:leader="dot" w:pos="9026"/>
            </w:tabs>
          </w:pPr>
          <w:r>
            <w:t>2.2 Concord Agreement Patterns</w:t>
          </w:r>
          <w:r>
            <w:tab/>
          </w:r>
          <w:r>
            <w:t>9</w:t>
          </w:r>
        </w:p>
        <w:p>
          <w:pPr>
            <w:pStyle w:val="11"/>
            <w:ind w:left="360"/>
            <w:tabs>
              <w:tab w:val="right" w:leader="dot" w:pos="9026"/>
            </w:tabs>
          </w:pPr>
          <w:r>
            <w:t>2.3 Verb Structure and TAM System</w:t>
          </w:r>
          <w:r>
            <w:tab/>
          </w:r>
          <w:r>
            <w:t>10</w:t>
          </w:r>
        </w:p>
        <w:p>
          <w:pPr>
            <w:pStyle w:val="11"/>
            <w:ind w:left="360"/>
            <w:tabs>
              <w:tab w:val="right" w:leader="dot" w:pos="9026"/>
            </w:tabs>
          </w:pPr>
          <w:r>
            <w:t>2.4 Verb Extensions</w:t>
          </w:r>
          <w:r>
            <w:tab/>
          </w:r>
          <w:r>
            <w:t>11</w:t>
          </w:r>
        </w:p>
        <w:p>
          <w:pPr>
            <w:pStyle w:val="9"/>
            <w:tabs>
              <w:tab w:val="right" w:leader="dot" w:pos="9026"/>
            </w:tabs>
          </w:pPr>
          <w:r>
            <w:t>Chapter 3: Getting Started with GGT</w:t>
          </w:r>
          <w:r>
            <w:tab/>
          </w:r>
          <w:r>
            <w:t>13</w:t>
          </w:r>
        </w:p>
        <w:p>
          <w:pPr>
            <w:pStyle w:val="11"/>
            <w:ind w:left="360"/>
            <w:tabs>
              <w:tab w:val="right" w:leader="dot" w:pos="9026"/>
            </w:tabs>
          </w:pPr>
          <w:r>
            <w:t>3.1 Installation and Setup</w:t>
          </w:r>
          <w:r>
            <w:tab/>
          </w:r>
          <w:r>
            <w:t>13</w:t>
          </w:r>
        </w:p>
        <w:p>
          <w:pPr>
            <w:pStyle w:val="11"/>
            <w:ind w:left="360"/>
            <w:tabs>
              <w:tab w:val="right" w:leader="dot" w:pos="9026"/>
            </w:tabs>
          </w:pPr>
          <w:r>
            <w:t>3.2 Basic Configuration</w:t>
          </w:r>
          <w:r>
            <w:tab/>
          </w:r>
          <w:r>
            <w:t>14</w:t>
          </w:r>
        </w:p>
        <w:p>
          <w:pPr>
            <w:pStyle w:val="11"/>
            <w:ind w:left="360"/>
            <w:tabs>
              <w:tab w:val="right" w:leader="dot" w:pos="9026"/>
            </w:tabs>
          </w:pPr>
          <w:r>
            <w:t>3.3 Exploring Grammar Data</w:t>
          </w:r>
          <w:r>
            <w:tab/>
          </w:r>
          <w:r>
            <w:t>15</w:t>
          </w:r>
        </w:p>
        <w:p>
          <w:pPr>
            <w:pStyle w:val="9"/>
            <w:tabs>
              <w:tab w:val="right" w:leader="dot" w:pos="9026"/>
            </w:tabs>
          </w:pPr>
          <w:r>
            <w:t>Chapter 4: Generating Teaching Materials</w:t>
          </w:r>
          <w:r>
            <w:tab/>
          </w:r>
          <w:r>
            <w:t>16</w:t>
          </w:r>
        </w:p>
        <w:p>
          <w:pPr>
            <w:pStyle w:val="11"/>
            <w:ind w:left="360"/>
            <w:tabs>
              <w:tab w:val="right" w:leader="dot" w:pos="9026"/>
            </w:tabs>
          </w:pPr>
          <w:r>
            <w:t>4.1 Creating Verb Paradigm Tables</w:t>
          </w:r>
          <w:r>
            <w:tab/>
          </w:r>
          <w:r>
            <w:t>16</w:t>
          </w:r>
        </w:p>
        <w:p>
          <w:pPr>
            <w:pStyle w:val="11"/>
            <w:ind w:left="360"/>
            <w:tabs>
              <w:tab w:val="right" w:leader="dot" w:pos="9026"/>
            </w:tabs>
          </w:pPr>
          <w:r>
            <w:t>4.2 Morphological Analysis for Student Exercises</w:t>
          </w:r>
          <w:r>
            <w:tab/>
          </w:r>
          <w:r>
            <w:t>17</w:t>
          </w:r>
        </w:p>
        <w:p>
          <w:pPr>
            <w:pStyle w:val="11"/>
            <w:ind w:left="360"/>
            <w:tabs>
              <w:tab w:val="right" w:leader="dot" w:pos="9026"/>
            </w:tabs>
          </w:pPr>
          <w:r>
            <w:t>4.3 Generating Interlinear Glossed Text</w:t>
          </w:r>
          <w:r>
            <w:tab/>
          </w:r>
          <w:r>
            <w:t>18</w:t>
          </w:r>
        </w:p>
        <w:p>
          <w:pPr>
            <w:pStyle w:val="9"/>
            <w:tabs>
              <w:tab w:val="right" w:leader="dot" w:pos="9026"/>
            </w:tabs>
          </w:pPr>
          <w:r>
            <w:t>Chapter 5: Classroom Activities and Exercises</w:t>
          </w:r>
          <w:r>
            <w:tab/>
          </w:r>
          <w:r>
            <w:t>19</w:t>
          </w:r>
        </w:p>
        <w:p>
          <w:pPr>
            <w:pStyle w:val="11"/>
            <w:ind w:left="360"/>
            <w:tabs>
              <w:tab w:val="right" w:leader="dot" w:pos="9026"/>
            </w:tabs>
          </w:pPr>
          <w:r>
            <w:t>5.1 Noun Class Identification Activities</w:t>
          </w:r>
          <w:r>
            <w:tab/>
          </w:r>
          <w:r>
            <w:t>19</w:t>
          </w:r>
        </w:p>
        <w:p>
          <w:pPr>
            <w:pStyle w:val="11"/>
            <w:ind w:left="360"/>
            <w:tabs>
              <w:tab w:val="right" w:leader="dot" w:pos="9026"/>
            </w:tabs>
          </w:pPr>
          <w:r>
            <w:t>5.2 Verb Conjugation Practice</w:t>
          </w:r>
          <w:r>
            <w:tab/>
          </w:r>
          <w:r>
            <w:t>20</w:t>
          </w:r>
        </w:p>
        <w:p>
          <w:pPr>
            <w:pStyle w:val="11"/>
            <w:ind w:left="360"/>
            <w:tabs>
              <w:tab w:val="right" w:leader="dot" w:pos="9026"/>
            </w:tabs>
          </w:pPr>
          <w:r>
            <w:t>5.3 Morpheme Analysis Activities</w:t>
          </w:r>
          <w:r>
            <w:tab/>
          </w:r>
          <w:r>
            <w:t>21</w:t>
          </w:r>
        </w:p>
        <w:p>
          <w:pPr>
            <w:pStyle w:val="9"/>
            <w:tabs>
              <w:tab w:val="right" w:leader="dot" w:pos="9026"/>
            </w:tabs>
          </w:pPr>
          <w:r>
            <w:t>Chapter 6: Assessment Strategies</w:t>
          </w:r>
          <w:r>
            <w:tab/>
          </w:r>
          <w:r>
            <w:t>23</w:t>
          </w:r>
        </w:p>
        <w:p>
          <w:pPr>
            <w:pStyle w:val="11"/>
            <w:ind w:left="360"/>
            <w:tabs>
              <w:tab w:val="right" w:leader="dot" w:pos="9026"/>
            </w:tabs>
          </w:pPr>
          <w:r>
            <w:t>6.1 Designing Grammar Assessments with GGT</w:t>
          </w:r>
          <w:r>
            <w:tab/>
          </w:r>
          <w:r>
            <w:t>23</w:t>
          </w:r>
        </w:p>
        <w:p>
          <w:pPr>
            <w:pStyle w:val="11"/>
            <w:ind w:left="360"/>
            <w:tabs>
              <w:tab w:val="right" w:leader="dot" w:pos="9026"/>
            </w:tabs>
          </w:pPr>
          <w:r>
            <w:t>6.2 Formative Assessment Techniques</w:t>
          </w:r>
          <w:r>
            <w:tab/>
          </w:r>
          <w:r>
            <w:t>24</w:t>
          </w:r>
        </w:p>
        <w:p>
          <w:pPr>
            <w:pStyle w:val="11"/>
            <w:ind w:left="360"/>
            <w:tabs>
              <w:tab w:val="right" w:leader="dot" w:pos="9026"/>
            </w:tabs>
          </w:pPr>
          <w:r>
            <w:t>6.3 Summative Assessment Design</w:t>
          </w:r>
          <w:r>
            <w:tab/>
          </w:r>
          <w:r>
            <w:t>24</w:t>
          </w:r>
        </w:p>
        <w:p>
          <w:pPr>
            <w:pStyle w:val="9"/>
            <w:tabs>
              <w:tab w:val="right" w:leader="dot" w:pos="9026"/>
            </w:tabs>
          </w:pPr>
          <w:r>
            <w:t>Chapter 7: Advanced Features for Research and Curriculum Development</w:t>
          </w:r>
          <w:r>
            <w:tab/>
          </w:r>
          <w:r>
            <w:t>26</w:t>
          </w:r>
        </w:p>
        <w:p>
          <w:pPr>
            <w:pStyle w:val="11"/>
            <w:ind w:left="360"/>
            <w:tabs>
              <w:tab w:val="right" w:leader="dot" w:pos="9026"/>
            </w:tabs>
          </w:pPr>
          <w:r>
            <w:t>7.1 Cross-Language Comparison</w:t>
          </w:r>
          <w:r>
            <w:tab/>
          </w:r>
          <w:r>
            <w:t>26</w:t>
          </w:r>
        </w:p>
        <w:p>
          <w:pPr>
            <w:pStyle w:val="11"/>
            <w:ind w:left="360"/>
            <w:tabs>
              <w:tab w:val="right" w:leader="dot" w:pos="9026"/>
            </w:tabs>
          </w:pPr>
          <w:r>
            <w:t>7.2 Corpus Annotation for Advanced Classes</w:t>
          </w:r>
          <w:r>
            <w:tab/>
          </w:r>
          <w:r>
            <w:t>27</w:t>
          </w:r>
        </w:p>
        <w:p>
          <w:pPr>
            <w:pStyle w:val="11"/>
            <w:ind w:left="360"/>
            <w:tabs>
              <w:tab w:val="right" w:leader="dot" w:pos="9026"/>
            </w:tabs>
          </w:pPr>
          <w:r>
            <w:t>7.3 Universal Dependencies Integration</w:t>
          </w:r>
          <w:r>
            <w:tab/>
          </w:r>
          <w:r>
            <w:t>27</w:t>
          </w:r>
        </w:p>
        <w:p>
          <w:pPr>
            <w:pStyle w:val="9"/>
            <w:tabs>
              <w:tab w:val="right" w:leader="dot" w:pos="9026"/>
            </w:tabs>
          </w:pPr>
          <w:r>
            <w:t>Chapter 8: Troubleshooting and Support</w:t>
          </w:r>
          <w:r>
            <w:tab/>
          </w:r>
          <w:r>
            <w:t>29</w:t>
          </w:r>
        </w:p>
        <w:p>
          <w:pPr>
            <w:pStyle w:val="11"/>
            <w:ind w:left="360"/>
            <w:tabs>
              <w:tab w:val="right" w:leader="dot" w:pos="9026"/>
            </w:tabs>
          </w:pPr>
          <w:r>
            <w:t>8.1 Common Issues and Solutions</w:t>
          </w:r>
          <w:r>
            <w:tab/>
          </w:r>
          <w:r>
            <w:t>29</w:t>
          </w:r>
        </w:p>
        <w:p>
          <w:pPr>
            <w:pStyle w:val="11"/>
            <w:ind w:left="360"/>
            <w:tabs>
              <w:tab w:val="right" w:leader="dot" w:pos="9026"/>
            </w:tabs>
          </w:pPr>
          <w:r>
            <w:t>8.2 Getting Help and Contributing</w:t>
          </w:r>
          <w:r>
            <w:tab/>
          </w:r>
          <w:r>
            <w:t>30</w:t>
          </w:r>
        </w:p>
        <w:p>
          <w:pPr>
            <w:pStyle w:val="9"/>
            <w:tabs>
              <w:tab w:val="right" w:leader="dot" w:pos="9026"/>
            </w:tabs>
          </w:pPr>
          <w:r>
            <w:t>Appendix A: Quick Reference Guide</w:t>
          </w:r>
          <w:r>
            <w:tab/>
          </w:r>
          <w:r>
            <w:t>31</w:t>
          </w:r>
        </w:p>
        <w:p>
          <w:r>
            <w:fldChar w:fldCharType="end"/>
          </w:r>
        </w:p>
      </w:sdtContent>
    </w:sdt>
    <w:p>
      <w:pPr>
        <w:spacing w:after="400" w:before="200"/>
        <w:jc w:val="center"/>
      </w:pPr>
      <w:r>
        <w:rPr>
          <w:i/>
          <w:iCs/>
          <w:color w:val="666666"/>
          <w:sz w:val="18"/>
          <w:szCs w:val="18"/>
        </w:rPr>
        <w:t xml:space="preserve">Note: To update page numbers, right-click the Table of Contents and select "Update Field."</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1: Introduction to the Gobelo Grammar Toolkit</w:t>
      </w:r>
    </w:p>
    <w:p>
      <w:pPr>
        <w:pStyle w:val="Heading2"/>
        <w:spacing w:after="150" w:before="300"/>
      </w:pPr>
      <w:r>
        <w:rPr>
          <w:rFonts w:ascii="Times New Roman" w:cs="Times New Roman" w:eastAsia="Times New Roman" w:hAnsi="Times New Roman"/>
          <w:b/>
          <w:bCs/>
          <w:color w:val="2D3748"/>
          <w:sz w:val="28"/>
          <w:szCs w:val="28"/>
        </w:rPr>
        <w:t xml:space="preserve">1.1 What is the Gobelo Grammar Toolkit?</w:t>
      </w:r>
    </w:p>
    <w:p>
      <w:pPr>
        <w:spacing w:after="200" w:line="312"/>
        <w:jc w:val="both"/>
      </w:pPr>
      <w:r>
        <w:rPr>
          <w:rFonts w:ascii="Times New Roman" w:cs="Times New Roman" w:eastAsia="Times New Roman" w:hAnsi="Times New Roman"/>
          <w:sz w:val="24"/>
          <w:szCs w:val="24"/>
        </w:rPr>
        <w:t xml:space="preserve">The Gobelo Grammar Toolkit (GGT) is an innovative software tool designed to support language teachers, linguists, and researchers working with Bantu languages. Developed specifically for the seven major Bantu languages of Zambia, GGT provides structured access to grammatical information including noun classes, verb conjugations, concord systems, and morphological patterns. The toolkit serves as a bridge between computational linguistics research and practical classroom application, enabling teachers to generate accurate paradigm tables, create morphological analyses, and develop teaching materials with unprecedented efficiency and precision.</w:t>
      </w:r>
    </w:p>
    <w:p>
      <w:pPr>
        <w:spacing w:after="200" w:line="312"/>
        <w:jc w:val="both"/>
      </w:pPr>
      <w:r>
        <w:rPr>
          <w:rFonts w:ascii="Times New Roman" w:cs="Times New Roman" w:eastAsia="Times New Roman" w:hAnsi="Times New Roman"/>
          <w:sz w:val="24"/>
          <w:szCs w:val="24"/>
        </w:rPr>
        <w:t xml:space="preserve">For language teachers, GGT represents a significant advancement in pedagogical resources. Traditional grammar references often present information in static, isolated formats that may not address the specific needs of diverse learners. GGT, however, allows teachers to generate customized materials dynamically, adapting to different proficiency levels, focusing on particular grammatical features, and providing multiple representations of the same linguistic data. This flexibility makes it an invaluable companion for both curriculum development and individualized instruction.</w:t>
      </w:r>
    </w:p>
    <w:p>
      <w:pPr>
        <w:pStyle w:val="Heading2"/>
        <w:spacing w:after="150" w:before="300"/>
      </w:pPr>
      <w:r>
        <w:rPr>
          <w:rFonts w:ascii="Times New Roman" w:cs="Times New Roman" w:eastAsia="Times New Roman" w:hAnsi="Times New Roman"/>
          <w:b/>
          <w:bCs/>
          <w:color w:val="2D3748"/>
          <w:sz w:val="28"/>
          <w:szCs w:val="28"/>
        </w:rPr>
        <w:t xml:space="preserve">1.2 Purpose of This Training Manual</w:t>
      </w:r>
    </w:p>
    <w:p>
      <w:pPr>
        <w:spacing w:after="200" w:line="312"/>
        <w:jc w:val="both"/>
      </w:pPr>
      <w:r>
        <w:rPr>
          <w:rFonts w:ascii="Times New Roman" w:cs="Times New Roman" w:eastAsia="Times New Roman" w:hAnsi="Times New Roman"/>
          <w:sz w:val="24"/>
          <w:szCs w:val="24"/>
        </w:rPr>
        <w:t xml:space="preserve">This training manual is designed to help language educators understand and effectively utilize the Gobelo Grammar Toolkit in their teaching practice. Whether you are teaching chiTonga, chiBemba, chiNyanja, Kaonde, Lunda, Luvale, or Silozi, this guide will provide you with practical strategies for integrating computational grammar tools into your curriculum. The manual assumes no prior knowledge of computational linguistics or programming, presenting all concepts in accessible, pedagogically-oriented language that connects technical capabilities to classroom applications.</w:t>
      </w:r>
    </w:p>
    <w:p>
      <w:pPr>
        <w:spacing w:after="200" w:line="312"/>
        <w:jc w:val="both"/>
      </w:pPr>
      <w:r>
        <w:rPr>
          <w:rFonts w:ascii="Times New Roman" w:cs="Times New Roman" w:eastAsia="Times New Roman" w:hAnsi="Times New Roman"/>
          <w:b/>
          <w:bCs/>
          <w:sz w:val="24"/>
          <w:szCs w:val="24"/>
        </w:rPr>
        <w:t xml:space="preserve">By completing this training, teachers will be able to:</w:t>
      </w:r>
    </w:p>
    <w:p>
      <w:pPr>
        <w:pStyle w:val="ListParagraph"/>
        <w:numPr>
          <w:ilvl w:val="0"/>
          <w:numId w:val="2"/>
        </w:numPr>
        <w:spacing w:after="100" w:line="312"/>
      </w:pPr>
      <w:r>
        <w:rPr>
          <w:rFonts w:ascii="Times New Roman" w:cs="Times New Roman" w:eastAsia="Times New Roman" w:hAnsi="Times New Roman"/>
          <w:sz w:val="24"/>
          <w:szCs w:val="24"/>
        </w:rPr>
        <w:t xml:space="preserve">Navigate the core components of GGT and understand its grammatical data structure</w:t>
      </w:r>
    </w:p>
    <w:p>
      <w:pPr>
        <w:pStyle w:val="ListParagraph"/>
        <w:numPr>
          <w:ilvl w:val="0"/>
          <w:numId w:val="2"/>
        </w:numPr>
        <w:spacing w:after="100" w:line="312"/>
      </w:pPr>
      <w:r>
        <w:rPr>
          <w:rFonts w:ascii="Times New Roman" w:cs="Times New Roman" w:eastAsia="Times New Roman" w:hAnsi="Times New Roman"/>
          <w:sz w:val="24"/>
          <w:szCs w:val="24"/>
        </w:rPr>
        <w:t xml:space="preserve">Generate accurate verb paradigm tables for classroom use and assessment</w:t>
      </w:r>
    </w:p>
    <w:p>
      <w:pPr>
        <w:pStyle w:val="ListParagraph"/>
        <w:numPr>
          <w:ilvl w:val="0"/>
          <w:numId w:val="2"/>
        </w:numPr>
        <w:spacing w:after="100" w:line="312"/>
      </w:pPr>
      <w:r>
        <w:rPr>
          <w:rFonts w:ascii="Times New Roman" w:cs="Times New Roman" w:eastAsia="Times New Roman" w:hAnsi="Times New Roman"/>
          <w:sz w:val="24"/>
          <w:szCs w:val="24"/>
        </w:rPr>
        <w:t xml:space="preserve">Create morphological analyses that support student understanding of word formation</w:t>
      </w:r>
    </w:p>
    <w:p>
      <w:pPr>
        <w:pStyle w:val="ListParagraph"/>
        <w:numPr>
          <w:ilvl w:val="0"/>
          <w:numId w:val="2"/>
        </w:numPr>
        <w:spacing w:after="100" w:line="312"/>
      </w:pPr>
      <w:r>
        <w:rPr>
          <w:rFonts w:ascii="Times New Roman" w:cs="Times New Roman" w:eastAsia="Times New Roman" w:hAnsi="Times New Roman"/>
          <w:sz w:val="24"/>
          <w:szCs w:val="24"/>
        </w:rPr>
        <w:t xml:space="preserve">Apply GGT tools to develop engaging classroom activities and exercises</w:t>
      </w:r>
    </w:p>
    <w:p>
      <w:pPr>
        <w:pStyle w:val="ListParagraph"/>
        <w:numPr>
          <w:ilvl w:val="0"/>
          <w:numId w:val="2"/>
        </w:numPr>
        <w:spacing w:after="100" w:line="312"/>
      </w:pPr>
      <w:r>
        <w:rPr>
          <w:rFonts w:ascii="Times New Roman" w:cs="Times New Roman" w:eastAsia="Times New Roman" w:hAnsi="Times New Roman"/>
          <w:sz w:val="24"/>
          <w:szCs w:val="24"/>
        </w:rPr>
        <w:t xml:space="preserve">Integrate computational linguistic insights into traditional teaching methodologies</w:t>
      </w:r>
    </w:p>
    <w:p>
      <w:pPr>
        <w:pStyle w:val="Heading2"/>
        <w:spacing w:after="150" w:before="300"/>
      </w:pPr>
      <w:r>
        <w:rPr>
          <w:rFonts w:ascii="Times New Roman" w:cs="Times New Roman" w:eastAsia="Times New Roman" w:hAnsi="Times New Roman"/>
          <w:b/>
          <w:bCs/>
          <w:color w:val="2D3748"/>
          <w:sz w:val="28"/>
          <w:szCs w:val="28"/>
        </w:rPr>
        <w:t xml:space="preserve">1.3 The Seven Bantu Languages of Zambia</w:t>
      </w:r>
    </w:p>
    <w:p>
      <w:pPr>
        <w:spacing w:after="200" w:line="312"/>
        <w:jc w:val="both"/>
      </w:pPr>
      <w:r>
        <w:rPr>
          <w:rFonts w:ascii="Times New Roman" w:cs="Times New Roman" w:eastAsia="Times New Roman" w:hAnsi="Times New Roman"/>
          <w:sz w:val="24"/>
          <w:szCs w:val="24"/>
        </w:rPr>
        <w:t xml:space="preserve">Zambia is home to numerous Bantu languages, each with its unique grammatical features while sharing common structural characteristics typical of the Bantu language family. The Gobelo Grammar Toolkit currently supports seven of these languages, providing comprehensive grammatical data for chiTonga and foundational resources for the remaining six. Understanding the relationships between these languages and their shared grammatical patterns is essential for effective teaching and cross-linguistic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1200"/>
        <w:gridCol w:w="1200"/>
        <w:gridCol w:w="1800"/>
        <w:gridCol w:w="1400"/>
        <w:gridCol w:w="1200"/>
      </w:tblGrid>
      <w:tr>
        <w:trPr>
          <w:tblHeader/>
        </w:trPr>
        <w:tc>
          <w:tcPr>
            <w:tcW w:type="dxa" w:w="18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Language</w:t>
            </w:r>
          </w:p>
        </w:tc>
        <w:tc>
          <w:tcPr>
            <w:tcW w:type="dxa" w:w="1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ISO Code</w:t>
            </w:r>
          </w:p>
        </w:tc>
        <w:tc>
          <w:tcPr>
            <w:tcW w:type="dxa" w:w="1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Guthrie</w:t>
            </w:r>
          </w:p>
        </w:tc>
        <w:tc>
          <w:tcPr>
            <w:tcW w:type="dxa" w:w="18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Status</w:t>
            </w:r>
          </w:p>
        </w:tc>
        <w:tc>
          <w:tcPr>
            <w:tcW w:type="dxa" w:w="14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Verb Slots</w:t>
            </w:r>
          </w:p>
        </w:tc>
        <w:tc>
          <w:tcPr>
            <w:tcW w:type="dxa" w:w="1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Noun Classes</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chiTonga</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toi</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M.64</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Full grammar</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11</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21</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chiBemba</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bem</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M.42</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Stub (pending)</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chiNyanja</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nya</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N.41</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Stub (pending)</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Kaonde</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kqn</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L.41</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Stub (pending)</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Lunda</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lun</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L.52</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Stub (pending)</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Luvale</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lue</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K.14</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Stub (pending)</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Silozi</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loz</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K.21</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Stub (pending)</w:t>
            </w:r>
          </w:p>
        </w:tc>
        <w:tc>
          <w:tcPr>
            <w:tcW w:type="dxa" w:w="1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2</w:t>
            </w:r>
          </w:p>
        </w:tc>
      </w:tr>
    </w:tbl>
    <w:p>
      <w:pPr>
        <w:spacing w:after="200" w:before="100"/>
        <w:jc w:val="center"/>
      </w:pPr>
      <w:r>
        <w:rPr>
          <w:i/>
          <w:iCs/>
          <w:sz w:val="20"/>
          <w:szCs w:val="20"/>
        </w:rPr>
        <w:t xml:space="preserve">Table 1: Supported Languages in GGT</w:t>
      </w:r>
    </w:p>
    <w:p>
      <w:pPr>
        <w:spacing w:after="200" w:line="312"/>
        <w:jc w:val="both"/>
      </w:pPr>
      <w:r>
        <w:rPr>
          <w:rFonts w:ascii="Times New Roman" w:cs="Times New Roman" w:eastAsia="Times New Roman" w:hAnsi="Times New Roman"/>
          <w:sz w:val="24"/>
          <w:szCs w:val="24"/>
        </w:rPr>
        <w:t xml:space="preserve">The Guthrie classification system provides a standardized way of categorizing Bantu languages based on their geographic and linguistic relationships. Languages in the same zone (indicated by the letter) typically share certain phonological and morphological features.</w:t>
      </w:r>
    </w:p>
    <w:p>
      <w:pPr>
        <w:pStyle w:val="Heading2"/>
        <w:spacing w:after="150" w:before="300"/>
      </w:pPr>
      <w:r>
        <w:rPr>
          <w:rFonts w:ascii="Times New Roman" w:cs="Times New Roman" w:eastAsia="Times New Roman" w:hAnsi="Times New Roman"/>
          <w:b/>
          <w:bCs/>
          <w:color w:val="2D3748"/>
          <w:sz w:val="28"/>
          <w:szCs w:val="28"/>
        </w:rPr>
        <w:t xml:space="preserve">1.4 Key Terminology for Teachers</w:t>
      </w:r>
    </w:p>
    <w:p>
      <w:pPr>
        <w:spacing w:after="200" w:line="312"/>
        <w:jc w:val="both"/>
      </w:pPr>
      <w:r>
        <w:rPr>
          <w:rFonts w:ascii="Times New Roman" w:cs="Times New Roman" w:eastAsia="Times New Roman" w:hAnsi="Times New Roman"/>
          <w:sz w:val="24"/>
          <w:szCs w:val="24"/>
        </w:rPr>
        <w:t xml:space="preserve">Before exploring the toolkit in depth, it is important to establish a common vocabulary for discussing Bantu grammar. The following terms appear frequently throughout this manual and in the GGT interface.</w:t>
      </w:r>
    </w:p>
    <w:p>
      <w:pPr>
        <w:pStyle w:val="ListParagraph"/>
        <w:numPr>
          <w:ilvl w:val="0"/>
          <w:numId w:val="3"/>
        </w:numPr>
        <w:spacing w:after="100" w:line="312"/>
      </w:pPr>
      <w:r>
        <w:rPr>
          <w:rFonts w:ascii="Times New Roman" w:cs="Times New Roman" w:eastAsia="Times New Roman" w:hAnsi="Times New Roman"/>
          <w:sz w:val="24"/>
          <w:szCs w:val="24"/>
        </w:rPr>
        <w:t xml:space="preserve">Noun Class: A grammatical category that determines agreement patterns across the sentence. Bantu languages typically have 15-20 noun classes, each marked by distinctive prefixes.</w:t>
      </w:r>
    </w:p>
    <w:p>
      <w:pPr>
        <w:pStyle w:val="ListParagraph"/>
        <w:numPr>
          <w:ilvl w:val="0"/>
          <w:numId w:val="3"/>
        </w:numPr>
        <w:spacing w:after="100" w:line="312"/>
      </w:pPr>
      <w:r>
        <w:rPr>
          <w:rFonts w:ascii="Times New Roman" w:cs="Times New Roman" w:eastAsia="Times New Roman" w:hAnsi="Times New Roman"/>
          <w:sz w:val="24"/>
          <w:szCs w:val="24"/>
        </w:rPr>
        <w:t xml:space="preserve">Concord: An agreement marker that appears on various words (verbs, adjectives, demonstratives) to indicate relationship with a noun's class.</w:t>
      </w:r>
    </w:p>
    <w:p>
      <w:pPr>
        <w:pStyle w:val="ListParagraph"/>
        <w:numPr>
          <w:ilvl w:val="0"/>
          <w:numId w:val="3"/>
        </w:numPr>
        <w:spacing w:after="100" w:line="312"/>
      </w:pPr>
      <w:r>
        <w:rPr>
          <w:rFonts w:ascii="Times New Roman" w:cs="Times New Roman" w:eastAsia="Times New Roman" w:hAnsi="Times New Roman"/>
          <w:sz w:val="24"/>
          <w:szCs w:val="24"/>
        </w:rPr>
        <w:t xml:space="preserve">TAM Markers: Tense-Aspect-Mood markers indicate when an action occurs (tense), how it extends over time (aspect), and the speaker's attitude (mood).</w:t>
      </w:r>
    </w:p>
    <w:p>
      <w:pPr>
        <w:pStyle w:val="ListParagraph"/>
        <w:numPr>
          <w:ilvl w:val="0"/>
          <w:numId w:val="3"/>
        </w:numPr>
        <w:spacing w:after="100" w:line="312"/>
      </w:pPr>
      <w:r>
        <w:rPr>
          <w:rFonts w:ascii="Times New Roman" w:cs="Times New Roman" w:eastAsia="Times New Roman" w:hAnsi="Times New Roman"/>
          <w:sz w:val="24"/>
          <w:szCs w:val="24"/>
        </w:rPr>
        <w:t xml:space="preserve">Verb Extension: Suffixes added to verb roots to modify meaning, such as causative, applicative, or passive extensions.</w:t>
      </w:r>
    </w:p>
    <w:p>
      <w:pPr>
        <w:pStyle w:val="ListParagraph"/>
        <w:numPr>
          <w:ilvl w:val="0"/>
          <w:numId w:val="3"/>
        </w:numPr>
        <w:spacing w:after="100" w:line="312"/>
      </w:pPr>
      <w:r>
        <w:rPr>
          <w:rFonts w:ascii="Times New Roman" w:cs="Times New Roman" w:eastAsia="Times New Roman" w:hAnsi="Times New Roman"/>
          <w:sz w:val="24"/>
          <w:szCs w:val="24"/>
        </w:rPr>
        <w:t xml:space="preserve">Morphology: The study of word formation, including how roots combine with prefixes, suffixes, and other morphemes.</w:t>
      </w:r>
    </w:p>
    <w:p>
      <w:pPr>
        <w:pStyle w:val="ListParagraph"/>
        <w:numPr>
          <w:ilvl w:val="0"/>
          <w:numId w:val="3"/>
        </w:numPr>
        <w:spacing w:after="100" w:line="312"/>
      </w:pPr>
      <w:r>
        <w:rPr>
          <w:rFonts w:ascii="Times New Roman" w:cs="Times New Roman" w:eastAsia="Times New Roman" w:hAnsi="Times New Roman"/>
          <w:sz w:val="24"/>
          <w:szCs w:val="24"/>
        </w:rPr>
        <w:t xml:space="preserve">Paradigm: A complete set of inflected forms demonstrating a grammatical pattern, such as all tense forms of a verb.</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2: Understanding Bantu Grammar Concepts</w:t>
      </w:r>
    </w:p>
    <w:p>
      <w:pPr>
        <w:pStyle w:val="Heading2"/>
        <w:spacing w:after="150" w:before="300"/>
      </w:pPr>
      <w:r>
        <w:rPr>
          <w:rFonts w:ascii="Times New Roman" w:cs="Times New Roman" w:eastAsia="Times New Roman" w:hAnsi="Times New Roman"/>
          <w:b/>
          <w:bCs/>
          <w:color w:val="2D3748"/>
          <w:sz w:val="28"/>
          <w:szCs w:val="28"/>
        </w:rPr>
        <w:t xml:space="preserve">2.1 The Noun Class System</w:t>
      </w:r>
    </w:p>
    <w:p>
      <w:pPr>
        <w:spacing w:after="200" w:line="312"/>
        <w:jc w:val="both"/>
      </w:pPr>
      <w:r>
        <w:rPr>
          <w:rFonts w:ascii="Times New Roman" w:cs="Times New Roman" w:eastAsia="Times New Roman" w:hAnsi="Times New Roman"/>
          <w:sz w:val="24"/>
          <w:szCs w:val="24"/>
        </w:rPr>
        <w:t xml:space="preserve">The noun class system is one of the most distinctive features of Bantu languages and often presents the greatest challenge for learners. Unlike gender systems in European languages, which typically have only two or three categories, Bantu noun classes can number fifteen or more. Each noun class carries both grammatical and semantic information, with classes often grouping nouns that share certain conceptual properties such as animacy, shape, size, or function.</w:t>
      </w:r>
    </w:p>
    <w:p>
      <w:pPr>
        <w:spacing w:after="200" w:line="312"/>
        <w:jc w:val="both"/>
      </w:pPr>
      <w:r>
        <w:rPr>
          <w:rFonts w:ascii="Times New Roman" w:cs="Times New Roman" w:eastAsia="Times New Roman" w:hAnsi="Times New Roman"/>
          <w:sz w:val="24"/>
          <w:szCs w:val="24"/>
        </w:rPr>
        <w:t xml:space="preserve">In chiTonga, for example, the toolkit documents 21 noun classes. Each class has a characteristic prefix that appears on the noun itself, and corresponding concord markers that appear on verbs, adjectives, possessives, and other elements that relate to the noun. The relationship between singular and plural classes follows regular patterns, with most singular classes having a corresponding plural class.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1800"/>
        <w:gridCol w:w="1800"/>
        <w:gridCol w:w="3800"/>
      </w:tblGrid>
      <w:tr>
        <w:trPr>
          <w:tblHeader/>
        </w:trPr>
        <w:tc>
          <w:tcPr>
            <w:tcW w:type="dxa" w:w="1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Class</w:t>
            </w:r>
          </w:p>
        </w:tc>
        <w:tc>
          <w:tcPr>
            <w:tcW w:type="dxa" w:w="18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Prefix</w:t>
            </w:r>
          </w:p>
        </w:tc>
        <w:tc>
          <w:tcPr>
            <w:tcW w:type="dxa" w:w="18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Plural Pair</w:t>
            </w:r>
          </w:p>
        </w:tc>
        <w:tc>
          <w:tcPr>
            <w:tcW w:type="dxa" w:w="38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Semantic Domain</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NC1</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mu-</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NC2</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Human beings (singular)</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NC2</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ba-</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Human beings (plural)</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NC3</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mu-</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NC4</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Long, thin objects; trees</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NC5</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li-</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NC6</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Fruits, certain objects</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NC7</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ci-</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NC8</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Things, diminutives</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NC9</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NC10</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Animals, miscellaneous</w:t>
            </w:r>
          </w:p>
        </w:tc>
      </w:tr>
      <w:tr>
        <w:trPr>
          <w:tblHeader w:val="false"/>
        </w:trPr>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NC11</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lu-</w:t>
            </w:r>
          </w:p>
        </w:tc>
        <w:tc>
          <w:tcPr>
            <w:tcW w:type="dxa" w:w="1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NC10</w:t>
            </w:r>
          </w:p>
        </w:tc>
        <w:tc>
          <w:tcPr>
            <w:tcW w:type="dxa" w:w="3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Abstract nouns, long things</w:t>
            </w:r>
          </w:p>
        </w:tc>
      </w:tr>
    </w:tbl>
    <w:p>
      <w:pPr>
        <w:spacing w:after="200" w:before="100"/>
        <w:jc w:val="center"/>
      </w:pPr>
      <w:r>
        <w:rPr>
          <w:i/>
          <w:iCs/>
          <w:sz w:val="20"/>
          <w:szCs w:val="20"/>
        </w:rPr>
        <w:t xml:space="preserve">Table 2: Sample Noun Classes in chiTonga</w:t>
      </w:r>
    </w:p>
    <w:p>
      <w:pPr>
        <w:pStyle w:val="Heading2"/>
        <w:spacing w:after="150" w:before="300"/>
      </w:pPr>
      <w:r>
        <w:rPr>
          <w:rFonts w:ascii="Times New Roman" w:cs="Times New Roman" w:eastAsia="Times New Roman" w:hAnsi="Times New Roman"/>
          <w:b/>
          <w:bCs/>
          <w:color w:val="2D3748"/>
          <w:sz w:val="28"/>
          <w:szCs w:val="28"/>
        </w:rPr>
        <w:t xml:space="preserve">2.2 Concord Agreement Patterns</w:t>
      </w:r>
    </w:p>
    <w:p>
      <w:pPr>
        <w:spacing w:after="200" w:line="312"/>
        <w:jc w:val="both"/>
      </w:pPr>
      <w:r>
        <w:rPr>
          <w:rFonts w:ascii="Times New Roman" w:cs="Times New Roman" w:eastAsia="Times New Roman" w:hAnsi="Times New Roman"/>
          <w:sz w:val="24"/>
          <w:szCs w:val="24"/>
        </w:rPr>
        <w:t xml:space="preserve">Concord agreement is the grammatical mechanism that creates coherence in Bantu sentences. When a noun serves as the subject or object of a sentence, its class membership triggers specific agreement markers on verbs, adjectives, possessives, demonstratives, and other words that relate to it. This system creates a rich network of grammatical relationships that speakers and learners must master.</w:t>
      </w:r>
    </w:p>
    <w:p>
      <w:pPr>
        <w:spacing w:after="200" w:line="312"/>
        <w:jc w:val="both"/>
      </w:pPr>
      <w:r>
        <w:rPr>
          <w:rFonts w:ascii="Times New Roman" w:cs="Times New Roman" w:eastAsia="Times New Roman" w:hAnsi="Times New Roman"/>
          <w:b/>
          <w:bCs/>
          <w:sz w:val="24"/>
          <w:szCs w:val="24"/>
        </w:rPr>
        <w:t xml:space="preserve">GGT identifies the following major concord types:</w:t>
      </w:r>
    </w:p>
    <w:p>
      <w:pPr>
        <w:pStyle w:val="ListParagraph"/>
        <w:numPr>
          <w:ilvl w:val="0"/>
          <w:numId w:val="3"/>
        </w:numPr>
        <w:spacing w:after="100" w:line="312"/>
      </w:pPr>
      <w:r>
        <w:rPr>
          <w:rFonts w:ascii="Times New Roman" w:cs="Times New Roman" w:eastAsia="Times New Roman" w:hAnsi="Times New Roman"/>
          <w:sz w:val="24"/>
          <w:szCs w:val="24"/>
        </w:rPr>
        <w:t xml:space="preserve">Subject Concord: Markers on verbs indicating the noun class or person of the subject (e.g., ba- for NC2 subjects)</w:t>
      </w:r>
    </w:p>
    <w:p>
      <w:pPr>
        <w:pStyle w:val="ListParagraph"/>
        <w:numPr>
          <w:ilvl w:val="0"/>
          <w:numId w:val="3"/>
        </w:numPr>
        <w:spacing w:after="100" w:line="312"/>
      </w:pPr>
      <w:r>
        <w:rPr>
          <w:rFonts w:ascii="Times New Roman" w:cs="Times New Roman" w:eastAsia="Times New Roman" w:hAnsi="Times New Roman"/>
          <w:sz w:val="24"/>
          <w:szCs w:val="24"/>
        </w:rPr>
        <w:t xml:space="preserve">Object Concord: Markers indicating the noun class of the object, inserted before the verb root</w:t>
      </w:r>
    </w:p>
    <w:p>
      <w:pPr>
        <w:pStyle w:val="ListParagraph"/>
        <w:numPr>
          <w:ilvl w:val="0"/>
          <w:numId w:val="3"/>
        </w:numPr>
        <w:spacing w:after="100" w:line="312"/>
      </w:pPr>
      <w:r>
        <w:rPr>
          <w:rFonts w:ascii="Times New Roman" w:cs="Times New Roman" w:eastAsia="Times New Roman" w:hAnsi="Times New Roman"/>
          <w:sz w:val="24"/>
          <w:szCs w:val="24"/>
        </w:rPr>
        <w:t xml:space="preserve">Possessive Concord: Prefixes on possessive pronouns agreeing with the possessed noun</w:t>
      </w:r>
    </w:p>
    <w:p>
      <w:pPr>
        <w:pStyle w:val="ListParagraph"/>
        <w:numPr>
          <w:ilvl w:val="0"/>
          <w:numId w:val="3"/>
        </w:numPr>
        <w:spacing w:after="100" w:line="312"/>
      </w:pPr>
      <w:r>
        <w:rPr>
          <w:rFonts w:ascii="Times New Roman" w:cs="Times New Roman" w:eastAsia="Times New Roman" w:hAnsi="Times New Roman"/>
          <w:sz w:val="24"/>
          <w:szCs w:val="24"/>
        </w:rPr>
        <w:t xml:space="preserve">Adjectival Concord: Markers on adjectives agreeing with the modified noun</w:t>
      </w:r>
    </w:p>
    <w:p>
      <w:pPr>
        <w:pStyle w:val="ListParagraph"/>
        <w:numPr>
          <w:ilvl w:val="0"/>
          <w:numId w:val="3"/>
        </w:numPr>
        <w:spacing w:after="100" w:line="312"/>
      </w:pPr>
      <w:r>
        <w:rPr>
          <w:rFonts w:ascii="Times New Roman" w:cs="Times New Roman" w:eastAsia="Times New Roman" w:hAnsi="Times New Roman"/>
          <w:sz w:val="24"/>
          <w:szCs w:val="24"/>
        </w:rPr>
        <w:t xml:space="preserve">Demonstrative Concord: Forms indicating distance and agreement with the referenced noun</w:t>
      </w:r>
    </w:p>
    <w:p>
      <w:pPr>
        <w:pStyle w:val="ListParagraph"/>
        <w:numPr>
          <w:ilvl w:val="0"/>
          <w:numId w:val="3"/>
        </w:numPr>
        <w:spacing w:after="100" w:line="312"/>
      </w:pPr>
      <w:r>
        <w:rPr>
          <w:rFonts w:ascii="Times New Roman" w:cs="Times New Roman" w:eastAsia="Times New Roman" w:hAnsi="Times New Roman"/>
          <w:sz w:val="24"/>
          <w:szCs w:val="24"/>
        </w:rPr>
        <w:t xml:space="preserve">Connective Concord: Markers used in associative constructions linking nouns</w:t>
      </w:r>
    </w:p>
    <w:p>
      <w:pPr>
        <w:pStyle w:val="Heading2"/>
        <w:spacing w:after="150" w:before="300"/>
      </w:pPr>
      <w:r>
        <w:rPr>
          <w:rFonts w:ascii="Times New Roman" w:cs="Times New Roman" w:eastAsia="Times New Roman" w:hAnsi="Times New Roman"/>
          <w:b/>
          <w:bCs/>
          <w:color w:val="2D3748"/>
          <w:sz w:val="28"/>
          <w:szCs w:val="28"/>
        </w:rPr>
        <w:t xml:space="preserve">2.3 Verb Structure and TAM System</w:t>
      </w:r>
    </w:p>
    <w:p>
      <w:pPr>
        <w:spacing w:after="200" w:line="312"/>
        <w:jc w:val="both"/>
      </w:pPr>
      <w:r>
        <w:rPr>
          <w:rFonts w:ascii="Times New Roman" w:cs="Times New Roman" w:eastAsia="Times New Roman" w:hAnsi="Times New Roman"/>
          <w:sz w:val="24"/>
          <w:szCs w:val="24"/>
        </w:rPr>
        <w:t xml:space="preserve">Bantu verbs exhibit a complex morphological structure that encodes a wealth of grammatical information. The verb template consists of ordered slots, each potentially filled by specific types of morphemes. Understanding this template is essential for both analyzing existing verb forms and constructing correct new forms.</w:t>
      </w:r>
    </w:p>
    <w:p>
      <w:pPr>
        <w:spacing w:after="200" w:line="312"/>
        <w:jc w:val="both"/>
      </w:pPr>
      <w:r>
        <w:rPr>
          <w:rFonts w:ascii="Times New Roman" w:cs="Times New Roman" w:eastAsia="Times New Roman" w:hAnsi="Times New Roman"/>
          <w:b/>
          <w:bCs/>
          <w:sz w:val="24"/>
          <w:szCs w:val="24"/>
        </w:rPr>
        <w:t xml:space="preserve">The typical Bantu verb template includes the following slots:</w:t>
      </w:r>
    </w:p>
    <w:p>
      <w:pPr>
        <w:pStyle w:val="ListParagraph"/>
        <w:numPr>
          <w:ilvl w:val="0"/>
          <w:numId w:val="4"/>
        </w:numPr>
        <w:spacing w:after="100" w:line="312"/>
      </w:pPr>
      <w:r>
        <w:rPr>
          <w:rFonts w:ascii="Times New Roman" w:cs="Times New Roman" w:eastAsia="Times New Roman" w:hAnsi="Times New Roman"/>
          <w:sz w:val="24"/>
          <w:szCs w:val="24"/>
        </w:rPr>
        <w:t xml:space="preserve">Slot 3: Subject Concord (obligatory in finite verbs)</w:t>
      </w:r>
    </w:p>
    <w:p>
      <w:pPr>
        <w:pStyle w:val="ListParagraph"/>
        <w:numPr>
          <w:ilvl w:val="0"/>
          <w:numId w:val="4"/>
        </w:numPr>
        <w:spacing w:after="100" w:line="312"/>
      </w:pPr>
      <w:r>
        <w:rPr>
          <w:rFonts w:ascii="Times New Roman" w:cs="Times New Roman" w:eastAsia="Times New Roman" w:hAnsi="Times New Roman"/>
          <w:sz w:val="24"/>
          <w:szCs w:val="24"/>
        </w:rPr>
        <w:t xml:space="preserve">Slot 5: TAM Marker (indicates tense, aspect, mood)</w:t>
      </w:r>
    </w:p>
    <w:p>
      <w:pPr>
        <w:pStyle w:val="ListParagraph"/>
        <w:numPr>
          <w:ilvl w:val="0"/>
          <w:numId w:val="4"/>
        </w:numPr>
        <w:spacing w:after="100" w:line="312"/>
      </w:pPr>
      <w:r>
        <w:rPr>
          <w:rFonts w:ascii="Times New Roman" w:cs="Times New Roman" w:eastAsia="Times New Roman" w:hAnsi="Times New Roman"/>
          <w:sz w:val="24"/>
          <w:szCs w:val="24"/>
        </w:rPr>
        <w:t xml:space="preserve">Slot 8: Verb Root (obligatory - the lexical core)</w:t>
      </w:r>
    </w:p>
    <w:p>
      <w:pPr>
        <w:pStyle w:val="ListParagraph"/>
        <w:numPr>
          <w:ilvl w:val="0"/>
          <w:numId w:val="4"/>
        </w:numPr>
        <w:spacing w:after="100" w:line="312"/>
      </w:pPr>
      <w:r>
        <w:rPr>
          <w:rFonts w:ascii="Times New Roman" w:cs="Times New Roman" w:eastAsia="Times New Roman" w:hAnsi="Times New Roman"/>
          <w:sz w:val="24"/>
          <w:szCs w:val="24"/>
        </w:rPr>
        <w:t xml:space="preserve">Slot 9: Verb Extensions (applicative, causative, passive, etc.)</w:t>
      </w:r>
    </w:p>
    <w:p>
      <w:pPr>
        <w:pStyle w:val="ListParagraph"/>
        <w:numPr>
          <w:ilvl w:val="0"/>
          <w:numId w:val="4"/>
        </w:numPr>
        <w:spacing w:after="100" w:line="312"/>
      </w:pPr>
      <w:r>
        <w:rPr>
          <w:rFonts w:ascii="Times New Roman" w:cs="Times New Roman" w:eastAsia="Times New Roman" w:hAnsi="Times New Roman"/>
          <w:sz w:val="24"/>
          <w:szCs w:val="24"/>
        </w:rPr>
        <w:t xml:space="preserve">Slot 10: Final Vowel (obligatory - indicates mood and polarity)</w:t>
      </w:r>
    </w:p>
    <w:p>
      <w:pPr>
        <w:spacing w:after="200" w:line="312"/>
        <w:jc w:val="both"/>
      </w:pPr>
      <w:r>
        <w:rPr>
          <w:rFonts w:ascii="Times New Roman" w:cs="Times New Roman" w:eastAsia="Times New Roman" w:hAnsi="Times New Roman"/>
          <w:sz w:val="24"/>
          <w:szCs w:val="24"/>
        </w:rPr>
        <w:t xml:space="preserve">The Tense-Aspect-Mood (TAM) system represents one of the most complex areas of Bantu grammar. Different TAM markers indicate not only when an action occurs but also how it unfolds over time and the speaker's perspective on it.</w:t>
      </w:r>
    </w:p>
    <w:p>
      <w:pPr>
        <w:pStyle w:val="Heading2"/>
        <w:spacing w:after="150" w:before="300"/>
      </w:pPr>
      <w:r>
        <w:rPr>
          <w:rFonts w:ascii="Times New Roman" w:cs="Times New Roman" w:eastAsia="Times New Roman" w:hAnsi="Times New Roman"/>
          <w:b/>
          <w:bCs/>
          <w:color w:val="2D3748"/>
          <w:sz w:val="28"/>
          <w:szCs w:val="28"/>
        </w:rPr>
        <w:t xml:space="preserve">2.4 Verb Extensions</w:t>
      </w:r>
    </w:p>
    <w:p>
      <w:pPr>
        <w:spacing w:after="200" w:line="312"/>
        <w:jc w:val="both"/>
      </w:pPr>
      <w:r>
        <w:rPr>
          <w:rFonts w:ascii="Times New Roman" w:cs="Times New Roman" w:eastAsia="Times New Roman" w:hAnsi="Times New Roman"/>
          <w:sz w:val="24"/>
          <w:szCs w:val="24"/>
        </w:rPr>
        <w:t xml:space="preserve">Verb extensions are morphemes that modify the meaning and argument structure of verb roots. They represent a highly productive derivational process in Bantu languages, allowing speakers to create new verb meanings from existing roots through regular morphological processes.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600"/>
        <w:gridCol w:w="1200"/>
        <w:gridCol w:w="1600"/>
        <w:gridCol w:w="4400"/>
      </w:tblGrid>
      <w:tr>
        <w:trPr>
          <w:tblHeader/>
        </w:trPr>
        <w:tc>
          <w:tcPr>
            <w:tcW w:type="dxa" w:w="16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Extension</w:t>
            </w:r>
          </w:p>
        </w:tc>
        <w:tc>
          <w:tcPr>
            <w:tcW w:type="dxa" w:w="1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Zone</w:t>
            </w:r>
          </w:p>
        </w:tc>
        <w:tc>
          <w:tcPr>
            <w:tcW w:type="dxa" w:w="16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Form</w:t>
            </w:r>
          </w:p>
        </w:tc>
        <w:tc>
          <w:tcPr>
            <w:tcW w:type="dxa" w:w="44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Semantic Effect</w:t>
            </w:r>
          </w:p>
        </w:tc>
      </w:tr>
      <w:tr>
        <w:trPr>
          <w:tblHeader w:val="false"/>
        </w:trPr>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Applicative (APPL)</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Z1</w:t>
            </w:r>
          </w:p>
        </w:tc>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-il-</w:t>
            </w:r>
          </w:p>
        </w:tc>
        <w:tc>
          <w:tcPr>
            <w:tcW w:type="dxa" w:w="4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Adds beneficiary/recipient argument</w:t>
            </w:r>
          </w:p>
        </w:tc>
      </w:tr>
      <w:tr>
        <w:trPr>
          <w:tblHeader w:val="false"/>
        </w:trPr>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Causative (CAUS)</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Z1</w:t>
            </w:r>
          </w:p>
        </w:tc>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-isy-</w:t>
            </w:r>
          </w:p>
        </w:tc>
        <w:tc>
          <w:tcPr>
            <w:tcW w:type="dxa" w:w="4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Introduces causative agent</w:t>
            </w:r>
          </w:p>
        </w:tc>
      </w:tr>
      <w:tr>
        <w:trPr>
          <w:tblHeader w:val="false"/>
        </w:trPr>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Reciprocal (RECIP)</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Z2</w:t>
            </w:r>
          </w:p>
        </w:tc>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-an-</w:t>
            </w:r>
          </w:p>
        </w:tc>
        <w:tc>
          <w:tcPr>
            <w:tcW w:type="dxa" w:w="4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Mutual action between subjects</w:t>
            </w:r>
          </w:p>
        </w:tc>
      </w:tr>
      <w:tr>
        <w:trPr>
          <w:tblHeader w:val="false"/>
        </w:trPr>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Passive (PASS)</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Z3</w:t>
            </w:r>
          </w:p>
        </w:tc>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-w-</w:t>
            </w:r>
          </w:p>
        </w:tc>
        <w:tc>
          <w:tcPr>
            <w:tcW w:type="dxa" w:w="4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Suppresses agent, promotes object</w:t>
            </w:r>
          </w:p>
        </w:tc>
      </w:tr>
      <w:tr>
        <w:trPr>
          <w:tblHeader w:val="false"/>
        </w:trPr>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Stative (STAT)</w:t>
            </w:r>
          </w:p>
        </w:tc>
        <w:tc>
          <w:tcPr>
            <w:tcW w:type="dxa" w:w="1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Z3</w:t>
            </w:r>
          </w:p>
        </w:tc>
        <w:tc>
          <w:tcPr>
            <w:tcW w:type="dxa" w:w="16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-ik-</w:t>
            </w:r>
          </w:p>
        </w:tc>
        <w:tc>
          <w:tcPr>
            <w:tcW w:type="dxa" w:w="4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Indicates state or condition</w:t>
            </w:r>
          </w:p>
        </w:tc>
      </w:tr>
    </w:tbl>
    <w:p>
      <w:pPr>
        <w:spacing w:after="200" w:before="100"/>
        <w:jc w:val="center"/>
      </w:pPr>
      <w:r>
        <w:rPr>
          <w:i/>
          <w:iCs/>
          <w:sz w:val="20"/>
          <w:szCs w:val="20"/>
        </w:rPr>
        <w:t xml:space="preserve">Table 3: Common Verb Extensions</w:t>
      </w:r>
    </w:p>
    <w:p>
      <w:pPr>
        <w:spacing w:after="200" w:line="312"/>
        <w:jc w:val="both"/>
      </w:pPr>
      <w:r>
        <w:rPr>
          <w:rFonts w:ascii="Times New Roman" w:cs="Times New Roman" w:eastAsia="Times New Roman" w:hAnsi="Times New Roman"/>
          <w:sz w:val="24"/>
          <w:szCs w:val="24"/>
        </w:rPr>
        <w:t xml:space="preserve">A crucial aspect of verb extensions is their ordering. Extensions are grouped into zones, and zones must appear in a specific sequence (Z1 → Z2 → Z3 → Z4). Within a zone, there is also a defined order. The passive extension, which appears in Z3, must be the final extension in any sequence.</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3: Getting Started with GGT</w:t>
      </w:r>
    </w:p>
    <w:p>
      <w:pPr>
        <w:pStyle w:val="Heading2"/>
        <w:spacing w:after="150" w:before="300"/>
      </w:pPr>
      <w:r>
        <w:rPr>
          <w:rFonts w:ascii="Times New Roman" w:cs="Times New Roman" w:eastAsia="Times New Roman" w:hAnsi="Times New Roman"/>
          <w:b/>
          <w:bCs/>
          <w:color w:val="2D3748"/>
          <w:sz w:val="28"/>
          <w:szCs w:val="28"/>
        </w:rPr>
        <w:t xml:space="preserve">3.1 Installation and Setup</w:t>
      </w:r>
    </w:p>
    <w:p>
      <w:pPr>
        <w:spacing w:after="200" w:line="312"/>
        <w:jc w:val="both"/>
      </w:pPr>
      <w:r>
        <w:rPr>
          <w:rFonts w:ascii="Times New Roman" w:cs="Times New Roman" w:eastAsia="Times New Roman" w:hAnsi="Times New Roman"/>
          <w:sz w:val="24"/>
          <w:szCs w:val="24"/>
        </w:rPr>
        <w:t xml:space="preserve">The Gobelo Grammar Toolkit is a Python-based tool that can be installed either from source code or from the Python Package Index (PyPI). For teachers with basic computer literacy, the installation process is straightforward and well-documented. Schools and educational institutions may need to coordinate with IT support staff to ensure proper installation on institutional computers.</w:t>
      </w:r>
    </w:p>
    <w:p>
      <w:pPr>
        <w:spacing w:after="200" w:line="312"/>
        <w:jc w:val="both"/>
      </w:pPr>
      <w:r>
        <w:rPr>
          <w:rFonts w:ascii="Times New Roman" w:cs="Times New Roman" w:eastAsia="Times New Roman" w:hAnsi="Times New Roman"/>
          <w:b/>
          <w:bCs/>
          <w:sz w:val="24"/>
          <w:szCs w:val="24"/>
        </w:rPr>
        <w:t xml:space="preserve">Installation options include:</w:t>
      </w:r>
    </w:p>
    <w:p>
      <w:pPr>
        <w:shd w:fill="F5F5F5" w:val="clear"/>
        <w:spacing w:after="100"/>
      </w:pPr>
      <w:r>
        <w:rPr>
          <w:rFonts w:ascii="Courier New" w:cs="Courier New" w:eastAsia="Courier New" w:hAnsi="Courier New"/>
          <w:sz w:val="20"/>
          <w:szCs w:val="20"/>
        </w:rPr>
        <w:t xml:space="preserve">From PyPI (recommended for most users):</w:t>
      </w:r>
    </w:p>
    <w:p>
      <w:pPr>
        <w:shd w:fill="F5F5F5" w:val="clear"/>
        <w:spacing w:after="100"/>
      </w:pPr>
      <w:r>
        <w:rPr>
          <w:rFonts w:ascii="Courier New" w:cs="Courier New" w:eastAsia="Courier New" w:hAnsi="Courier New"/>
          <w:sz w:val="20"/>
          <w:szCs w:val="20"/>
        </w:rPr>
        <w:t xml:space="preserve">pip install gobelo-grammar-toolkit</w:t>
      </w:r>
    </w:p>
    <w:p>
      <w:pPr>
        <w:shd w:fill="F5F5F5" w:val="clear"/>
        <w:spacing w:after="100"/>
      </w:pPr>
      <w:r>
        <w:rPr>
          <w:rFonts w:ascii="Courier New" w:cs="Courier New" w:eastAsia="Courier New" w:hAnsi="Courier New"/>
          <w:sz w:val="20"/>
          <w:szCs w:val="20"/>
        </w:rPr>
        <w:t xml:space="preserve">From source (for developers):</w:t>
      </w:r>
    </w:p>
    <w:p>
      <w:pPr>
        <w:shd w:fill="F5F5F5" w:val="clear"/>
        <w:spacing w:after="100"/>
      </w:pPr>
      <w:r>
        <w:rPr>
          <w:rFonts w:ascii="Courier New" w:cs="Courier New" w:eastAsia="Courier New" w:hAnsi="Courier New"/>
          <w:sz w:val="20"/>
          <w:szCs w:val="20"/>
        </w:rPr>
        <w:t xml:space="preserve">git clone https://github.com/gobelo/grammar-toolkit</w:t>
      </w:r>
    </w:p>
    <w:p>
      <w:pPr>
        <w:shd w:fill="F5F5F5" w:val="clear"/>
        <w:spacing w:after="100"/>
      </w:pPr>
      <w:r>
        <w:rPr>
          <w:rFonts w:ascii="Courier New" w:cs="Courier New" w:eastAsia="Courier New" w:hAnsi="Courier New"/>
          <w:sz w:val="20"/>
          <w:szCs w:val="20"/>
        </w:rPr>
        <w:t xml:space="preserve">cd grammar-toolkit &amp;&amp; pip install -e .</w:t>
      </w:r>
    </w:p>
    <w:p>
      <w:pPr>
        <w:pStyle w:val="Heading2"/>
        <w:spacing w:after="150" w:before="300"/>
      </w:pPr>
      <w:r>
        <w:rPr>
          <w:rFonts w:ascii="Times New Roman" w:cs="Times New Roman" w:eastAsia="Times New Roman" w:hAnsi="Times New Roman"/>
          <w:b/>
          <w:bCs/>
          <w:color w:val="2D3748"/>
          <w:sz w:val="28"/>
          <w:szCs w:val="28"/>
        </w:rPr>
        <w:t xml:space="preserve">3.2 Basic Configuration</w:t>
      </w:r>
    </w:p>
    <w:p>
      <w:pPr>
        <w:spacing w:after="200" w:line="312"/>
        <w:jc w:val="both"/>
      </w:pPr>
      <w:r>
        <w:rPr>
          <w:rFonts w:ascii="Times New Roman" w:cs="Times New Roman" w:eastAsia="Times New Roman" w:hAnsi="Times New Roman"/>
          <w:sz w:val="24"/>
          <w:szCs w:val="24"/>
        </w:rPr>
        <w:t xml:space="preserve">Once installed, the toolkit is configured through a simple GrammarConfig object that specifies the target language and optional settings. Teachers can create multiple configurations for different languages, making it easy to switch between them when teaching multiple languages.</w:t>
      </w:r>
    </w:p>
    <w:p>
      <w:pPr>
        <w:spacing w:after="200" w:line="312"/>
        <w:jc w:val="both"/>
      </w:pPr>
      <w:r>
        <w:rPr>
          <w:rFonts w:ascii="Times New Roman" w:cs="Times New Roman" w:eastAsia="Times New Roman" w:hAnsi="Times New Roman"/>
          <w:b/>
          <w:bCs/>
          <w:sz w:val="24"/>
          <w:szCs w:val="24"/>
        </w:rPr>
        <w:t xml:space="preserve">Basic configuration example:</w:t>
      </w:r>
    </w:p>
    <w:p>
      <w:pPr>
        <w:shd w:fill="F5F5F5" w:val="clear"/>
        <w:spacing w:after="100"/>
      </w:pPr>
      <w:r>
        <w:rPr>
          <w:rFonts w:ascii="Courier New" w:cs="Courier New" w:eastAsia="Courier New" w:hAnsi="Courier New"/>
          <w:sz w:val="20"/>
          <w:szCs w:val="20"/>
        </w:rPr>
        <w:t xml:space="preserve">from gobelo_grammar_toolkit import GrammarConfig, GobeloGrammarLoader</w:t>
      </w:r>
    </w:p>
    <w:p>
      <w:pPr>
        <w:shd w:fill="F5F5F5" w:val="clear"/>
        <w:spacing w:after="100"/>
      </w:pPr>
      <w:r>
        <w:rPr>
          <w:rFonts w:ascii="Courier New" w:cs="Courier New" w:eastAsia="Courier New" w:hAnsi="Courier New"/>
          <w:sz w:val="20"/>
          <w:szCs w:val="20"/>
        </w:rPr>
        <w:t xml:space="preserve"/>
      </w:r>
    </w:p>
    <w:p>
      <w:pPr>
        <w:shd w:fill="F5F5F5" w:val="clear"/>
        <w:spacing w:after="100"/>
      </w:pPr>
      <w:r>
        <w:rPr>
          <w:rFonts w:ascii="Courier New" w:cs="Courier New" w:eastAsia="Courier New" w:hAnsi="Courier New"/>
          <w:sz w:val="20"/>
          <w:szCs w:val="20"/>
        </w:rPr>
        <w:t xml:space="preserve"># Create configuration for chiTonga</w:t>
      </w:r>
    </w:p>
    <w:p>
      <w:pPr>
        <w:shd w:fill="F5F5F5" w:val="clear"/>
        <w:spacing w:after="100"/>
      </w:pPr>
      <w:r>
        <w:rPr>
          <w:rFonts w:ascii="Courier New" w:cs="Courier New" w:eastAsia="Courier New" w:hAnsi="Courier New"/>
          <w:sz w:val="20"/>
          <w:szCs w:val="20"/>
        </w:rPr>
        <w:t xml:space="preserve">config = GrammarConfig(language='chitonga')</w:t>
      </w:r>
    </w:p>
    <w:p>
      <w:pPr>
        <w:shd w:fill="F5F5F5" w:val="clear"/>
        <w:spacing w:after="100"/>
      </w:pPr>
      <w:r>
        <w:rPr>
          <w:rFonts w:ascii="Courier New" w:cs="Courier New" w:eastAsia="Courier New" w:hAnsi="Courier New"/>
          <w:sz w:val="20"/>
          <w:szCs w:val="20"/>
        </w:rPr>
        <w:t xml:space="preserve">loader = GobeloGrammarLoader(config)</w:t>
      </w:r>
    </w:p>
    <w:p>
      <w:pPr>
        <w:pStyle w:val="Heading2"/>
        <w:spacing w:after="150" w:before="300"/>
      </w:pPr>
      <w:r>
        <w:rPr>
          <w:rFonts w:ascii="Times New Roman" w:cs="Times New Roman" w:eastAsia="Times New Roman" w:hAnsi="Times New Roman"/>
          <w:b/>
          <w:bCs/>
          <w:color w:val="2D3748"/>
          <w:sz w:val="28"/>
          <w:szCs w:val="28"/>
        </w:rPr>
        <w:t xml:space="preserve">3.3 Exploring Grammar Data</w:t>
      </w:r>
    </w:p>
    <w:p>
      <w:pPr>
        <w:spacing w:after="200" w:line="312"/>
        <w:jc w:val="both"/>
      </w:pPr>
      <w:r>
        <w:rPr>
          <w:rFonts w:ascii="Times New Roman" w:cs="Times New Roman" w:eastAsia="Times New Roman" w:hAnsi="Times New Roman"/>
          <w:sz w:val="24"/>
          <w:szCs w:val="24"/>
        </w:rPr>
        <w:t xml:space="preserve">The GobeloGrammarLoader provides the primary interface for accessing grammatical data. Teachers can query noun classes, concord sets, TAM markers, verb extensions, and verb slot information through straightforward method calls.</w:t>
      </w:r>
    </w:p>
    <w:p>
      <w:pPr>
        <w:spacing w:after="200" w:line="312"/>
        <w:jc w:val="both"/>
      </w:pPr>
      <w:r>
        <w:rPr>
          <w:rFonts w:ascii="Times New Roman" w:cs="Times New Roman" w:eastAsia="Times New Roman" w:hAnsi="Times New Roman"/>
          <w:b/>
          <w:bCs/>
          <w:sz w:val="24"/>
          <w:szCs w:val="24"/>
        </w:rPr>
        <w:t xml:space="preserve">Accessing noun class information:</w:t>
      </w:r>
    </w:p>
    <w:p>
      <w:pPr>
        <w:shd w:fill="F5F5F5" w:val="clear"/>
        <w:spacing w:after="100"/>
      </w:pPr>
      <w:r>
        <w:rPr>
          <w:rFonts w:ascii="Courier New" w:cs="Courier New" w:eastAsia="Courier New" w:hAnsi="Courier New"/>
          <w:sz w:val="20"/>
          <w:szCs w:val="20"/>
        </w:rPr>
        <w:t xml:space="preserve"># Get all active noun classes</w:t>
      </w:r>
    </w:p>
    <w:p>
      <w:pPr>
        <w:shd w:fill="F5F5F5" w:val="clear"/>
        <w:spacing w:after="100"/>
      </w:pPr>
      <w:r>
        <w:rPr>
          <w:rFonts w:ascii="Courier New" w:cs="Courier New" w:eastAsia="Courier New" w:hAnsi="Courier New"/>
          <w:sz w:val="20"/>
          <w:szCs w:val="20"/>
        </w:rPr>
        <w:t xml:space="preserve">noun_classes = loader.get_noun_classes()</w:t>
      </w:r>
    </w:p>
    <w:p>
      <w:pPr>
        <w:shd w:fill="F5F5F5" w:val="clear"/>
        <w:spacing w:after="100"/>
      </w:pPr>
      <w:r>
        <w:rPr>
          <w:rFonts w:ascii="Courier New" w:cs="Courier New" w:eastAsia="Courier New" w:hAnsi="Courier New"/>
          <w:sz w:val="20"/>
          <w:szCs w:val="20"/>
        </w:rPr>
        <w:t xml:space="preserve"/>
      </w:r>
    </w:p>
    <w:p>
      <w:pPr>
        <w:shd w:fill="F5F5F5" w:val="clear"/>
        <w:spacing w:after="100"/>
      </w:pPr>
      <w:r>
        <w:rPr>
          <w:rFonts w:ascii="Courier New" w:cs="Courier New" w:eastAsia="Courier New" w:hAnsi="Courier New"/>
          <w:sz w:val="20"/>
          <w:szCs w:val="20"/>
        </w:rPr>
        <w:t xml:space="preserve"># Get specific noun class details</w:t>
      </w:r>
    </w:p>
    <w:p>
      <w:pPr>
        <w:shd w:fill="F5F5F5" w:val="clear"/>
        <w:spacing w:after="100"/>
      </w:pPr>
      <w:r>
        <w:rPr>
          <w:rFonts w:ascii="Courier New" w:cs="Courier New" w:eastAsia="Courier New" w:hAnsi="Courier New"/>
          <w:sz w:val="20"/>
          <w:szCs w:val="20"/>
        </w:rPr>
        <w:t xml:space="preserve">nc7 = loader.get_noun_class('NC7')  # Returns prefix, allomorphs, semantic domain</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4: Generating Teaching Materials</w:t>
      </w:r>
    </w:p>
    <w:p>
      <w:pPr>
        <w:pStyle w:val="Heading2"/>
        <w:spacing w:after="150" w:before="300"/>
      </w:pPr>
      <w:r>
        <w:rPr>
          <w:rFonts w:ascii="Times New Roman" w:cs="Times New Roman" w:eastAsia="Times New Roman" w:hAnsi="Times New Roman"/>
          <w:b/>
          <w:bCs/>
          <w:color w:val="2D3748"/>
          <w:sz w:val="28"/>
          <w:szCs w:val="28"/>
        </w:rPr>
        <w:t xml:space="preserve">4.1 Creating Verb Paradigm Tables</w:t>
      </w:r>
    </w:p>
    <w:p>
      <w:pPr>
        <w:spacing w:after="200" w:line="312"/>
        <w:jc w:val="both"/>
      </w:pPr>
      <w:r>
        <w:rPr>
          <w:rFonts w:ascii="Times New Roman" w:cs="Times New Roman" w:eastAsia="Times New Roman" w:hAnsi="Times New Roman"/>
          <w:sz w:val="24"/>
          <w:szCs w:val="24"/>
        </w:rPr>
        <w:t xml:space="preserve">One of the most powerful features of GGT for teachers is the ParadigmGenerator, which automatically produces complete verb conjugation tables. These paradigm tables show all combinations of subject concords and TAM markers for any given verb root, providing comprehensive reference materials for classroom use.</w:t>
      </w:r>
    </w:p>
    <w:p>
      <w:pPr>
        <w:spacing w:after="200" w:line="312"/>
        <w:jc w:val="both"/>
      </w:pPr>
      <w:r>
        <w:rPr>
          <w:rFonts w:ascii="Times New Roman" w:cs="Times New Roman" w:eastAsia="Times New Roman" w:hAnsi="Times New Roman"/>
          <w:b/>
          <w:bCs/>
          <w:sz w:val="24"/>
          <w:szCs w:val="24"/>
        </w:rPr>
        <w:t xml:space="preserve">Generating a complete verb paradigm:</w:t>
      </w:r>
    </w:p>
    <w:p>
      <w:pPr>
        <w:shd w:fill="F5F5F5" w:val="clear"/>
        <w:spacing w:after="100"/>
      </w:pPr>
      <w:r>
        <w:rPr>
          <w:rFonts w:ascii="Courier New" w:cs="Courier New" w:eastAsia="Courier New" w:hAnsi="Courier New"/>
          <w:sz w:val="20"/>
          <w:szCs w:val="20"/>
        </w:rPr>
        <w:t xml:space="preserve">from gobelo_grammar_toolkit.apps.paradigm_generator import ParadigmGenerator</w:t>
      </w:r>
    </w:p>
    <w:p>
      <w:pPr>
        <w:shd w:fill="F5F5F5" w:val="clear"/>
        <w:spacing w:after="100"/>
      </w:pPr>
      <w:r>
        <w:rPr>
          <w:rFonts w:ascii="Courier New" w:cs="Courier New" w:eastAsia="Courier New" w:hAnsi="Courier New"/>
          <w:sz w:val="20"/>
          <w:szCs w:val="20"/>
        </w:rPr>
        <w:t xml:space="preserve"/>
      </w:r>
    </w:p>
    <w:p>
      <w:pPr>
        <w:shd w:fill="F5F5F5" w:val="clear"/>
        <w:spacing w:after="100"/>
      </w:pPr>
      <w:r>
        <w:rPr>
          <w:rFonts w:ascii="Courier New" w:cs="Courier New" w:eastAsia="Courier New" w:hAnsi="Courier New"/>
          <w:sz w:val="20"/>
          <w:szCs w:val="20"/>
        </w:rPr>
        <w:t xml:space="preserve">gen = ParadigmGenerator(loader)</w:t>
      </w:r>
    </w:p>
    <w:p>
      <w:pPr>
        <w:shd w:fill="F5F5F5" w:val="clear"/>
        <w:spacing w:after="100"/>
      </w:pPr>
      <w:r>
        <w:rPr>
          <w:rFonts w:ascii="Courier New" w:cs="Courier New" w:eastAsia="Courier New" w:hAnsi="Courier New"/>
          <w:sz w:val="20"/>
          <w:szCs w:val="20"/>
        </w:rPr>
        <w:t xml:space="preserve">table = gen.generate_verb_paradigm('bon')  # 'see' verb</w:t>
      </w:r>
    </w:p>
    <w:p>
      <w:pPr>
        <w:shd w:fill="F5F5F5" w:val="clear"/>
        <w:spacing w:after="100"/>
      </w:pPr>
      <w:r>
        <w:rPr>
          <w:rFonts w:ascii="Courier New" w:cs="Courier New" w:eastAsia="Courier New" w:hAnsi="Courier New"/>
          <w:sz w:val="20"/>
          <w:szCs w:val="20"/>
        </w:rPr>
        <w:t xml:space="preserve"/>
      </w:r>
    </w:p>
    <w:p>
      <w:pPr>
        <w:shd w:fill="F5F5F5" w:val="clear"/>
        <w:spacing w:after="100"/>
      </w:pPr>
      <w:r>
        <w:rPr>
          <w:rFonts w:ascii="Courier New" w:cs="Courier New" w:eastAsia="Courier New" w:hAnsi="Courier New"/>
          <w:sz w:val="20"/>
          <w:szCs w:val="20"/>
        </w:rPr>
        <w:t xml:space="preserve"># Export to Markdown for handouts</w:t>
      </w:r>
    </w:p>
    <w:p>
      <w:pPr>
        <w:shd w:fill="F5F5F5" w:val="clear"/>
        <w:spacing w:after="100"/>
      </w:pPr>
      <w:r>
        <w:rPr>
          <w:rFonts w:ascii="Courier New" w:cs="Courier New" w:eastAsia="Courier New" w:hAnsi="Courier New"/>
          <w:sz w:val="20"/>
          <w:szCs w:val="20"/>
        </w:rPr>
        <w:t xml:space="preserve">markdown_table = gen.to_markdown(table)</w:t>
      </w:r>
    </w:p>
    <w:p>
      <w:pPr>
        <w:shd w:fill="F5F5F5" w:val="clear"/>
        <w:spacing w:after="100"/>
      </w:pPr>
      <w:r>
        <w:rPr>
          <w:rFonts w:ascii="Courier New" w:cs="Courier New" w:eastAsia="Courier New" w:hAnsi="Courier New"/>
          <w:sz w:val="20"/>
          <w:szCs w:val="20"/>
        </w:rPr>
        <w:t xml:space="preserve">print(markdown_table)</w:t>
      </w:r>
    </w:p>
    <w:p>
      <w:pPr>
        <w:pStyle w:val="Heading2"/>
        <w:spacing w:after="150" w:before="300"/>
      </w:pPr>
      <w:r>
        <w:rPr>
          <w:rFonts w:ascii="Times New Roman" w:cs="Times New Roman" w:eastAsia="Times New Roman" w:hAnsi="Times New Roman"/>
          <w:b/>
          <w:bCs/>
          <w:color w:val="2D3748"/>
          <w:sz w:val="28"/>
          <w:szCs w:val="28"/>
        </w:rPr>
        <w:t xml:space="preserve">4.2 Morphological Analysis for Student Exercises</w:t>
      </w:r>
    </w:p>
    <w:p>
      <w:pPr>
        <w:spacing w:after="200" w:line="312"/>
        <w:jc w:val="both"/>
      </w:pPr>
      <w:r>
        <w:rPr>
          <w:rFonts w:ascii="Times New Roman" w:cs="Times New Roman" w:eastAsia="Times New Roman" w:hAnsi="Times New Roman"/>
          <w:sz w:val="24"/>
          <w:szCs w:val="24"/>
        </w:rPr>
        <w:t xml:space="preserve">The MorphologicalAnalyzer tool enables teachers to analyze word forms and produce detailed morpheme breakdowns. This capability supports the creation of exercises focused on word structure, helping students understand how complex words are built from simpler components.</w:t>
      </w:r>
    </w:p>
    <w:p>
      <w:pPr>
        <w:spacing w:after="200" w:line="312"/>
        <w:jc w:val="both"/>
      </w:pPr>
      <w:r>
        <w:rPr>
          <w:rFonts w:ascii="Times New Roman" w:cs="Times New Roman" w:eastAsia="Times New Roman" w:hAnsi="Times New Roman"/>
          <w:b/>
          <w:bCs/>
          <w:sz w:val="24"/>
          <w:szCs w:val="24"/>
        </w:rPr>
        <w:t xml:space="preserve">Key features of the MorphologicalAnalyzer include:</w:t>
      </w:r>
    </w:p>
    <w:p>
      <w:pPr>
        <w:pStyle w:val="ListParagraph"/>
        <w:numPr>
          <w:ilvl w:val="0"/>
          <w:numId w:val="3"/>
        </w:numPr>
        <w:spacing w:after="100" w:line="312"/>
      </w:pPr>
      <w:r>
        <w:rPr>
          <w:rFonts w:ascii="Times New Roman" w:cs="Times New Roman" w:eastAsia="Times New Roman" w:hAnsi="Times New Roman"/>
          <w:sz w:val="24"/>
          <w:szCs w:val="24"/>
        </w:rPr>
        <w:t xml:space="preserve">Automatic morpheme segmentation breaking words into constituent parts</w:t>
      </w:r>
    </w:p>
    <w:p>
      <w:pPr>
        <w:pStyle w:val="ListParagraph"/>
        <w:numPr>
          <w:ilvl w:val="0"/>
          <w:numId w:val="3"/>
        </w:numPr>
        <w:spacing w:after="100" w:line="312"/>
      </w:pPr>
      <w:r>
        <w:rPr>
          <w:rFonts w:ascii="Times New Roman" w:cs="Times New Roman" w:eastAsia="Times New Roman" w:hAnsi="Times New Roman"/>
          <w:sz w:val="24"/>
          <w:szCs w:val="24"/>
        </w:rPr>
        <w:t xml:space="preserve">Gloss generation following Leipzig Glossing Rules conventions</w:t>
      </w:r>
    </w:p>
    <w:p>
      <w:pPr>
        <w:pStyle w:val="ListParagraph"/>
        <w:numPr>
          <w:ilvl w:val="0"/>
          <w:numId w:val="3"/>
        </w:numPr>
        <w:spacing w:after="100" w:line="312"/>
      </w:pPr>
      <w:r>
        <w:rPr>
          <w:rFonts w:ascii="Times New Roman" w:cs="Times New Roman" w:eastAsia="Times New Roman" w:hAnsi="Times New Roman"/>
          <w:sz w:val="24"/>
          <w:szCs w:val="24"/>
        </w:rPr>
        <w:t xml:space="preserve">Confidence scoring indicating the reliability of analyses</w:t>
      </w:r>
    </w:p>
    <w:p>
      <w:pPr>
        <w:pStyle w:val="ListParagraph"/>
        <w:numPr>
          <w:ilvl w:val="0"/>
          <w:numId w:val="3"/>
        </w:numPr>
        <w:spacing w:after="100" w:line="312"/>
      </w:pPr>
      <w:r>
        <w:rPr>
          <w:rFonts w:ascii="Times New Roman" w:cs="Times New Roman" w:eastAsia="Times New Roman" w:hAnsi="Times New Roman"/>
          <w:sz w:val="24"/>
          <w:szCs w:val="24"/>
        </w:rPr>
        <w:t xml:space="preserve">Handling of ambiguous forms with multiple parse hypotheses</w:t>
      </w:r>
    </w:p>
    <w:p>
      <w:pPr>
        <w:pStyle w:val="ListParagraph"/>
        <w:numPr>
          <w:ilvl w:val="0"/>
          <w:numId w:val="3"/>
        </w:numPr>
        <w:spacing w:after="100" w:line="312"/>
      </w:pPr>
      <w:r>
        <w:rPr>
          <w:rFonts w:ascii="Times New Roman" w:cs="Times New Roman" w:eastAsia="Times New Roman" w:hAnsi="Times New Roman"/>
          <w:sz w:val="24"/>
          <w:szCs w:val="24"/>
        </w:rPr>
        <w:t xml:space="preserve">Surface form generation from feature specifications</w:t>
      </w:r>
    </w:p>
    <w:p>
      <w:pPr>
        <w:pStyle w:val="Heading2"/>
        <w:spacing w:after="150" w:before="300"/>
      </w:pPr>
      <w:r>
        <w:rPr>
          <w:rFonts w:ascii="Times New Roman" w:cs="Times New Roman" w:eastAsia="Times New Roman" w:hAnsi="Times New Roman"/>
          <w:b/>
          <w:bCs/>
          <w:color w:val="2D3748"/>
          <w:sz w:val="28"/>
          <w:szCs w:val="28"/>
        </w:rPr>
        <w:t xml:space="preserve">4.3 Generating Interlinear Glossed Text</w:t>
      </w:r>
    </w:p>
    <w:p>
      <w:pPr>
        <w:spacing w:after="200" w:line="312"/>
        <w:jc w:val="both"/>
      </w:pPr>
      <w:r>
        <w:rPr>
          <w:rFonts w:ascii="Times New Roman" w:cs="Times New Roman" w:eastAsia="Times New Roman" w:hAnsi="Times New Roman"/>
          <w:sz w:val="24"/>
          <w:szCs w:val="24"/>
        </w:rPr>
        <w:t xml:space="preserve">Interlinear glossed text (IGT) is a standard format for presenting linguistic data, showing the original text, morpheme-by-morpheme analysis, and translation in aligned lines. The MorphologicalAnalyzer can generate IGT automatically from input words or sentences.</w:t>
      </w:r>
    </w:p>
    <w:p>
      <w:pPr>
        <w:spacing w:after="200" w:line="312"/>
        <w:jc w:val="both"/>
      </w:pPr>
      <w:r>
        <w:rPr>
          <w:rFonts w:ascii="Times New Roman" w:cs="Times New Roman" w:eastAsia="Times New Roman" w:hAnsi="Times New Roman"/>
          <w:b/>
          <w:bCs/>
          <w:sz w:val="24"/>
          <w:szCs w:val="24"/>
        </w:rPr>
        <w:t xml:space="preserve">Example IGT output from GGT:</w:t>
      </w:r>
    </w:p>
    <w:p>
      <w:pPr>
        <w:shd w:fill="F5F5F5" w:val="clear"/>
        <w:spacing w:after="100"/>
      </w:pPr>
      <w:r>
        <w:rPr>
          <w:rFonts w:ascii="Courier New" w:cs="Courier New" w:eastAsia="Courier New" w:hAnsi="Courier New"/>
          <w:sz w:val="20"/>
          <w:szCs w:val="20"/>
        </w:rPr>
        <w:t xml:space="preserve">igt = analyzer.generate_interlinear('cilya')</w:t>
      </w:r>
    </w:p>
    <w:p>
      <w:pPr>
        <w:shd w:fill="F5F5F5" w:val="clear"/>
        <w:spacing w:after="100"/>
      </w:pPr>
      <w:r>
        <w:rPr>
          <w:rFonts w:ascii="Courier New" w:cs="Courier New" w:eastAsia="Courier New" w:hAnsi="Courier New"/>
          <w:sz w:val="20"/>
          <w:szCs w:val="20"/>
        </w:rPr>
        <w:t xml:space="preserve">print(igt)</w:t>
      </w:r>
    </w:p>
    <w:p>
      <w:pPr>
        <w:shd w:fill="F5F5F5" w:val="clear"/>
        <w:spacing w:after="100"/>
      </w:pPr>
      <w:r>
        <w:rPr>
          <w:rFonts w:ascii="Courier New" w:cs="Courier New" w:eastAsia="Courier New" w:hAnsi="Courier New"/>
          <w:sz w:val="20"/>
          <w:szCs w:val="20"/>
        </w:rPr>
        <w:t xml:space="preserve"># Output:</w:t>
      </w:r>
    </w:p>
    <w:p>
      <w:pPr>
        <w:shd w:fill="F5F5F5" w:val="clear"/>
        <w:spacing w:after="100"/>
      </w:pPr>
      <w:r>
        <w:rPr>
          <w:rFonts w:ascii="Courier New" w:cs="Courier New" w:eastAsia="Courier New" w:hAnsi="Courier New"/>
          <w:sz w:val="20"/>
          <w:szCs w:val="20"/>
        </w:rPr>
        <w:t xml:space="preserve"># ci-ly-a</w:t>
      </w:r>
    </w:p>
    <w:p>
      <w:pPr>
        <w:shd w:fill="F5F5F5" w:val="clear"/>
        <w:spacing w:after="100"/>
      </w:pPr>
      <w:r>
        <w:rPr>
          <w:rFonts w:ascii="Courier New" w:cs="Courier New" w:eastAsia="Courier New" w:hAnsi="Courier New"/>
          <w:sz w:val="20"/>
          <w:szCs w:val="20"/>
        </w:rPr>
        <w:t xml:space="preserve"># NC7.SUBJ-ly-FV</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5: Classroom Activities and Exercises</w:t>
      </w:r>
    </w:p>
    <w:p>
      <w:pPr>
        <w:pStyle w:val="Heading2"/>
        <w:spacing w:after="150" w:before="300"/>
      </w:pPr>
      <w:r>
        <w:rPr>
          <w:rFonts w:ascii="Times New Roman" w:cs="Times New Roman" w:eastAsia="Times New Roman" w:hAnsi="Times New Roman"/>
          <w:b/>
          <w:bCs/>
          <w:color w:val="2D3748"/>
          <w:sz w:val="28"/>
          <w:szCs w:val="28"/>
        </w:rPr>
        <w:t xml:space="preserve">5.1 Noun Class Identification Activities</w:t>
      </w:r>
    </w:p>
    <w:p>
      <w:pPr>
        <w:spacing w:after="200" w:line="312"/>
        <w:jc w:val="both"/>
      </w:pPr>
      <w:r>
        <w:rPr>
          <w:rFonts w:ascii="Times New Roman" w:cs="Times New Roman" w:eastAsia="Times New Roman" w:hAnsi="Times New Roman"/>
          <w:sz w:val="24"/>
          <w:szCs w:val="24"/>
        </w:rPr>
        <w:t xml:space="preserve">Helping students master noun class identification is foundational to Bantu language learning. The following activities use GGT-generated materials to create engaging exercises that develop students' ability to recognize and apply noun class patterns.</w:t>
      </w:r>
    </w:p>
    <w:p>
      <w:pPr>
        <w:spacing w:after="200" w:line="312"/>
        <w:jc w:val="both"/>
      </w:pPr>
      <w:r>
        <w:rPr>
          <w:rFonts w:ascii="Times New Roman" w:cs="Times New Roman" w:eastAsia="Times New Roman" w:hAnsi="Times New Roman"/>
          <w:b/>
          <w:bCs/>
          <w:sz w:val="24"/>
          <w:szCs w:val="24"/>
          <w:u w:val="single"/>
        </w:rPr>
        <w:t xml:space="preserve">Activity 1: Prefix Matching Exercise</w:t>
      </w:r>
    </w:p>
    <w:p>
      <w:pPr>
        <w:spacing w:after="200" w:line="312"/>
        <w:jc w:val="both"/>
      </w:pPr>
      <w:r>
        <w:rPr>
          <w:rFonts w:ascii="Times New Roman" w:cs="Times New Roman" w:eastAsia="Times New Roman" w:hAnsi="Times New Roman"/>
          <w:sz w:val="24"/>
          <w:szCs w:val="24"/>
        </w:rPr>
        <w:t xml:space="preserve">Generate a list of nouns from different noun classes using GGT's noun class data. Present students with a matching exercise where they pair nouns with their correct noun class identifiers. This activity reinforces the connection between prefix forms and class membership while building vocabulary.</w:t>
      </w:r>
    </w:p>
    <w:p>
      <w:pPr>
        <w:spacing w:after="200" w:line="312"/>
        <w:jc w:val="both"/>
      </w:pPr>
      <w:r>
        <w:rPr>
          <w:rFonts w:ascii="Times New Roman" w:cs="Times New Roman" w:eastAsia="Times New Roman" w:hAnsi="Times New Roman"/>
          <w:b/>
          <w:bCs/>
          <w:sz w:val="24"/>
          <w:szCs w:val="24"/>
          <w:u w:val="single"/>
        </w:rPr>
        <w:t xml:space="preserve">Activity 2: Concord Agreement Chains</w:t>
      </w:r>
    </w:p>
    <w:p>
      <w:pPr>
        <w:spacing w:after="200" w:line="312"/>
        <w:jc w:val="both"/>
      </w:pPr>
      <w:r>
        <w:rPr>
          <w:rFonts w:ascii="Times New Roman" w:cs="Times New Roman" w:eastAsia="Times New Roman" w:hAnsi="Times New Roman"/>
          <w:sz w:val="24"/>
          <w:szCs w:val="24"/>
        </w:rPr>
        <w:t xml:space="preserve">Using concord data from GGT, create chain exercises where students must supply the correct concord marker for each word in a sentence. Begin with subject concord, then progressively add object concord, possessive concord, and adjectival concord.</w:t>
      </w:r>
    </w:p>
    <w:p>
      <w:pPr>
        <w:pStyle w:val="Heading2"/>
        <w:spacing w:after="150" w:before="300"/>
      </w:pPr>
      <w:r>
        <w:rPr>
          <w:rFonts w:ascii="Times New Roman" w:cs="Times New Roman" w:eastAsia="Times New Roman" w:hAnsi="Times New Roman"/>
          <w:b/>
          <w:bCs/>
          <w:color w:val="2D3748"/>
          <w:sz w:val="28"/>
          <w:szCs w:val="28"/>
        </w:rPr>
        <w:t xml:space="preserve">5.2 Verb Conjugation Practice</w:t>
      </w:r>
    </w:p>
    <w:p>
      <w:pPr>
        <w:spacing w:after="200" w:line="312"/>
        <w:jc w:val="both"/>
      </w:pPr>
      <w:r>
        <w:rPr>
          <w:rFonts w:ascii="Times New Roman" w:cs="Times New Roman" w:eastAsia="Times New Roman" w:hAnsi="Times New Roman"/>
          <w:sz w:val="24"/>
          <w:szCs w:val="24"/>
        </w:rPr>
        <w:t xml:space="preserve">Verb conjugation exercises benefit significantly from GGT's paradigm generation capabilities. Teachers can generate targeted exercises focusing on specific TAM combinations, person-number combinations, or verb extension patterns.</w:t>
      </w:r>
    </w:p>
    <w:p>
      <w:pPr>
        <w:spacing w:after="200" w:line="312"/>
        <w:jc w:val="both"/>
      </w:pPr>
      <w:r>
        <w:rPr>
          <w:rFonts w:ascii="Times New Roman" w:cs="Times New Roman" w:eastAsia="Times New Roman" w:hAnsi="Times New Roman"/>
          <w:b/>
          <w:bCs/>
          <w:sz w:val="24"/>
          <w:szCs w:val="24"/>
          <w:u w:val="single"/>
        </w:rPr>
        <w:t xml:space="preserve">Activity 3: Fill-in-the-Blank Paradigm Completion</w:t>
      </w:r>
    </w:p>
    <w:p>
      <w:pPr>
        <w:spacing w:after="200" w:line="312"/>
        <w:jc w:val="both"/>
      </w:pPr>
      <w:r>
        <w:rPr>
          <w:rFonts w:ascii="Times New Roman" w:cs="Times New Roman" w:eastAsia="Times New Roman" w:hAnsi="Times New Roman"/>
          <w:sz w:val="24"/>
          <w:szCs w:val="24"/>
        </w:rPr>
        <w:t xml:space="preserve">Generate a complete verb paradigm using GGT, then selectively remove cells to create a fill-in-the-blank exercise. Students must use their understanding of the verb template and TAM system to supply missing forms.</w:t>
      </w:r>
    </w:p>
    <w:p>
      <w:pPr>
        <w:spacing w:after="200" w:line="312"/>
        <w:jc w:val="both"/>
      </w:pPr>
      <w:r>
        <w:rPr>
          <w:rFonts w:ascii="Times New Roman" w:cs="Times New Roman" w:eastAsia="Times New Roman" w:hAnsi="Times New Roman"/>
          <w:b/>
          <w:bCs/>
          <w:sz w:val="24"/>
          <w:szCs w:val="24"/>
          <w:u w:val="single"/>
        </w:rPr>
        <w:t xml:space="preserve">Activity 4: Extension Transformation Exercise</w:t>
      </w:r>
    </w:p>
    <w:p>
      <w:pPr>
        <w:spacing w:after="200" w:line="312"/>
        <w:jc w:val="both"/>
      </w:pPr>
      <w:r>
        <w:rPr>
          <w:rFonts w:ascii="Times New Roman" w:cs="Times New Roman" w:eastAsia="Times New Roman" w:hAnsi="Times New Roman"/>
          <w:sz w:val="24"/>
          <w:szCs w:val="24"/>
        </w:rPr>
        <w:t xml:space="preserve">Present students with base verb forms and ask them to generate forms with specific extensions (applicative, causative, passive). Use GGT to generate correct answers for verification.</w:t>
      </w:r>
    </w:p>
    <w:p>
      <w:pPr>
        <w:pStyle w:val="Heading2"/>
        <w:spacing w:after="150" w:before="300"/>
      </w:pPr>
      <w:r>
        <w:rPr>
          <w:rFonts w:ascii="Times New Roman" w:cs="Times New Roman" w:eastAsia="Times New Roman" w:hAnsi="Times New Roman"/>
          <w:b/>
          <w:bCs/>
          <w:color w:val="2D3748"/>
          <w:sz w:val="28"/>
          <w:szCs w:val="28"/>
        </w:rPr>
        <w:t xml:space="preserve">5.3 Morpheme Analysis Activities</w:t>
      </w:r>
    </w:p>
    <w:p>
      <w:pPr>
        <w:spacing w:after="200" w:line="312"/>
        <w:jc w:val="both"/>
      </w:pPr>
      <w:r>
        <w:rPr>
          <w:rFonts w:ascii="Times New Roman" w:cs="Times New Roman" w:eastAsia="Times New Roman" w:hAnsi="Times New Roman"/>
          <w:sz w:val="24"/>
          <w:szCs w:val="24"/>
        </w:rPr>
        <w:t xml:space="preserve">Morpheme analysis develops students' ability to recognize the internal structure of words, supporting both reading comprehension and productive language use.</w:t>
      </w:r>
    </w:p>
    <w:p>
      <w:pPr>
        <w:spacing w:after="200" w:line="312"/>
        <w:jc w:val="both"/>
      </w:pPr>
      <w:r>
        <w:rPr>
          <w:rFonts w:ascii="Times New Roman" w:cs="Times New Roman" w:eastAsia="Times New Roman" w:hAnsi="Times New Roman"/>
          <w:b/>
          <w:bCs/>
          <w:sz w:val="24"/>
          <w:szCs w:val="24"/>
          <w:u w:val="single"/>
        </w:rPr>
        <w:t xml:space="preserve">Activity 5: Word Dissection Exercise</w:t>
      </w:r>
    </w:p>
    <w:p>
      <w:pPr>
        <w:spacing w:after="200" w:line="312"/>
        <w:jc w:val="both"/>
      </w:pPr>
      <w:r>
        <w:rPr>
          <w:rFonts w:ascii="Times New Roman" w:cs="Times New Roman" w:eastAsia="Times New Roman" w:hAnsi="Times New Roman"/>
          <w:sz w:val="24"/>
          <w:szCs w:val="24"/>
        </w:rPr>
        <w:t xml:space="preserve">Present students with complex verb forms and ask them to identify each morpheme, its grammatical function, and its slot position in the verb template. Use GGT's analyze() function to generate correct analyses for answer keys.</w:t>
      </w:r>
    </w:p>
    <w:p>
      <w:pPr>
        <w:spacing w:after="200" w:line="312"/>
        <w:jc w:val="both"/>
      </w:pPr>
      <w:r>
        <w:rPr>
          <w:rFonts w:ascii="Times New Roman" w:cs="Times New Roman" w:eastAsia="Times New Roman" w:hAnsi="Times New Roman"/>
          <w:b/>
          <w:bCs/>
          <w:sz w:val="24"/>
          <w:szCs w:val="24"/>
          <w:u w:val="single"/>
        </w:rPr>
        <w:t xml:space="preserve">Activity 6: Gloss Translation Pairs</w:t>
      </w:r>
    </w:p>
    <w:p>
      <w:pPr>
        <w:spacing w:after="200" w:line="312"/>
        <w:jc w:val="both"/>
      </w:pPr>
      <w:r>
        <w:rPr>
          <w:rFonts w:ascii="Times New Roman" w:cs="Times New Roman" w:eastAsia="Times New Roman" w:hAnsi="Times New Roman"/>
          <w:sz w:val="24"/>
          <w:szCs w:val="24"/>
        </w:rPr>
        <w:t xml:space="preserve">Provide students with interlinear glossed text from GGT and ask them to produce the original surface form, or vice versa. This bidirectional activity tests both analysis and production skills.</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6: Assessment Strategies</w:t>
      </w:r>
    </w:p>
    <w:p>
      <w:pPr>
        <w:pStyle w:val="Heading2"/>
        <w:spacing w:after="150" w:before="300"/>
      </w:pPr>
      <w:r>
        <w:rPr>
          <w:rFonts w:ascii="Times New Roman" w:cs="Times New Roman" w:eastAsia="Times New Roman" w:hAnsi="Times New Roman"/>
          <w:b/>
          <w:bCs/>
          <w:color w:val="2D3748"/>
          <w:sz w:val="28"/>
          <w:szCs w:val="28"/>
        </w:rPr>
        <w:t xml:space="preserve">6.1 Designing Grammar Assessments with GGT</w:t>
      </w:r>
    </w:p>
    <w:p>
      <w:pPr>
        <w:spacing w:after="200" w:line="312"/>
        <w:jc w:val="both"/>
      </w:pPr>
      <w:r>
        <w:rPr>
          <w:rFonts w:ascii="Times New Roman" w:cs="Times New Roman" w:eastAsia="Times New Roman" w:hAnsi="Times New Roman"/>
          <w:sz w:val="24"/>
          <w:szCs w:val="24"/>
        </w:rPr>
        <w:t xml:space="preserve">The Gobelo Grammar Toolkit provides valuable support for creating valid and reliable grammar assessments. Teachers can generate multiple versions of paradigm tables, create fresh exercise items quickly, and ensure that assessment materials accurately represent the language's grammatical system.</w:t>
      </w:r>
    </w:p>
    <w:p>
      <w:pPr>
        <w:pStyle w:val="Heading2"/>
        <w:spacing w:after="150" w:before="300"/>
      </w:pPr>
      <w:r>
        <w:rPr>
          <w:rFonts w:ascii="Times New Roman" w:cs="Times New Roman" w:eastAsia="Times New Roman" w:hAnsi="Times New Roman"/>
          <w:b/>
          <w:bCs/>
          <w:color w:val="2D3748"/>
          <w:sz w:val="28"/>
          <w:szCs w:val="28"/>
        </w:rPr>
        <w:t xml:space="preserve">6.2 Formative Assessment Techniques</w:t>
      </w:r>
    </w:p>
    <w:p>
      <w:pPr>
        <w:spacing w:after="200" w:line="312"/>
        <w:jc w:val="both"/>
      </w:pPr>
      <w:r>
        <w:rPr>
          <w:rFonts w:ascii="Times New Roman" w:cs="Times New Roman" w:eastAsia="Times New Roman" w:hAnsi="Times New Roman"/>
          <w:sz w:val="24"/>
          <w:szCs w:val="24"/>
        </w:rPr>
        <w:t xml:space="preserve">Formative assessment benefits from GGT's ability to quickly generate practice materials with known correct answers. Teachers can use the toolkit to create instant feedback exercises.</w:t>
      </w:r>
    </w:p>
    <w:p>
      <w:pPr>
        <w:pStyle w:val="ListParagraph"/>
        <w:numPr>
          <w:ilvl w:val="0"/>
          <w:numId w:val="3"/>
        </w:numPr>
        <w:spacing w:after="100" w:line="312"/>
      </w:pPr>
      <w:r>
        <w:rPr>
          <w:rFonts w:ascii="Times New Roman" w:cs="Times New Roman" w:eastAsia="Times New Roman" w:hAnsi="Times New Roman"/>
          <w:sz w:val="24"/>
          <w:szCs w:val="24"/>
        </w:rPr>
        <w:t xml:space="preserve">Quick Paradigm Checks: Ask students to produce specific paradigm cells, then verify against GGT-generated tables</w:t>
      </w:r>
    </w:p>
    <w:p>
      <w:pPr>
        <w:pStyle w:val="ListParagraph"/>
        <w:numPr>
          <w:ilvl w:val="0"/>
          <w:numId w:val="3"/>
        </w:numPr>
        <w:spacing w:after="100" w:line="312"/>
      </w:pPr>
      <w:r>
        <w:rPr>
          <w:rFonts w:ascii="Times New Roman" w:cs="Times New Roman" w:eastAsia="Times New Roman" w:hAnsi="Times New Roman"/>
          <w:sz w:val="24"/>
          <w:szCs w:val="24"/>
        </w:rPr>
        <w:t xml:space="preserve">Morpheme Identification Quizzes: Present words for segmentation and glossing, using analyzer output for answer keys</w:t>
      </w:r>
    </w:p>
    <w:p>
      <w:pPr>
        <w:pStyle w:val="ListParagraph"/>
        <w:numPr>
          <w:ilvl w:val="0"/>
          <w:numId w:val="3"/>
        </w:numPr>
        <w:spacing w:after="100" w:line="312"/>
      </w:pPr>
      <w:r>
        <w:rPr>
          <w:rFonts w:ascii="Times New Roman" w:cs="Times New Roman" w:eastAsia="Times New Roman" w:hAnsi="Times New Roman"/>
          <w:sz w:val="24"/>
          <w:szCs w:val="24"/>
        </w:rPr>
        <w:t xml:space="preserve">Extension Ordering Tasks: Ask students to identify correct and incorrect extension sequences</w:t>
      </w:r>
    </w:p>
    <w:p>
      <w:pPr>
        <w:pStyle w:val="ListParagraph"/>
        <w:numPr>
          <w:ilvl w:val="0"/>
          <w:numId w:val="3"/>
        </w:numPr>
        <w:spacing w:after="100" w:line="312"/>
      </w:pPr>
      <w:r>
        <w:rPr>
          <w:rFonts w:ascii="Times New Roman" w:cs="Times New Roman" w:eastAsia="Times New Roman" w:hAnsi="Times New Roman"/>
          <w:sz w:val="24"/>
          <w:szCs w:val="24"/>
        </w:rPr>
        <w:t xml:space="preserve">Concord Agreement Checks: Verify subject and object concord choices against concord tables</w:t>
      </w:r>
    </w:p>
    <w:p>
      <w:pPr>
        <w:pStyle w:val="Heading2"/>
        <w:spacing w:after="150" w:before="300"/>
      </w:pPr>
      <w:r>
        <w:rPr>
          <w:rFonts w:ascii="Times New Roman" w:cs="Times New Roman" w:eastAsia="Times New Roman" w:hAnsi="Times New Roman"/>
          <w:b/>
          <w:bCs/>
          <w:color w:val="2D3748"/>
          <w:sz w:val="28"/>
          <w:szCs w:val="28"/>
        </w:rPr>
        <w:t xml:space="preserve">6.3 Summative Assessment Design</w:t>
      </w:r>
    </w:p>
    <w:p>
      <w:pPr>
        <w:spacing w:after="200" w:line="312"/>
        <w:jc w:val="both"/>
      </w:pPr>
      <w:r>
        <w:rPr>
          <w:rFonts w:ascii="Times New Roman" w:cs="Times New Roman" w:eastAsia="Times New Roman" w:hAnsi="Times New Roman"/>
          <w:sz w:val="24"/>
          <w:szCs w:val="24"/>
        </w:rPr>
        <w:t xml:space="preserve">For summative assessments, GGT supports the creation of comprehensive test items that accurately represent grammatical knowledge. Teachers should ensure that assessments cover the range of structures documented in the toolkit.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200"/>
        <w:gridCol w:w="3200"/>
      </w:tblGrid>
      <w:tr>
        <w:trPr>
          <w:tblHeader/>
        </w:trPr>
        <w:tc>
          <w:tcPr>
            <w:tcW w:type="dxa" w:w="24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Skill Area</w:t>
            </w:r>
          </w:p>
        </w:tc>
        <w:tc>
          <w:tcPr>
            <w:tcW w:type="dxa" w:w="3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GGT Tool</w:t>
            </w:r>
          </w:p>
        </w:tc>
        <w:tc>
          <w:tcPr>
            <w:tcW w:type="dxa" w:w="32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Assessment Type</w:t>
            </w:r>
          </w:p>
        </w:tc>
      </w:tr>
      <w:tr>
        <w:trPr>
          <w:tblHeader w:val="false"/>
        </w:trPr>
        <w:tc>
          <w:tcPr>
            <w:tcW w:type="dxa" w:w="2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Noun Class Recognition</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get_noun_classes()</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Multiple choice, matching</w:t>
            </w:r>
          </w:p>
        </w:tc>
      </w:tr>
      <w:tr>
        <w:trPr>
          <w:tblHeader w:val="false"/>
        </w:trPr>
        <w:tc>
          <w:tcPr>
            <w:tcW w:type="dxa" w:w="2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Concord Agreement</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get_concords()</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Fill-in-the-blank, correction</w:t>
            </w:r>
          </w:p>
        </w:tc>
      </w:tr>
      <w:tr>
        <w:trPr>
          <w:tblHeader w:val="false"/>
        </w:trPr>
        <w:tc>
          <w:tcPr>
            <w:tcW w:type="dxa" w:w="2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Verb Conjugation</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ParadigmGenerator</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Paradigm completion, production</w:t>
            </w:r>
          </w:p>
        </w:tc>
      </w:tr>
      <w:tr>
        <w:trPr>
          <w:tblHeader w:val="false"/>
        </w:trPr>
        <w:tc>
          <w:tcPr>
            <w:tcW w:type="dxa" w:w="2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Morpheme Analysis</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MorphologicalAnalyzer</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Segmentation, glossing</w:t>
            </w:r>
          </w:p>
        </w:tc>
      </w:tr>
      <w:tr>
        <w:trPr>
          <w:tblHeader w:val="false"/>
        </w:trPr>
        <w:tc>
          <w:tcPr>
            <w:tcW w:type="dxa" w:w="2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Extension Usage</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VerbSlotValidator</w:t>
            </w:r>
          </w:p>
        </w:tc>
        <w:tc>
          <w:tcPr>
            <w:tcW w:type="dxa" w:w="32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Transformation, validation</w:t>
            </w:r>
          </w:p>
        </w:tc>
      </w:tr>
    </w:tbl>
    <w:p>
      <w:pPr>
        <w:spacing w:after="200" w:before="100"/>
        <w:jc w:val="center"/>
      </w:pPr>
      <w:r>
        <w:rPr>
          <w:i/>
          <w:iCs/>
          <w:sz w:val="20"/>
          <w:szCs w:val="20"/>
        </w:rPr>
        <w:t xml:space="preserve">Table 4: Assessment Design Matrix</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7: Advanced Features for Research and Curriculum Development</w:t>
      </w:r>
    </w:p>
    <w:p>
      <w:pPr>
        <w:pStyle w:val="Heading2"/>
        <w:spacing w:after="150" w:before="300"/>
      </w:pPr>
      <w:r>
        <w:rPr>
          <w:rFonts w:ascii="Times New Roman" w:cs="Times New Roman" w:eastAsia="Times New Roman" w:hAnsi="Times New Roman"/>
          <w:b/>
          <w:bCs/>
          <w:color w:val="2D3748"/>
          <w:sz w:val="28"/>
          <w:szCs w:val="28"/>
        </w:rPr>
        <w:t xml:space="preserve">7.1 Cross-Language Comparison</w:t>
      </w:r>
    </w:p>
    <w:p>
      <w:pPr>
        <w:spacing w:after="200" w:line="312"/>
        <w:jc w:val="both"/>
      </w:pPr>
      <w:r>
        <w:rPr>
          <w:rFonts w:ascii="Times New Roman" w:cs="Times New Roman" w:eastAsia="Times New Roman" w:hAnsi="Times New Roman"/>
          <w:sz w:val="24"/>
          <w:szCs w:val="24"/>
        </w:rPr>
        <w:t xml:space="preserve">The FeatureComparator tool enables teachers and researchers to compare grammatical features across all seven supported languages. This capability is particularly valuable for developing comparative curricula, identifying transfer patterns for multilingual learners, and conducting typological research.</w:t>
      </w:r>
    </w:p>
    <w:p>
      <w:pPr>
        <w:spacing w:after="200" w:line="312"/>
        <w:jc w:val="both"/>
      </w:pPr>
      <w:r>
        <w:rPr>
          <w:rFonts w:ascii="Times New Roman" w:cs="Times New Roman" w:eastAsia="Times New Roman" w:hAnsi="Times New Roman"/>
          <w:sz w:val="24"/>
          <w:szCs w:val="24"/>
        </w:rPr>
        <w:t xml:space="preserve">Teachers working with students who speak multiple Bantu languages can use cross-language comparison to highlight both shared patterns and language-specific features. This approach supports transfer-based learning strategies while ensuring that students recognize the unique characteristics of each language.</w:t>
      </w:r>
    </w:p>
    <w:p>
      <w:pPr>
        <w:pStyle w:val="Heading2"/>
        <w:spacing w:after="150" w:before="300"/>
      </w:pPr>
      <w:r>
        <w:rPr>
          <w:rFonts w:ascii="Times New Roman" w:cs="Times New Roman" w:eastAsia="Times New Roman" w:hAnsi="Times New Roman"/>
          <w:b/>
          <w:bCs/>
          <w:color w:val="2D3748"/>
          <w:sz w:val="28"/>
          <w:szCs w:val="28"/>
        </w:rPr>
        <w:t xml:space="preserve">7.2 Corpus Annotation for Advanced Classes</w:t>
      </w:r>
    </w:p>
    <w:p>
      <w:pPr>
        <w:spacing w:after="200" w:line="312"/>
        <w:jc w:val="both"/>
      </w:pPr>
      <w:r>
        <w:rPr>
          <w:rFonts w:ascii="Times New Roman" w:cs="Times New Roman" w:eastAsia="Times New Roman" w:hAnsi="Times New Roman"/>
          <w:sz w:val="24"/>
          <w:szCs w:val="24"/>
        </w:rPr>
        <w:t xml:space="preserve">The CorpusAnnotator tool provides a full pipeline for annotating text corpora with morphological and grammatical information. While primarily intended for research applications, corpus annotation can also serve pedagogical purposes in advanced language classes.</w:t>
      </w:r>
    </w:p>
    <w:p>
      <w:pPr>
        <w:spacing w:after="200" w:line="312"/>
        <w:jc w:val="both"/>
      </w:pPr>
      <w:r>
        <w:rPr>
          <w:rFonts w:ascii="Times New Roman" w:cs="Times New Roman" w:eastAsia="Times New Roman" w:hAnsi="Times New Roman"/>
          <w:sz w:val="24"/>
          <w:szCs w:val="24"/>
        </w:rPr>
        <w:t xml:space="preserve">The CoNLL-U output format produced by the annotator is compatible with various linguistic analysis tools, enabling integration with digital humanities approaches to language study. Teachers can create annotated corpora of literary texts, news articles, or conversational transcripts.</w:t>
      </w:r>
    </w:p>
    <w:p>
      <w:pPr>
        <w:pStyle w:val="Heading2"/>
        <w:spacing w:after="150" w:before="300"/>
      </w:pPr>
      <w:r>
        <w:rPr>
          <w:rFonts w:ascii="Times New Roman" w:cs="Times New Roman" w:eastAsia="Times New Roman" w:hAnsi="Times New Roman"/>
          <w:b/>
          <w:bCs/>
          <w:color w:val="2D3748"/>
          <w:sz w:val="28"/>
          <w:szCs w:val="28"/>
        </w:rPr>
        <w:t xml:space="preserve">7.3 Universal Dependencies Integration</w:t>
      </w:r>
    </w:p>
    <w:p>
      <w:pPr>
        <w:spacing w:after="200" w:line="312"/>
        <w:jc w:val="both"/>
      </w:pPr>
      <w:r>
        <w:rPr>
          <w:rFonts w:ascii="Times New Roman" w:cs="Times New Roman" w:eastAsia="Times New Roman" w:hAnsi="Times New Roman"/>
          <w:sz w:val="24"/>
          <w:szCs w:val="24"/>
        </w:rPr>
        <w:t xml:space="preserve">The UDFeatureMapper bridges GGT's language-specific grammatical categories with the Universal Dependencies framework, an international standard for morphosyntactic annotation. This integration makes GGT-generated materials compatible with global linguistic resources.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2000"/>
        <w:gridCol w:w="2000"/>
        <w:gridCol w:w="2000"/>
      </w:tblGrid>
      <w:tr>
        <w:trPr>
          <w:tblHeader/>
        </w:trPr>
        <w:tc>
          <w:tcPr>
            <w:tcW w:type="dxa" w:w="28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GGT Value</w:t>
            </w:r>
          </w:p>
        </w:tc>
        <w:tc>
          <w:tcPr>
            <w:tcW w:type="dxa" w:w="20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UD Tense</w:t>
            </w:r>
          </w:p>
        </w:tc>
        <w:tc>
          <w:tcPr>
            <w:tcW w:type="dxa" w:w="20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UD Aspect</w:t>
            </w:r>
          </w:p>
        </w:tc>
        <w:tc>
          <w:tcPr>
            <w:tcW w:type="dxa" w:w="20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UD Mood</w:t>
            </w:r>
          </w:p>
        </w:tc>
      </w:tr>
      <w:tr>
        <w:trPr>
          <w:tblHeader w:val="false"/>
        </w:trPr>
        <w:tc>
          <w:tcPr>
            <w:tcW w:type="dxa" w:w="2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present / imperfective</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Pres</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Imp</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w:t>
            </w:r>
          </w:p>
        </w:tc>
      </w:tr>
      <w:tr>
        <w:trPr>
          <w:tblHeader w:val="false"/>
        </w:trPr>
        <w:tc>
          <w:tcPr>
            <w:tcW w:type="dxa" w:w="2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immediate_past</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Past</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Perf</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w:t>
            </w:r>
          </w:p>
        </w:tc>
      </w:tr>
      <w:tr>
        <w:trPr>
          <w:tblHeader w:val="false"/>
        </w:trPr>
        <w:tc>
          <w:tcPr>
            <w:tcW w:type="dxa" w:w="2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remote_past</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Past</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Perf</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w:t>
            </w:r>
          </w:p>
        </w:tc>
      </w:tr>
      <w:tr>
        <w:trPr>
          <w:tblHeader w:val="false"/>
        </w:trPr>
        <w:tc>
          <w:tcPr>
            <w:tcW w:type="dxa" w:w="2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immediate_future</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Fut</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w:t>
            </w:r>
          </w:p>
        </w:tc>
      </w:tr>
      <w:tr>
        <w:trPr>
          <w:tblHeader w:val="false"/>
        </w:trPr>
        <w:tc>
          <w:tcPr>
            <w:tcW w:type="dxa" w:w="2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remote_future</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Fut</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w:t>
            </w:r>
          </w:p>
        </w:tc>
      </w:tr>
      <w:tr>
        <w:trPr>
          <w:tblHeader w:val="false"/>
        </w:trPr>
        <w:tc>
          <w:tcPr>
            <w:tcW w:type="dxa" w:w="28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habitual</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Pres</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Hab</w:t>
            </w:r>
          </w:p>
        </w:tc>
        <w:tc>
          <w:tcPr>
            <w:tcW w:type="dxa" w:w="2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Ind</w:t>
            </w:r>
          </w:p>
        </w:tc>
      </w:tr>
    </w:tbl>
    <w:p>
      <w:pPr>
        <w:spacing w:after="200" w:before="100"/>
        <w:jc w:val="center"/>
      </w:pPr>
      <w:r>
        <w:rPr>
          <w:i/>
          <w:iCs/>
          <w:sz w:val="20"/>
          <w:szCs w:val="20"/>
        </w:rPr>
        <w:t xml:space="preserve">Table 5: TAM to Universal Dependencies Mapping</w:t>
      </w:r>
    </w:p>
    <w:p>
      <w:r>
        <w:br w:type="page"/>
      </w:r>
    </w:p>
    <w:p>
      <w:pPr>
        <w:pStyle w:val="Heading1"/>
        <w:spacing w:after="200" w:before="400"/>
      </w:pPr>
      <w:r>
        <w:rPr>
          <w:rFonts w:ascii="Times New Roman" w:cs="Times New Roman" w:eastAsia="Times New Roman" w:hAnsi="Times New Roman"/>
          <w:b/>
          <w:bCs/>
          <w:color w:val="1A365D"/>
          <w:sz w:val="36"/>
          <w:szCs w:val="36"/>
        </w:rPr>
        <w:t xml:space="preserve">Chapter 8: Troubleshooting and Support</w:t>
      </w:r>
    </w:p>
    <w:p>
      <w:pPr>
        <w:pStyle w:val="Heading2"/>
        <w:spacing w:after="150" w:before="300"/>
      </w:pPr>
      <w:r>
        <w:rPr>
          <w:rFonts w:ascii="Times New Roman" w:cs="Times New Roman" w:eastAsia="Times New Roman" w:hAnsi="Times New Roman"/>
          <w:b/>
          <w:bCs/>
          <w:color w:val="2D3748"/>
          <w:sz w:val="28"/>
          <w:szCs w:val="28"/>
        </w:rPr>
        <w:t xml:space="preserve">8.1 Common Issues and Solutions</w:t>
      </w:r>
    </w:p>
    <w:p>
      <w:pPr>
        <w:spacing w:after="200" w:line="312"/>
        <w:jc w:val="both"/>
      </w:pPr>
      <w:r>
        <w:rPr>
          <w:rFonts w:ascii="Times New Roman" w:cs="Times New Roman" w:eastAsia="Times New Roman" w:hAnsi="Times New Roman"/>
          <w:sz w:val="24"/>
          <w:szCs w:val="24"/>
        </w:rPr>
        <w:t xml:space="preserve">Teachers using GGT may encounter various issues related to installation, configuration, or data access. This section addresses the most common problems and provides practical solutions.</w:t>
      </w:r>
    </w:p>
    <w:p>
      <w:pPr>
        <w:pStyle w:val="ListParagraph"/>
        <w:numPr>
          <w:ilvl w:val="0"/>
          <w:numId w:val="3"/>
        </w:numPr>
        <w:spacing w:after="100" w:line="312"/>
      </w:pPr>
      <w:r>
        <w:rPr>
          <w:rFonts w:ascii="Times New Roman" w:cs="Times New Roman" w:eastAsia="Times New Roman" w:hAnsi="Times New Roman"/>
          <w:sz w:val="24"/>
          <w:szCs w:val="24"/>
        </w:rPr>
        <w:t xml:space="preserve">LanguageNotFoundError: The specified language identifier is not in the registry. Check spelling against the list of supported languages.</w:t>
      </w:r>
    </w:p>
    <w:p>
      <w:pPr>
        <w:pStyle w:val="ListParagraph"/>
        <w:numPr>
          <w:ilvl w:val="0"/>
          <w:numId w:val="3"/>
        </w:numPr>
        <w:spacing w:after="100" w:line="312"/>
      </w:pPr>
      <w:r>
        <w:rPr>
          <w:rFonts w:ascii="Times New Roman" w:cs="Times New Roman" w:eastAsia="Times New Roman" w:hAnsi="Times New Roman"/>
          <w:sz w:val="24"/>
          <w:szCs w:val="24"/>
        </w:rPr>
        <w:t xml:space="preserve">NounClassNotFoundError: A requested noun class ID does not exist in the grammar. Verify the class identifier against available classes.</w:t>
      </w:r>
    </w:p>
    <w:p>
      <w:pPr>
        <w:pStyle w:val="ListParagraph"/>
        <w:numPr>
          <w:ilvl w:val="0"/>
          <w:numId w:val="3"/>
        </w:numPr>
        <w:spacing w:after="100" w:line="312"/>
      </w:pPr>
      <w:r>
        <w:rPr>
          <w:rFonts w:ascii="Times New Roman" w:cs="Times New Roman" w:eastAsia="Times New Roman" w:hAnsi="Times New Roman"/>
          <w:sz w:val="24"/>
          <w:szCs w:val="24"/>
        </w:rPr>
        <w:t xml:space="preserve">UnverifiedFormError: In strict mode, VERIFY-flagged forms raise errors. Consider using non-strict mode for teaching purposes.</w:t>
      </w:r>
    </w:p>
    <w:p>
      <w:pPr>
        <w:pStyle w:val="ListParagraph"/>
        <w:numPr>
          <w:ilvl w:val="0"/>
          <w:numId w:val="3"/>
        </w:numPr>
        <w:spacing w:after="100" w:line="312"/>
      </w:pPr>
      <w:r>
        <w:rPr>
          <w:rFonts w:ascii="Times New Roman" w:cs="Times New Roman" w:eastAsia="Times New Roman" w:hAnsi="Times New Roman"/>
          <w:sz w:val="24"/>
          <w:szCs w:val="24"/>
        </w:rPr>
        <w:t xml:space="preserve">MorphAnalysisError: A word could not be analyzed. This may indicate an unknown word or an unusual form not yet documented.</w:t>
      </w:r>
    </w:p>
    <w:p>
      <w:pPr>
        <w:pStyle w:val="Heading2"/>
        <w:spacing w:after="150" w:before="300"/>
      </w:pPr>
      <w:r>
        <w:rPr>
          <w:rFonts w:ascii="Times New Roman" w:cs="Times New Roman" w:eastAsia="Times New Roman" w:hAnsi="Times New Roman"/>
          <w:b/>
          <w:bCs/>
          <w:color w:val="2D3748"/>
          <w:sz w:val="28"/>
          <w:szCs w:val="28"/>
        </w:rPr>
        <w:t xml:space="preserve">8.2 Getting Help and Contributing</w:t>
      </w:r>
    </w:p>
    <w:p>
      <w:pPr>
        <w:spacing w:after="200" w:line="312"/>
        <w:jc w:val="both"/>
      </w:pPr>
      <w:r>
        <w:rPr>
          <w:rFonts w:ascii="Times New Roman" w:cs="Times New Roman" w:eastAsia="Times New Roman" w:hAnsi="Times New Roman"/>
          <w:sz w:val="24"/>
          <w:szCs w:val="24"/>
        </w:rPr>
        <w:t xml:space="preserve">The Gobelo Grammar Toolkit is an open-source project that welcomes contributions from educators and researchers. Teachers who identify errors in the grammar data, suggest improvements to the tools, or develop new teaching applications are encouraged to participate in the project community.</w:t>
      </w:r>
    </w:p>
    <w:p>
      <w:r>
        <w:br w:type="page"/>
      </w:r>
    </w:p>
    <w:p>
      <w:pPr>
        <w:pStyle w:val="Heading1"/>
        <w:spacing w:after="200" w:before="400"/>
      </w:pPr>
      <w:r>
        <w:rPr>
          <w:rFonts w:ascii="Times New Roman" w:cs="Times New Roman" w:eastAsia="Times New Roman" w:hAnsi="Times New Roman"/>
          <w:b/>
          <w:bCs/>
          <w:color w:val="1A365D"/>
          <w:sz w:val="36"/>
          <w:szCs w:val="36"/>
        </w:rPr>
        <w:t xml:space="preserve">Appendix A: Quick Reference Guide</w:t>
      </w:r>
    </w:p>
    <w:p>
      <w:pPr>
        <w:pStyle w:val="Heading2"/>
        <w:spacing w:after="150" w:before="300"/>
      </w:pPr>
      <w:r>
        <w:rPr>
          <w:rFonts w:ascii="Times New Roman" w:cs="Times New Roman" w:eastAsia="Times New Roman" w:hAnsi="Times New Roman"/>
          <w:b/>
          <w:bCs/>
          <w:color w:val="2D3748"/>
          <w:sz w:val="28"/>
          <w:szCs w:val="28"/>
        </w:rPr>
        <w:t xml:space="preserve">Essential GGT Commands for Teachers</w:t>
      </w:r>
    </w:p>
    <w:p>
      <w:pPr>
        <w:spacing w:after="200" w:line="312"/>
        <w:jc w:val="both"/>
      </w:pPr>
      <w:r>
        <w:rPr>
          <w:rFonts w:ascii="Times New Roman" w:cs="Times New Roman" w:eastAsia="Times New Roman" w:hAnsi="Times New Roman"/>
          <w:sz w:val="24"/>
          <w:szCs w:val="24"/>
        </w:rPr>
        <w:t xml:space="preserve">This quick reference summarizes the most commonly used GGT functions for teaching purposes. Keep this reference handy when preparing materials or during class when you need to quickly verify grammatical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5400"/>
      </w:tblGrid>
      <w:tr>
        <w:trPr>
          <w:tblHeader/>
        </w:trPr>
        <w:tc>
          <w:tcPr>
            <w:tcW w:type="dxa" w:w="30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Task</w:t>
            </w:r>
          </w:p>
        </w:tc>
        <w:tc>
          <w:tcPr>
            <w:tcW w:type="dxa" w:w="5400"/>
            <w:tcBorders>
              <w:top w:val="single" w:color="CBD5E0" w:sz="1"/>
              <w:left w:val="single" w:color="CBD5E0" w:sz="1"/>
              <w:bottom w:val="single" w:color="CBD5E0" w:sz="1"/>
              <w:right w:val="single" w:color="CBD5E0" w:sz="1"/>
            </w:tcBorders>
            <w:shd w:fill="EDF2F7" w:val="clear"/>
            <w:vAlign w:val="center"/>
          </w:tcPr>
          <w:p>
            <w:pPr>
              <w:jc w:val="center"/>
            </w:pPr>
            <w:r>
              <w:rPr>
                <w:rFonts w:ascii="Times New Roman" w:cs="Times New Roman" w:eastAsia="Times New Roman" w:hAnsi="Times New Roman"/>
                <w:b/>
                <w:bCs/>
                <w:sz w:val="20"/>
                <w:szCs w:val="20"/>
              </w:rPr>
              <w:t xml:space="preserve">GGT Command</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Initialize loader</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loader = GobeloGrammarLoader(config)</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List all noun classes</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loader.get_noun_classes()</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Get subject concords</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loader.get_subject_concords()</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Get TAM markers</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loader.get_tam_markers()</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Analyze a word</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analyzer.analyze('word')</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Generate paradigm</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gen.generate_verb_paradigm('root')</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Export to Markdown</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gen.to_markdown(table)</w:t>
            </w:r>
          </w:p>
        </w:tc>
      </w:tr>
      <w:tr>
        <w:trPr>
          <w:tblHeader w:val="false"/>
        </w:trPr>
        <w:tc>
          <w:tcPr>
            <w:tcW w:type="dxa" w:w="30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Validate verb structure</w:t>
            </w:r>
          </w:p>
        </w:tc>
        <w:tc>
          <w:tcPr>
            <w:tcW w:type="dxa" w:w="5400"/>
            <w:tcBorders>
              <w:top w:val="single" w:color="CBD5E0" w:sz="1"/>
              <w:left w:val="single" w:color="CBD5E0" w:sz="1"/>
              <w:bottom w:val="single" w:color="CBD5E0" w:sz="1"/>
              <w:right w:val="single" w:color="CBD5E0" w:sz="1"/>
            </w:tcBorders>
            <w:vAlign w:val="center"/>
          </w:tcPr>
          <w:p>
            <w:pPr>
              <w:jc w:val="center"/>
            </w:pPr>
            <w:r>
              <w:rPr>
                <w:rFonts w:ascii="Times New Roman" w:cs="Times New Roman" w:eastAsia="Times New Roman" w:hAnsi="Times New Roman"/>
                <w:b w:val="false"/>
                <w:bCs w:val="false"/>
                <w:sz w:val="20"/>
                <w:szCs w:val="20"/>
              </w:rPr>
              <w:t xml:space="preserve">validator.validate(token)</w:t>
            </w:r>
          </w:p>
        </w:tc>
      </w:tr>
    </w:tbl>
    <w:p>
      <w:pPr>
        <w:spacing w:after="200" w:before="100"/>
        <w:jc w:val="center"/>
      </w:pPr>
      <w:r>
        <w:rPr>
          <w:i/>
          <w:iCs/>
          <w:sz w:val="20"/>
          <w:szCs w:val="20"/>
        </w:rPr>
        <w:t xml:space="preserve">Table 6: Quick Reference for GGT Commands</w:t>
      </w:r>
    </w:p>
    <w:p>
      <w:pPr>
        <w:pStyle w:val="Heading2"/>
        <w:spacing w:after="150" w:before="300"/>
      </w:pPr>
      <w:r>
        <w:rPr>
          <w:rFonts w:ascii="Times New Roman" w:cs="Times New Roman" w:eastAsia="Times New Roman" w:hAnsi="Times New Roman"/>
          <w:b/>
          <w:bCs/>
          <w:color w:val="2D3748"/>
          <w:sz w:val="28"/>
          <w:szCs w:val="28"/>
        </w:rPr>
        <w:t xml:space="preserve">Supported Language Identifiers</w:t>
      </w:r>
    </w:p>
    <w:p>
      <w:pPr>
        <w:spacing w:after="200" w:line="312"/>
        <w:jc w:val="both"/>
      </w:pPr>
      <w:r>
        <w:rPr>
          <w:rFonts w:ascii="Times New Roman" w:cs="Times New Roman" w:eastAsia="Times New Roman" w:hAnsi="Times New Roman"/>
          <w:sz w:val="24"/>
          <w:szCs w:val="24"/>
        </w:rPr>
        <w:t xml:space="preserve">When creating GrammarConfig objects, use these exact language identifiers:</w:t>
      </w:r>
    </w:p>
    <w:p>
      <w:pPr>
        <w:pStyle w:val="ListParagraph"/>
        <w:numPr>
          <w:ilvl w:val="0"/>
          <w:numId w:val="3"/>
        </w:numPr>
        <w:spacing w:after="100" w:line="312"/>
      </w:pPr>
      <w:r>
        <w:rPr>
          <w:rFonts w:ascii="Times New Roman" w:cs="Times New Roman" w:eastAsia="Times New Roman" w:hAnsi="Times New Roman"/>
          <w:sz w:val="24"/>
          <w:szCs w:val="24"/>
        </w:rPr>
        <w:t xml:space="preserve">'chitonga' - Full grammar with 21 noun classes</w:t>
      </w:r>
    </w:p>
    <w:p>
      <w:pPr>
        <w:pStyle w:val="ListParagraph"/>
        <w:numPr>
          <w:ilvl w:val="0"/>
          <w:numId w:val="3"/>
        </w:numPr>
        <w:spacing w:after="100" w:line="312"/>
      </w:pPr>
      <w:r>
        <w:rPr>
          <w:rFonts w:ascii="Times New Roman" w:cs="Times New Roman" w:eastAsia="Times New Roman" w:hAnsi="Times New Roman"/>
          <w:sz w:val="24"/>
          <w:szCs w:val="24"/>
        </w:rPr>
        <w:t xml:space="preserve">'chibemba' - Stub grammar (pending expansion)</w:t>
      </w:r>
    </w:p>
    <w:p>
      <w:pPr>
        <w:pStyle w:val="ListParagraph"/>
        <w:numPr>
          <w:ilvl w:val="0"/>
          <w:numId w:val="3"/>
        </w:numPr>
        <w:spacing w:after="100" w:line="312"/>
      </w:pPr>
      <w:r>
        <w:rPr>
          <w:rFonts w:ascii="Times New Roman" w:cs="Times New Roman" w:eastAsia="Times New Roman" w:hAnsi="Times New Roman"/>
          <w:sz w:val="24"/>
          <w:szCs w:val="24"/>
        </w:rPr>
        <w:t xml:space="preserve">'chinyanja' - Stub grammar (pending expansion)</w:t>
      </w:r>
    </w:p>
    <w:p>
      <w:pPr>
        <w:pStyle w:val="ListParagraph"/>
        <w:numPr>
          <w:ilvl w:val="0"/>
          <w:numId w:val="3"/>
        </w:numPr>
        <w:spacing w:after="100" w:line="312"/>
      </w:pPr>
      <w:r>
        <w:rPr>
          <w:rFonts w:ascii="Times New Roman" w:cs="Times New Roman" w:eastAsia="Times New Roman" w:hAnsi="Times New Roman"/>
          <w:sz w:val="24"/>
          <w:szCs w:val="24"/>
        </w:rPr>
        <w:t xml:space="preserve">'kaonde' - Stub grammar (pending expansion)</w:t>
      </w:r>
    </w:p>
    <w:p>
      <w:pPr>
        <w:pStyle w:val="ListParagraph"/>
        <w:numPr>
          <w:ilvl w:val="0"/>
          <w:numId w:val="3"/>
        </w:numPr>
        <w:spacing w:after="100" w:line="312"/>
      </w:pPr>
      <w:r>
        <w:rPr>
          <w:rFonts w:ascii="Times New Roman" w:cs="Times New Roman" w:eastAsia="Times New Roman" w:hAnsi="Times New Roman"/>
          <w:sz w:val="24"/>
          <w:szCs w:val="24"/>
        </w:rPr>
        <w:t xml:space="preserve">'lunda' - Stub grammar (pending expansion)</w:t>
      </w:r>
    </w:p>
    <w:p>
      <w:pPr>
        <w:pStyle w:val="ListParagraph"/>
        <w:numPr>
          <w:ilvl w:val="0"/>
          <w:numId w:val="3"/>
        </w:numPr>
        <w:spacing w:after="100" w:line="312"/>
      </w:pPr>
      <w:r>
        <w:rPr>
          <w:rFonts w:ascii="Times New Roman" w:cs="Times New Roman" w:eastAsia="Times New Roman" w:hAnsi="Times New Roman"/>
          <w:sz w:val="24"/>
          <w:szCs w:val="24"/>
        </w:rPr>
        <w:t xml:space="preserve">'luvale' - Stub grammar (pending expansion)</w:t>
      </w:r>
    </w:p>
    <w:p>
      <w:pPr>
        <w:pStyle w:val="ListParagraph"/>
        <w:numPr>
          <w:ilvl w:val="0"/>
          <w:numId w:val="3"/>
        </w:numPr>
        <w:spacing w:after="100" w:line="312"/>
      </w:pPr>
      <w:r>
        <w:rPr>
          <w:rFonts w:ascii="Times New Roman" w:cs="Times New Roman" w:eastAsia="Times New Roman" w:hAnsi="Times New Roman"/>
          <w:sz w:val="24"/>
          <w:szCs w:val="24"/>
        </w:rPr>
        <w:t xml:space="preserve">'silozi' - Stub grammar (pending expansion)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2D3748"/>
        <w:sz w:val="20"/>
        <w:szCs w:val="20"/>
      </w:rPr>
      <w:t xml:space="preserve">Gobelo Grammar Toolkit - Teacher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365D"/>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3748"/>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2026-03-13T18:31:14.529Z</dcterms:created>
  <dcterms:modified xsi:type="dcterms:W3CDTF">2026-03-13T18:31:14.529Z</dcterms:modified>
</cp:coreProperties>
</file>

<file path=docProps/custom.xml><?xml version="1.0" encoding="utf-8"?>
<Properties xmlns="http://schemas.openxmlformats.org/officeDocument/2006/custom-properties" xmlns:vt="http://schemas.openxmlformats.org/officeDocument/2006/docPropsVTypes"/>
</file>